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81EF" w14:textId="194C9155" w:rsidR="008D6614" w:rsidRDefault="00866AF2">
      <w:pPr>
        <w:jc w:val="center"/>
      </w:pPr>
      <w: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83"/>
        <w:gridCol w:w="8158"/>
        <w:gridCol w:w="83"/>
      </w:tblGrid>
      <w:tr w:rsidR="008D6614" w14:paraId="64A881F3" w14:textId="77777777">
        <w:trPr>
          <w:jc w:val="center"/>
        </w:trPr>
        <w:tc>
          <w:tcPr>
            <w:tcW w:w="50" w:type="pct"/>
            <w:shd w:val="clear" w:color="auto" w:fill="auto"/>
            <w:vAlign w:val="center"/>
          </w:tcPr>
          <w:p w14:paraId="64A881F0" w14:textId="77777777" w:rsidR="008D6614" w:rsidRDefault="008D6614">
            <w:pPr>
              <w:rPr>
                <w:rFonts w:ascii="宋体"/>
              </w:rPr>
            </w:pPr>
          </w:p>
        </w:tc>
        <w:tc>
          <w:tcPr>
            <w:tcW w:w="4900" w:type="pct"/>
            <w:shd w:val="clear" w:color="auto" w:fill="auto"/>
            <w:vAlign w:val="center"/>
          </w:tcPr>
          <w:p w14:paraId="64A881F1" w14:textId="77777777" w:rsidR="008D6614" w:rsidRDefault="008D6614">
            <w:pPr>
              <w:rPr>
                <w:rFonts w:ascii="宋体"/>
              </w:rPr>
            </w:pPr>
          </w:p>
        </w:tc>
        <w:tc>
          <w:tcPr>
            <w:tcW w:w="50" w:type="pct"/>
            <w:shd w:val="clear" w:color="auto" w:fill="auto"/>
            <w:vAlign w:val="center"/>
          </w:tcPr>
          <w:p w14:paraId="64A881F2" w14:textId="77777777" w:rsidR="008D6614" w:rsidRDefault="008D6614">
            <w:pPr>
              <w:rPr>
                <w:rFonts w:ascii="宋体"/>
              </w:rPr>
            </w:pPr>
          </w:p>
        </w:tc>
      </w:tr>
      <w:tr w:rsidR="008D6614" w14:paraId="64A881F5" w14:textId="77777777">
        <w:trPr>
          <w:trHeight w:val="60"/>
          <w:jc w:val="center"/>
        </w:trPr>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64A881F4" w14:textId="77777777" w:rsidR="008D6614" w:rsidRDefault="008D6614">
            <w:pPr>
              <w:rPr>
                <w:rFonts w:ascii="宋体"/>
              </w:rPr>
            </w:pPr>
          </w:p>
        </w:tc>
      </w:tr>
    </w:tbl>
    <w:p w14:paraId="64A881F6" w14:textId="77777777" w:rsidR="008D6614" w:rsidRDefault="00866AF2">
      <w:pPr>
        <w:jc w:val="center"/>
      </w:pPr>
      <w:r>
        <w:rPr>
          <w:rFonts w:ascii="Arial" w:eastAsia="宋体" w:hAnsi="Arial" w:cs="Arial"/>
          <w:b/>
          <w:bCs/>
          <w:color w:val="000000"/>
          <w:sz w:val="30"/>
          <w:szCs w:val="30"/>
        </w:rPr>
        <w:t>UNITED STATES</w:t>
      </w:r>
    </w:p>
    <w:p w14:paraId="64A881F7" w14:textId="77777777" w:rsidR="008D6614" w:rsidRDefault="00866AF2">
      <w:pPr>
        <w:jc w:val="center"/>
      </w:pPr>
      <w:r>
        <w:rPr>
          <w:rFonts w:ascii="Arial" w:eastAsia="宋体" w:hAnsi="Arial" w:cs="Arial"/>
          <w:b/>
          <w:bCs/>
          <w:color w:val="000000"/>
          <w:sz w:val="30"/>
          <w:szCs w:val="30"/>
        </w:rPr>
        <w:t>SECURITIES AND EXCHANGE COMMISSION</w:t>
      </w:r>
      <w:r>
        <w:rPr>
          <w:rFonts w:ascii="Arial" w:eastAsia="宋体" w:hAnsi="Arial" w:cs="Arial"/>
          <w:b/>
          <w:bCs/>
          <w:color w:val="000000"/>
          <w:sz w:val="28"/>
          <w:szCs w:val="28"/>
        </w:rPr>
        <w:t xml:space="preserve"> </w:t>
      </w:r>
    </w:p>
    <w:p w14:paraId="64A881F8" w14:textId="77777777" w:rsidR="008D6614" w:rsidRDefault="00866AF2">
      <w:pPr>
        <w:jc w:val="center"/>
      </w:pPr>
      <w:r>
        <w:rPr>
          <w:rFonts w:ascii="Arial" w:eastAsia="宋体" w:hAnsi="Arial" w:cs="Arial"/>
          <w:b/>
          <w:bCs/>
          <w:color w:val="000000"/>
          <w:sz w:val="22"/>
          <w:szCs w:val="22"/>
        </w:rPr>
        <w:t>Washington, D.C. 20549</w:t>
      </w:r>
      <w:r>
        <w:rPr>
          <w:rFonts w:ascii="Arial" w:eastAsia="宋体" w:hAnsi="Arial" w:cs="Arial"/>
          <w:b/>
          <w:bCs/>
          <w:color w:val="000000"/>
          <w:sz w:val="18"/>
          <w:szCs w:val="1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8D6614" w14:paraId="64A881FC" w14:textId="77777777">
        <w:trPr>
          <w:jc w:val="center"/>
        </w:trPr>
        <w:tc>
          <w:tcPr>
            <w:tcW w:w="50" w:type="pct"/>
            <w:shd w:val="clear" w:color="auto" w:fill="auto"/>
            <w:vAlign w:val="center"/>
          </w:tcPr>
          <w:p w14:paraId="64A881F9" w14:textId="77777777" w:rsidR="008D6614" w:rsidRDefault="008D6614">
            <w:pPr>
              <w:rPr>
                <w:rFonts w:ascii="宋体"/>
              </w:rPr>
            </w:pPr>
          </w:p>
        </w:tc>
        <w:tc>
          <w:tcPr>
            <w:tcW w:w="4900" w:type="pct"/>
            <w:shd w:val="clear" w:color="auto" w:fill="auto"/>
            <w:vAlign w:val="center"/>
          </w:tcPr>
          <w:p w14:paraId="64A881FA" w14:textId="77777777" w:rsidR="008D6614" w:rsidRDefault="008D6614">
            <w:pPr>
              <w:rPr>
                <w:rFonts w:ascii="宋体"/>
              </w:rPr>
            </w:pPr>
          </w:p>
        </w:tc>
        <w:tc>
          <w:tcPr>
            <w:tcW w:w="50" w:type="pct"/>
            <w:shd w:val="clear" w:color="auto" w:fill="auto"/>
            <w:vAlign w:val="center"/>
          </w:tcPr>
          <w:p w14:paraId="64A881FB" w14:textId="77777777" w:rsidR="008D6614" w:rsidRDefault="008D6614">
            <w:pPr>
              <w:rPr>
                <w:rFonts w:ascii="宋体"/>
              </w:rPr>
            </w:pPr>
          </w:p>
        </w:tc>
      </w:tr>
      <w:tr w:rsidR="008D6614" w14:paraId="64A881FE"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64A881FD" w14:textId="77777777" w:rsidR="008D6614" w:rsidRDefault="008D6614">
            <w:pPr>
              <w:rPr>
                <w:rFonts w:ascii="宋体"/>
              </w:rPr>
            </w:pPr>
          </w:p>
        </w:tc>
      </w:tr>
    </w:tbl>
    <w:p w14:paraId="64A881FF" w14:textId="77777777" w:rsidR="008D6614" w:rsidRDefault="00866AF2">
      <w:pPr>
        <w:spacing w:before="60"/>
        <w:jc w:val="center"/>
      </w:pPr>
      <w:r>
        <w:rPr>
          <w:rFonts w:ascii="Arial" w:eastAsia="宋体" w:hAnsi="Arial" w:cs="Arial"/>
          <w:b/>
          <w:bCs/>
          <w:color w:val="000000"/>
          <w:sz w:val="34"/>
          <w:szCs w:val="34"/>
        </w:rPr>
        <w:t>FORM</w:t>
      </w:r>
      <w:r>
        <w:rPr>
          <w:rFonts w:ascii="Arial" w:eastAsia="宋体" w:hAnsi="Arial" w:cs="Arial"/>
          <w:b/>
          <w:bCs/>
          <w:color w:val="000000"/>
          <w:sz w:val="28"/>
          <w:szCs w:val="28"/>
        </w:rPr>
        <w:t> </w:t>
      </w:r>
      <w:r>
        <w:rPr>
          <w:rFonts w:ascii="Arial" w:eastAsia="宋体" w:hAnsi="Arial" w:cs="Arial"/>
          <w:b/>
          <w:bCs/>
          <w:color w:val="000000"/>
          <w:sz w:val="34"/>
          <w:szCs w:val="34"/>
        </w:rPr>
        <w:t>10-Q</w:t>
      </w:r>
      <w:r>
        <w:rPr>
          <w:rFonts w:ascii="Arial" w:eastAsia="宋体" w:hAnsi="Arial" w:cs="Arial"/>
          <w:b/>
          <w:bCs/>
          <w:color w:val="000000"/>
          <w:sz w:val="28"/>
          <w:szCs w:val="2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8D6614" w14:paraId="64A88203" w14:textId="77777777">
        <w:trPr>
          <w:jc w:val="center"/>
        </w:trPr>
        <w:tc>
          <w:tcPr>
            <w:tcW w:w="50" w:type="pct"/>
            <w:shd w:val="clear" w:color="auto" w:fill="auto"/>
            <w:vAlign w:val="center"/>
          </w:tcPr>
          <w:p w14:paraId="64A88200" w14:textId="77777777" w:rsidR="008D6614" w:rsidRDefault="008D6614">
            <w:pPr>
              <w:rPr>
                <w:rFonts w:ascii="宋体"/>
              </w:rPr>
            </w:pPr>
          </w:p>
        </w:tc>
        <w:tc>
          <w:tcPr>
            <w:tcW w:w="4900" w:type="pct"/>
            <w:shd w:val="clear" w:color="auto" w:fill="auto"/>
            <w:vAlign w:val="center"/>
          </w:tcPr>
          <w:p w14:paraId="64A88201" w14:textId="77777777" w:rsidR="008D6614" w:rsidRDefault="008D6614">
            <w:pPr>
              <w:rPr>
                <w:rFonts w:ascii="宋体"/>
              </w:rPr>
            </w:pPr>
          </w:p>
        </w:tc>
        <w:tc>
          <w:tcPr>
            <w:tcW w:w="50" w:type="pct"/>
            <w:shd w:val="clear" w:color="auto" w:fill="auto"/>
            <w:vAlign w:val="center"/>
          </w:tcPr>
          <w:p w14:paraId="64A88202" w14:textId="77777777" w:rsidR="008D6614" w:rsidRDefault="008D6614">
            <w:pPr>
              <w:rPr>
                <w:rFonts w:ascii="宋体"/>
              </w:rPr>
            </w:pPr>
          </w:p>
        </w:tc>
      </w:tr>
      <w:tr w:rsidR="008D6614" w14:paraId="64A88205"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64A88204" w14:textId="77777777" w:rsidR="008D6614" w:rsidRDefault="008D6614">
            <w:pPr>
              <w:rPr>
                <w:rFonts w:ascii="宋体"/>
              </w:rPr>
            </w:pPr>
          </w:p>
        </w:tc>
      </w:tr>
    </w:tbl>
    <w:p w14:paraId="64A88206" w14:textId="77777777" w:rsidR="008D6614" w:rsidRDefault="00866AF2">
      <w:pPr>
        <w:spacing w:after="20"/>
        <w:jc w:val="center"/>
      </w:pPr>
      <w:r>
        <w:rPr>
          <w:rFonts w:ascii="Arial" w:eastAsia="宋体" w:hAnsi="Arial" w:cs="Arial"/>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84"/>
        <w:gridCol w:w="234"/>
        <w:gridCol w:w="83"/>
        <w:gridCol w:w="83"/>
        <w:gridCol w:w="7744"/>
        <w:gridCol w:w="83"/>
      </w:tblGrid>
      <w:tr w:rsidR="008D6614" w14:paraId="64A8820D" w14:textId="77777777">
        <w:trPr>
          <w:jc w:val="center"/>
        </w:trPr>
        <w:tc>
          <w:tcPr>
            <w:tcW w:w="50" w:type="pct"/>
            <w:shd w:val="clear" w:color="auto" w:fill="auto"/>
            <w:vAlign w:val="center"/>
          </w:tcPr>
          <w:p w14:paraId="64A88207" w14:textId="77777777" w:rsidR="008D6614" w:rsidRDefault="008D6614">
            <w:pPr>
              <w:rPr>
                <w:rFonts w:ascii="宋体"/>
              </w:rPr>
            </w:pPr>
          </w:p>
        </w:tc>
        <w:tc>
          <w:tcPr>
            <w:tcW w:w="141" w:type="pct"/>
            <w:shd w:val="clear" w:color="auto" w:fill="auto"/>
            <w:vAlign w:val="center"/>
          </w:tcPr>
          <w:p w14:paraId="64A88208" w14:textId="77777777" w:rsidR="008D6614" w:rsidRDefault="008D6614">
            <w:pPr>
              <w:rPr>
                <w:rFonts w:ascii="宋体"/>
              </w:rPr>
            </w:pPr>
          </w:p>
        </w:tc>
        <w:tc>
          <w:tcPr>
            <w:tcW w:w="50" w:type="pct"/>
            <w:shd w:val="clear" w:color="auto" w:fill="auto"/>
            <w:vAlign w:val="center"/>
          </w:tcPr>
          <w:p w14:paraId="64A88209" w14:textId="77777777" w:rsidR="008D6614" w:rsidRDefault="008D6614">
            <w:pPr>
              <w:rPr>
                <w:rFonts w:ascii="宋体"/>
              </w:rPr>
            </w:pPr>
          </w:p>
        </w:tc>
        <w:tc>
          <w:tcPr>
            <w:tcW w:w="50" w:type="pct"/>
            <w:shd w:val="clear" w:color="auto" w:fill="auto"/>
            <w:vAlign w:val="center"/>
          </w:tcPr>
          <w:p w14:paraId="64A8820A" w14:textId="77777777" w:rsidR="008D6614" w:rsidRDefault="008D6614">
            <w:pPr>
              <w:rPr>
                <w:rFonts w:ascii="宋体"/>
              </w:rPr>
            </w:pPr>
          </w:p>
        </w:tc>
        <w:tc>
          <w:tcPr>
            <w:tcW w:w="4658" w:type="pct"/>
            <w:shd w:val="clear" w:color="auto" w:fill="auto"/>
            <w:vAlign w:val="center"/>
          </w:tcPr>
          <w:p w14:paraId="64A8820B" w14:textId="77777777" w:rsidR="008D6614" w:rsidRDefault="008D6614">
            <w:pPr>
              <w:rPr>
                <w:rFonts w:ascii="宋体"/>
              </w:rPr>
            </w:pPr>
          </w:p>
        </w:tc>
        <w:tc>
          <w:tcPr>
            <w:tcW w:w="50" w:type="pct"/>
            <w:shd w:val="clear" w:color="auto" w:fill="auto"/>
            <w:vAlign w:val="center"/>
          </w:tcPr>
          <w:p w14:paraId="64A8820C" w14:textId="77777777" w:rsidR="008D6614" w:rsidRDefault="008D6614">
            <w:pPr>
              <w:rPr>
                <w:rFonts w:ascii="宋体"/>
              </w:rPr>
            </w:pPr>
          </w:p>
        </w:tc>
      </w:tr>
      <w:tr w:rsidR="008D6614" w14:paraId="64A88210" w14:textId="77777777">
        <w:trPr>
          <w:jc w:val="center"/>
        </w:trPr>
        <w:tc>
          <w:tcPr>
            <w:tcW w:w="0" w:type="auto"/>
            <w:gridSpan w:val="3"/>
            <w:shd w:val="clear" w:color="auto" w:fill="auto"/>
            <w:tcMar>
              <w:top w:w="40" w:type="dxa"/>
              <w:left w:w="20" w:type="dxa"/>
              <w:bottom w:w="40" w:type="dxa"/>
              <w:right w:w="20" w:type="dxa"/>
            </w:tcMar>
            <w:vAlign w:val="bottom"/>
          </w:tcPr>
          <w:p w14:paraId="64A8820E" w14:textId="77777777" w:rsidR="008D6614" w:rsidRDefault="00866AF2">
            <w:pPr>
              <w:textAlignment w:val="bottom"/>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vAlign w:val="bottom"/>
          </w:tcPr>
          <w:p w14:paraId="64A8820F" w14:textId="77777777" w:rsidR="008D6614" w:rsidRDefault="00866AF2">
            <w:pPr>
              <w:ind w:hanging="360"/>
              <w:textAlignment w:val="bottom"/>
            </w:pPr>
            <w:r>
              <w:rPr>
                <w:rFonts w:ascii="Arial" w:eastAsia="宋体" w:hAnsi="Arial" w:cs="Arial"/>
                <w:b/>
                <w:bCs/>
                <w:color w:val="000000"/>
                <w:sz w:val="18"/>
                <w:szCs w:val="18"/>
              </w:rPr>
              <w:t>QUARTERLY REPORT PURSUANT TO SECTION 13 OR 15(d) OF THE SECURITIES EXCHANGE ACT OF 1934</w:t>
            </w:r>
          </w:p>
        </w:tc>
      </w:tr>
    </w:tbl>
    <w:p w14:paraId="64A88211" w14:textId="77777777" w:rsidR="008D6614" w:rsidRDefault="00866AF2">
      <w:pPr>
        <w:ind w:firstLine="360"/>
      </w:pPr>
      <w:r>
        <w:rPr>
          <w:rFonts w:ascii="Arial" w:eastAsia="宋体" w:hAnsi="Arial" w:cs="Arial"/>
          <w:color w:val="000000"/>
          <w:sz w:val="18"/>
          <w:szCs w:val="18"/>
        </w:rPr>
        <w:t>For the quarterly period ended March 31, 2020</w:t>
      </w:r>
      <w:r>
        <w:rPr>
          <w:rFonts w:ascii="Arial" w:eastAsia="宋体" w:hAnsi="Arial" w:cs="Arial"/>
          <w:b/>
          <w:bCs/>
          <w:color w:val="000000"/>
          <w:sz w:val="18"/>
          <w:szCs w:val="18"/>
        </w:rPr>
        <w:t xml:space="preserve"> </w:t>
      </w:r>
    </w:p>
    <w:p w14:paraId="64A88212" w14:textId="77777777" w:rsidR="008D6614" w:rsidRDefault="00866AF2">
      <w:pPr>
        <w:spacing w:before="60"/>
        <w:jc w:val="center"/>
      </w:pPr>
      <w:r>
        <w:rPr>
          <w:rFonts w:ascii="Arial" w:eastAsia="宋体" w:hAnsi="Arial" w:cs="Arial"/>
          <w:b/>
          <w:bCs/>
          <w:color w:val="000000"/>
          <w:sz w:val="18"/>
          <w:szCs w:val="18"/>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84"/>
        <w:gridCol w:w="234"/>
        <w:gridCol w:w="83"/>
        <w:gridCol w:w="83"/>
        <w:gridCol w:w="7744"/>
        <w:gridCol w:w="83"/>
      </w:tblGrid>
      <w:tr w:rsidR="008D6614" w14:paraId="64A88219" w14:textId="77777777">
        <w:trPr>
          <w:jc w:val="center"/>
        </w:trPr>
        <w:tc>
          <w:tcPr>
            <w:tcW w:w="50" w:type="pct"/>
            <w:shd w:val="clear" w:color="auto" w:fill="auto"/>
            <w:vAlign w:val="center"/>
          </w:tcPr>
          <w:p w14:paraId="64A88213" w14:textId="77777777" w:rsidR="008D6614" w:rsidRDefault="008D6614">
            <w:pPr>
              <w:rPr>
                <w:rFonts w:ascii="宋体"/>
              </w:rPr>
            </w:pPr>
          </w:p>
        </w:tc>
        <w:tc>
          <w:tcPr>
            <w:tcW w:w="141" w:type="pct"/>
            <w:shd w:val="clear" w:color="auto" w:fill="auto"/>
            <w:vAlign w:val="center"/>
          </w:tcPr>
          <w:p w14:paraId="64A88214" w14:textId="77777777" w:rsidR="008D6614" w:rsidRDefault="008D6614">
            <w:pPr>
              <w:rPr>
                <w:rFonts w:ascii="宋体"/>
              </w:rPr>
            </w:pPr>
          </w:p>
        </w:tc>
        <w:tc>
          <w:tcPr>
            <w:tcW w:w="50" w:type="pct"/>
            <w:shd w:val="clear" w:color="auto" w:fill="auto"/>
            <w:vAlign w:val="center"/>
          </w:tcPr>
          <w:p w14:paraId="64A88215" w14:textId="77777777" w:rsidR="008D6614" w:rsidRDefault="008D6614">
            <w:pPr>
              <w:rPr>
                <w:rFonts w:ascii="宋体"/>
              </w:rPr>
            </w:pPr>
          </w:p>
        </w:tc>
        <w:tc>
          <w:tcPr>
            <w:tcW w:w="50" w:type="pct"/>
            <w:shd w:val="clear" w:color="auto" w:fill="auto"/>
            <w:vAlign w:val="center"/>
          </w:tcPr>
          <w:p w14:paraId="64A88216" w14:textId="77777777" w:rsidR="008D6614" w:rsidRDefault="008D6614">
            <w:pPr>
              <w:rPr>
                <w:rFonts w:ascii="宋体"/>
              </w:rPr>
            </w:pPr>
          </w:p>
        </w:tc>
        <w:tc>
          <w:tcPr>
            <w:tcW w:w="4658" w:type="pct"/>
            <w:shd w:val="clear" w:color="auto" w:fill="auto"/>
            <w:vAlign w:val="center"/>
          </w:tcPr>
          <w:p w14:paraId="64A88217" w14:textId="77777777" w:rsidR="008D6614" w:rsidRDefault="008D6614">
            <w:pPr>
              <w:rPr>
                <w:rFonts w:ascii="宋体"/>
              </w:rPr>
            </w:pPr>
          </w:p>
        </w:tc>
        <w:tc>
          <w:tcPr>
            <w:tcW w:w="50" w:type="pct"/>
            <w:shd w:val="clear" w:color="auto" w:fill="auto"/>
            <w:vAlign w:val="center"/>
          </w:tcPr>
          <w:p w14:paraId="64A88218" w14:textId="77777777" w:rsidR="008D6614" w:rsidRDefault="008D6614">
            <w:pPr>
              <w:rPr>
                <w:rFonts w:ascii="宋体"/>
              </w:rPr>
            </w:pPr>
          </w:p>
        </w:tc>
      </w:tr>
      <w:tr w:rsidR="008D6614" w14:paraId="64A8821C" w14:textId="77777777">
        <w:trPr>
          <w:jc w:val="center"/>
        </w:trPr>
        <w:tc>
          <w:tcPr>
            <w:tcW w:w="0" w:type="auto"/>
            <w:gridSpan w:val="3"/>
            <w:shd w:val="clear" w:color="auto" w:fill="auto"/>
            <w:tcMar>
              <w:top w:w="40" w:type="dxa"/>
              <w:left w:w="20" w:type="dxa"/>
              <w:bottom w:w="40" w:type="dxa"/>
              <w:right w:w="20" w:type="dxa"/>
            </w:tcMar>
            <w:vAlign w:val="bottom"/>
          </w:tcPr>
          <w:p w14:paraId="64A8821A" w14:textId="77777777" w:rsidR="008D6614" w:rsidRDefault="00866AF2">
            <w:pPr>
              <w:textAlignment w:val="bottom"/>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vAlign w:val="bottom"/>
          </w:tcPr>
          <w:p w14:paraId="64A8821B" w14:textId="77777777" w:rsidR="008D6614" w:rsidRDefault="00866AF2">
            <w:pPr>
              <w:textAlignment w:val="bottom"/>
            </w:pPr>
            <w:r>
              <w:rPr>
                <w:rFonts w:ascii="Arial" w:eastAsia="宋体" w:hAnsi="Arial" w:cs="Arial"/>
                <w:b/>
                <w:bCs/>
                <w:color w:val="000000"/>
                <w:sz w:val="18"/>
                <w:szCs w:val="18"/>
              </w:rPr>
              <w:t>TRANSITION REPORT PURSUANT TO SECTION 13 OR 15(d) OF THE SECURITIES EXCHANGE ACT OF 1934</w:t>
            </w:r>
          </w:p>
        </w:tc>
      </w:tr>
    </w:tbl>
    <w:p w14:paraId="64A8821D" w14:textId="77777777" w:rsidR="008D6614" w:rsidRDefault="00866AF2">
      <w:pPr>
        <w:ind w:firstLine="360"/>
      </w:pPr>
      <w:r>
        <w:rPr>
          <w:rFonts w:ascii="Arial" w:eastAsia="宋体" w:hAnsi="Arial" w:cs="Arial"/>
          <w:color w:val="000000"/>
          <w:sz w:val="18"/>
          <w:szCs w:val="18"/>
        </w:rPr>
        <w:t xml:space="preserve">For the transition period from _______ to _______ </w:t>
      </w:r>
    </w:p>
    <w:p w14:paraId="64A8821E" w14:textId="77777777" w:rsidR="008D6614" w:rsidRDefault="00866AF2">
      <w:pPr>
        <w:spacing w:before="60"/>
        <w:jc w:val="center"/>
      </w:pPr>
      <w:r>
        <w:rPr>
          <w:rFonts w:ascii="Arial" w:eastAsia="宋体" w:hAnsi="Arial" w:cs="Arial"/>
          <w:b/>
          <w:bCs/>
          <w:color w:val="000000"/>
          <w:sz w:val="18"/>
          <w:szCs w:val="18"/>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8D6614" w14:paraId="64A88222" w14:textId="77777777">
        <w:trPr>
          <w:jc w:val="center"/>
        </w:trPr>
        <w:tc>
          <w:tcPr>
            <w:tcW w:w="50" w:type="pct"/>
            <w:shd w:val="clear" w:color="auto" w:fill="auto"/>
            <w:vAlign w:val="center"/>
          </w:tcPr>
          <w:p w14:paraId="64A8821F" w14:textId="77777777" w:rsidR="008D6614" w:rsidRDefault="008D6614">
            <w:pPr>
              <w:rPr>
                <w:rFonts w:ascii="宋体"/>
              </w:rPr>
            </w:pPr>
          </w:p>
        </w:tc>
        <w:tc>
          <w:tcPr>
            <w:tcW w:w="4900" w:type="pct"/>
            <w:shd w:val="clear" w:color="auto" w:fill="auto"/>
            <w:vAlign w:val="center"/>
          </w:tcPr>
          <w:p w14:paraId="64A88220" w14:textId="77777777" w:rsidR="008D6614" w:rsidRDefault="008D6614">
            <w:pPr>
              <w:rPr>
                <w:rFonts w:ascii="宋体"/>
              </w:rPr>
            </w:pPr>
          </w:p>
        </w:tc>
        <w:tc>
          <w:tcPr>
            <w:tcW w:w="50" w:type="pct"/>
            <w:shd w:val="clear" w:color="auto" w:fill="auto"/>
            <w:vAlign w:val="center"/>
          </w:tcPr>
          <w:p w14:paraId="64A88221" w14:textId="77777777" w:rsidR="008D6614" w:rsidRDefault="008D6614">
            <w:pPr>
              <w:rPr>
                <w:rFonts w:ascii="宋体"/>
              </w:rPr>
            </w:pPr>
          </w:p>
        </w:tc>
      </w:tr>
      <w:tr w:rsidR="008D6614" w14:paraId="64A88224"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64A88223" w14:textId="77777777" w:rsidR="008D6614" w:rsidRDefault="008D6614">
            <w:pPr>
              <w:rPr>
                <w:rFonts w:ascii="宋体"/>
              </w:rPr>
            </w:pPr>
          </w:p>
        </w:tc>
      </w:tr>
    </w:tbl>
    <w:p w14:paraId="64A88225" w14:textId="77777777" w:rsidR="008D6614" w:rsidRDefault="00866AF2">
      <w:pPr>
        <w:jc w:val="center"/>
      </w:pPr>
      <w:r>
        <w:rPr>
          <w:rFonts w:ascii="Arial" w:eastAsia="宋体" w:hAnsi="Arial" w:cs="Arial"/>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/Ebay/./Inline XBRL Viewer12_files/ebay-20200331_g1.jpg"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4A8B9DC" wp14:editId="64A8B9DD">
            <wp:extent cx="304800" cy="304800"/>
            <wp:effectExtent l="0" t="0" r="0" b="0"/>
            <wp:docPr id="2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4A88226" w14:textId="77777777" w:rsidR="008D6614" w:rsidRDefault="00866AF2">
      <w:pPr>
        <w:jc w:val="center"/>
      </w:pPr>
      <w:r>
        <w:rPr>
          <w:rFonts w:ascii="Arial" w:eastAsia="宋体" w:hAnsi="Arial" w:cs="Arial"/>
          <w:b/>
          <w:bCs/>
          <w:color w:val="000000"/>
          <w:sz w:val="16"/>
          <w:szCs w:val="16"/>
        </w:rPr>
        <w:t>EBAY INC</w:t>
      </w:r>
    </w:p>
    <w:p w14:paraId="64A88227" w14:textId="77777777" w:rsidR="008D6614" w:rsidRDefault="00866AF2">
      <w:pPr>
        <w:jc w:val="center"/>
      </w:pPr>
      <w:r>
        <w:rPr>
          <w:rFonts w:ascii="Arial" w:eastAsia="宋体" w:hAnsi="Arial" w:cs="Arial"/>
          <w:color w:val="000000"/>
          <w:sz w:val="16"/>
          <w:szCs w:val="16"/>
        </w:rPr>
        <w:t xml:space="preserve">(Exact name of registrant as specified in its charter)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8D6614" w14:paraId="64A8822B" w14:textId="77777777">
        <w:trPr>
          <w:jc w:val="center"/>
        </w:trPr>
        <w:tc>
          <w:tcPr>
            <w:tcW w:w="50" w:type="pct"/>
            <w:shd w:val="clear" w:color="auto" w:fill="auto"/>
            <w:vAlign w:val="center"/>
          </w:tcPr>
          <w:p w14:paraId="64A88228" w14:textId="77777777" w:rsidR="008D6614" w:rsidRDefault="008D6614">
            <w:pPr>
              <w:rPr>
                <w:rFonts w:ascii="宋体"/>
              </w:rPr>
            </w:pPr>
          </w:p>
        </w:tc>
        <w:tc>
          <w:tcPr>
            <w:tcW w:w="4900" w:type="pct"/>
            <w:shd w:val="clear" w:color="auto" w:fill="auto"/>
            <w:vAlign w:val="center"/>
          </w:tcPr>
          <w:p w14:paraId="64A88229" w14:textId="77777777" w:rsidR="008D6614" w:rsidRDefault="008D6614">
            <w:pPr>
              <w:rPr>
                <w:rFonts w:ascii="宋体"/>
              </w:rPr>
            </w:pPr>
          </w:p>
        </w:tc>
        <w:tc>
          <w:tcPr>
            <w:tcW w:w="50" w:type="pct"/>
            <w:shd w:val="clear" w:color="auto" w:fill="auto"/>
            <w:vAlign w:val="center"/>
          </w:tcPr>
          <w:p w14:paraId="64A8822A" w14:textId="77777777" w:rsidR="008D6614" w:rsidRDefault="008D6614">
            <w:pPr>
              <w:rPr>
                <w:rFonts w:ascii="宋体"/>
              </w:rPr>
            </w:pPr>
          </w:p>
        </w:tc>
      </w:tr>
      <w:tr w:rsidR="008D6614" w14:paraId="64A8822D"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64A8822C" w14:textId="77777777" w:rsidR="008D6614" w:rsidRDefault="008D6614">
            <w:pPr>
              <w:rPr>
                <w:rFonts w:ascii="宋体"/>
              </w:rPr>
            </w:pPr>
          </w:p>
        </w:tc>
      </w:tr>
    </w:tbl>
    <w:p w14:paraId="64A8822E" w14:textId="77777777" w:rsidR="008D6614" w:rsidRDefault="008D6614">
      <w:pPr>
        <w:jc w:val="center"/>
      </w:pPr>
    </w:p>
    <w:tbl>
      <w:tblPr>
        <w:tblW w:w="4349" w:type="pct"/>
        <w:jc w:val="center"/>
        <w:tblCellMar>
          <w:top w:w="15" w:type="dxa"/>
          <w:left w:w="15" w:type="dxa"/>
          <w:bottom w:w="15" w:type="dxa"/>
          <w:right w:w="15" w:type="dxa"/>
        </w:tblCellMar>
        <w:tblLook w:val="04A0" w:firstRow="1" w:lastRow="0" w:firstColumn="1" w:lastColumn="0" w:noHBand="0" w:noVBand="1"/>
      </w:tblPr>
      <w:tblGrid>
        <w:gridCol w:w="58"/>
        <w:gridCol w:w="1194"/>
        <w:gridCol w:w="58"/>
        <w:gridCol w:w="36"/>
        <w:gridCol w:w="37"/>
        <w:gridCol w:w="36"/>
        <w:gridCol w:w="58"/>
        <w:gridCol w:w="1194"/>
        <w:gridCol w:w="58"/>
        <w:gridCol w:w="58"/>
        <w:gridCol w:w="717"/>
        <w:gridCol w:w="58"/>
        <w:gridCol w:w="58"/>
        <w:gridCol w:w="2624"/>
        <w:gridCol w:w="58"/>
        <w:gridCol w:w="36"/>
        <w:gridCol w:w="36"/>
        <w:gridCol w:w="36"/>
        <w:gridCol w:w="281"/>
        <w:gridCol w:w="280"/>
        <w:gridCol w:w="280"/>
      </w:tblGrid>
      <w:tr w:rsidR="008D6614" w14:paraId="64A8823E" w14:textId="77777777">
        <w:trPr>
          <w:gridAfter w:val="6"/>
          <w:jc w:val="center"/>
        </w:trPr>
        <w:tc>
          <w:tcPr>
            <w:tcW w:w="50" w:type="pct"/>
            <w:shd w:val="clear" w:color="auto" w:fill="auto"/>
            <w:vAlign w:val="center"/>
          </w:tcPr>
          <w:p w14:paraId="64A8822F" w14:textId="77777777" w:rsidR="008D6614" w:rsidRDefault="008D6614">
            <w:pPr>
              <w:rPr>
                <w:rFonts w:ascii="宋体"/>
              </w:rPr>
            </w:pPr>
          </w:p>
        </w:tc>
        <w:tc>
          <w:tcPr>
            <w:tcW w:w="950" w:type="pct"/>
            <w:shd w:val="clear" w:color="auto" w:fill="auto"/>
            <w:vAlign w:val="center"/>
          </w:tcPr>
          <w:p w14:paraId="64A88230" w14:textId="77777777" w:rsidR="008D6614" w:rsidRDefault="008D6614">
            <w:pPr>
              <w:rPr>
                <w:rFonts w:ascii="宋体"/>
              </w:rPr>
            </w:pPr>
          </w:p>
        </w:tc>
        <w:tc>
          <w:tcPr>
            <w:tcW w:w="50" w:type="pct"/>
            <w:shd w:val="clear" w:color="auto" w:fill="auto"/>
            <w:vAlign w:val="center"/>
          </w:tcPr>
          <w:p w14:paraId="64A88231" w14:textId="77777777" w:rsidR="008D6614" w:rsidRDefault="008D6614">
            <w:pPr>
              <w:rPr>
                <w:rFonts w:ascii="宋体"/>
              </w:rPr>
            </w:pPr>
          </w:p>
        </w:tc>
        <w:tc>
          <w:tcPr>
            <w:tcW w:w="5" w:type="pct"/>
            <w:shd w:val="clear" w:color="auto" w:fill="auto"/>
            <w:vAlign w:val="center"/>
          </w:tcPr>
          <w:p w14:paraId="64A88232" w14:textId="77777777" w:rsidR="008D6614" w:rsidRDefault="008D6614">
            <w:pPr>
              <w:rPr>
                <w:rFonts w:ascii="宋体"/>
              </w:rPr>
            </w:pPr>
          </w:p>
        </w:tc>
        <w:tc>
          <w:tcPr>
            <w:tcW w:w="32" w:type="pct"/>
            <w:shd w:val="clear" w:color="auto" w:fill="auto"/>
            <w:vAlign w:val="center"/>
          </w:tcPr>
          <w:p w14:paraId="64A88233" w14:textId="77777777" w:rsidR="008D6614" w:rsidRDefault="008D6614">
            <w:pPr>
              <w:rPr>
                <w:rFonts w:ascii="宋体"/>
              </w:rPr>
            </w:pPr>
          </w:p>
        </w:tc>
        <w:tc>
          <w:tcPr>
            <w:tcW w:w="5" w:type="pct"/>
            <w:shd w:val="clear" w:color="auto" w:fill="auto"/>
            <w:vAlign w:val="center"/>
          </w:tcPr>
          <w:p w14:paraId="64A88234" w14:textId="77777777" w:rsidR="008D6614" w:rsidRDefault="008D6614">
            <w:pPr>
              <w:rPr>
                <w:rFonts w:ascii="宋体"/>
              </w:rPr>
            </w:pPr>
          </w:p>
        </w:tc>
        <w:tc>
          <w:tcPr>
            <w:tcW w:w="50" w:type="pct"/>
            <w:shd w:val="clear" w:color="auto" w:fill="auto"/>
            <w:vAlign w:val="center"/>
          </w:tcPr>
          <w:p w14:paraId="64A88235" w14:textId="77777777" w:rsidR="008D6614" w:rsidRDefault="008D6614">
            <w:pPr>
              <w:rPr>
                <w:rFonts w:ascii="宋体"/>
              </w:rPr>
            </w:pPr>
          </w:p>
        </w:tc>
        <w:tc>
          <w:tcPr>
            <w:tcW w:w="950" w:type="pct"/>
            <w:shd w:val="clear" w:color="auto" w:fill="auto"/>
            <w:vAlign w:val="center"/>
          </w:tcPr>
          <w:p w14:paraId="64A88236" w14:textId="77777777" w:rsidR="008D6614" w:rsidRDefault="008D6614">
            <w:pPr>
              <w:rPr>
                <w:rFonts w:ascii="宋体"/>
              </w:rPr>
            </w:pPr>
          </w:p>
        </w:tc>
        <w:tc>
          <w:tcPr>
            <w:tcW w:w="50" w:type="pct"/>
            <w:shd w:val="clear" w:color="auto" w:fill="auto"/>
            <w:vAlign w:val="center"/>
          </w:tcPr>
          <w:p w14:paraId="64A88237" w14:textId="77777777" w:rsidR="008D6614" w:rsidRDefault="008D6614">
            <w:pPr>
              <w:rPr>
                <w:rFonts w:ascii="宋体"/>
              </w:rPr>
            </w:pPr>
          </w:p>
        </w:tc>
        <w:tc>
          <w:tcPr>
            <w:tcW w:w="50" w:type="pct"/>
            <w:shd w:val="clear" w:color="auto" w:fill="auto"/>
            <w:vAlign w:val="center"/>
          </w:tcPr>
          <w:p w14:paraId="64A88238" w14:textId="77777777" w:rsidR="008D6614" w:rsidRDefault="008D6614">
            <w:pPr>
              <w:rPr>
                <w:rFonts w:ascii="宋体"/>
              </w:rPr>
            </w:pPr>
          </w:p>
        </w:tc>
        <w:tc>
          <w:tcPr>
            <w:tcW w:w="572" w:type="pct"/>
            <w:shd w:val="clear" w:color="auto" w:fill="auto"/>
            <w:vAlign w:val="center"/>
          </w:tcPr>
          <w:p w14:paraId="64A88239" w14:textId="77777777" w:rsidR="008D6614" w:rsidRDefault="008D6614">
            <w:pPr>
              <w:rPr>
                <w:rFonts w:ascii="宋体"/>
              </w:rPr>
            </w:pPr>
          </w:p>
        </w:tc>
        <w:tc>
          <w:tcPr>
            <w:tcW w:w="50" w:type="pct"/>
            <w:shd w:val="clear" w:color="auto" w:fill="auto"/>
            <w:vAlign w:val="center"/>
          </w:tcPr>
          <w:p w14:paraId="64A8823A" w14:textId="77777777" w:rsidR="008D6614" w:rsidRDefault="008D6614">
            <w:pPr>
              <w:rPr>
                <w:rFonts w:ascii="宋体"/>
              </w:rPr>
            </w:pPr>
          </w:p>
        </w:tc>
        <w:tc>
          <w:tcPr>
            <w:tcW w:w="50" w:type="pct"/>
            <w:shd w:val="clear" w:color="auto" w:fill="auto"/>
            <w:vAlign w:val="center"/>
          </w:tcPr>
          <w:p w14:paraId="64A8823B" w14:textId="77777777" w:rsidR="008D6614" w:rsidRDefault="008D6614">
            <w:pPr>
              <w:rPr>
                <w:rFonts w:ascii="宋体"/>
              </w:rPr>
            </w:pPr>
          </w:p>
        </w:tc>
        <w:tc>
          <w:tcPr>
            <w:tcW w:w="2084" w:type="pct"/>
            <w:shd w:val="clear" w:color="auto" w:fill="auto"/>
            <w:vAlign w:val="center"/>
          </w:tcPr>
          <w:p w14:paraId="64A8823C" w14:textId="77777777" w:rsidR="008D6614" w:rsidRDefault="008D6614">
            <w:pPr>
              <w:rPr>
                <w:rFonts w:ascii="宋体"/>
              </w:rPr>
            </w:pPr>
          </w:p>
        </w:tc>
        <w:tc>
          <w:tcPr>
            <w:tcW w:w="50" w:type="pct"/>
            <w:shd w:val="clear" w:color="auto" w:fill="auto"/>
            <w:vAlign w:val="center"/>
          </w:tcPr>
          <w:p w14:paraId="64A8823D" w14:textId="77777777" w:rsidR="008D6614" w:rsidRDefault="008D6614">
            <w:pPr>
              <w:rPr>
                <w:rFonts w:ascii="宋体"/>
              </w:rPr>
            </w:pPr>
          </w:p>
        </w:tc>
      </w:tr>
      <w:tr w:rsidR="008D6614" w14:paraId="64A88244" w14:textId="77777777">
        <w:trPr>
          <w:jc w:val="center"/>
        </w:trPr>
        <w:tc>
          <w:tcPr>
            <w:tcW w:w="0" w:type="auto"/>
            <w:gridSpan w:val="9"/>
            <w:shd w:val="clear" w:color="auto" w:fill="auto"/>
            <w:tcMar>
              <w:top w:w="40" w:type="dxa"/>
              <w:left w:w="20" w:type="dxa"/>
              <w:bottom w:w="40" w:type="dxa"/>
              <w:right w:w="20" w:type="dxa"/>
            </w:tcMar>
            <w:vAlign w:val="bottom"/>
          </w:tcPr>
          <w:p w14:paraId="64A8823F" w14:textId="77777777" w:rsidR="008D6614" w:rsidRDefault="00866AF2">
            <w:pPr>
              <w:jc w:val="center"/>
              <w:textAlignment w:val="bottom"/>
            </w:pPr>
            <w:r>
              <w:rPr>
                <w:rFonts w:ascii="Arial" w:eastAsia="宋体" w:hAnsi="Arial" w:cs="Arial"/>
                <w:b/>
                <w:bCs/>
                <w:color w:val="000000"/>
                <w:sz w:val="15"/>
                <w:szCs w:val="15"/>
              </w:rPr>
              <w:t>Delaware</w:t>
            </w:r>
          </w:p>
        </w:tc>
        <w:tc>
          <w:tcPr>
            <w:tcW w:w="0" w:type="auto"/>
            <w:gridSpan w:val="3"/>
            <w:shd w:val="clear" w:color="auto" w:fill="auto"/>
            <w:vAlign w:val="center"/>
          </w:tcPr>
          <w:p w14:paraId="64A88240" w14:textId="77777777" w:rsidR="008D6614" w:rsidRDefault="008D6614">
            <w:pPr>
              <w:rPr>
                <w:rFonts w:ascii="宋体"/>
                <w:vanish/>
              </w:rPr>
            </w:pPr>
          </w:p>
        </w:tc>
        <w:tc>
          <w:tcPr>
            <w:tcW w:w="0" w:type="auto"/>
            <w:gridSpan w:val="3"/>
            <w:shd w:val="clear" w:color="auto" w:fill="auto"/>
            <w:vAlign w:val="center"/>
          </w:tcPr>
          <w:p w14:paraId="64A88241"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242"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8243" w14:textId="77777777" w:rsidR="008D6614" w:rsidRDefault="00866AF2">
            <w:pPr>
              <w:jc w:val="center"/>
              <w:textAlignment w:val="bottom"/>
            </w:pPr>
            <w:r>
              <w:rPr>
                <w:rFonts w:ascii="Arial" w:eastAsia="宋体" w:hAnsi="Arial" w:cs="Arial"/>
                <w:b/>
                <w:bCs/>
                <w:color w:val="000000"/>
                <w:sz w:val="15"/>
                <w:szCs w:val="15"/>
              </w:rPr>
              <w:t>77-0430924</w:t>
            </w:r>
          </w:p>
        </w:tc>
      </w:tr>
      <w:tr w:rsidR="008D6614" w14:paraId="64A8824A" w14:textId="77777777">
        <w:trPr>
          <w:jc w:val="center"/>
        </w:trPr>
        <w:tc>
          <w:tcPr>
            <w:tcW w:w="0" w:type="auto"/>
            <w:gridSpan w:val="9"/>
            <w:shd w:val="clear" w:color="auto" w:fill="auto"/>
            <w:tcMar>
              <w:top w:w="40" w:type="dxa"/>
              <w:left w:w="20" w:type="dxa"/>
              <w:bottom w:w="40" w:type="dxa"/>
              <w:right w:w="20" w:type="dxa"/>
            </w:tcMar>
            <w:vAlign w:val="bottom"/>
          </w:tcPr>
          <w:p w14:paraId="64A88245" w14:textId="77777777" w:rsidR="008D6614" w:rsidRDefault="00866AF2">
            <w:pPr>
              <w:jc w:val="center"/>
              <w:textAlignment w:val="bottom"/>
            </w:pPr>
            <w:r>
              <w:rPr>
                <w:rFonts w:ascii="Arial" w:eastAsia="宋体" w:hAnsi="Arial" w:cs="Arial"/>
                <w:color w:val="000000"/>
                <w:sz w:val="14"/>
                <w:szCs w:val="14"/>
              </w:rPr>
              <w:t>(State or other jurisdiction of</w:t>
            </w:r>
            <w:r>
              <w:rPr>
                <w:rFonts w:ascii="Arial" w:eastAsia="宋体" w:hAnsi="Arial" w:cs="Arial"/>
                <w:color w:val="000000"/>
                <w:sz w:val="14"/>
                <w:szCs w:val="14"/>
              </w:rPr>
              <w:br/>
              <w:t>incorporation or organization)</w:t>
            </w:r>
          </w:p>
        </w:tc>
        <w:tc>
          <w:tcPr>
            <w:tcW w:w="0" w:type="auto"/>
            <w:gridSpan w:val="3"/>
            <w:shd w:val="clear" w:color="auto" w:fill="auto"/>
            <w:vAlign w:val="center"/>
          </w:tcPr>
          <w:p w14:paraId="64A88246" w14:textId="77777777" w:rsidR="008D6614" w:rsidRDefault="008D6614">
            <w:pPr>
              <w:rPr>
                <w:rFonts w:ascii="宋体"/>
                <w:vanish/>
              </w:rPr>
            </w:pPr>
          </w:p>
        </w:tc>
        <w:tc>
          <w:tcPr>
            <w:tcW w:w="0" w:type="auto"/>
            <w:gridSpan w:val="3"/>
            <w:shd w:val="clear" w:color="auto" w:fill="auto"/>
            <w:vAlign w:val="center"/>
          </w:tcPr>
          <w:p w14:paraId="64A88247"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248"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8249" w14:textId="77777777" w:rsidR="008D6614" w:rsidRDefault="00866AF2">
            <w:pPr>
              <w:jc w:val="center"/>
              <w:textAlignment w:val="bottom"/>
            </w:pPr>
            <w:r>
              <w:rPr>
                <w:rFonts w:ascii="Arial" w:eastAsia="宋体" w:hAnsi="Arial" w:cs="Arial"/>
                <w:color w:val="000000"/>
                <w:sz w:val="14"/>
                <w:szCs w:val="14"/>
              </w:rPr>
              <w:t>(I.R.S. Employer</w:t>
            </w:r>
            <w:r>
              <w:rPr>
                <w:rFonts w:ascii="Arial" w:eastAsia="宋体" w:hAnsi="Arial" w:cs="Arial"/>
                <w:color w:val="000000"/>
                <w:sz w:val="14"/>
                <w:szCs w:val="14"/>
              </w:rPr>
              <w:br/>
              <w:t>Identification No.)</w:t>
            </w:r>
          </w:p>
        </w:tc>
      </w:tr>
      <w:tr w:rsidR="008D6614" w14:paraId="64A88256" w14:textId="77777777">
        <w:trPr>
          <w:trHeight w:val="120"/>
          <w:jc w:val="center"/>
        </w:trPr>
        <w:tc>
          <w:tcPr>
            <w:tcW w:w="0" w:type="auto"/>
            <w:gridSpan w:val="3"/>
            <w:shd w:val="clear" w:color="auto" w:fill="auto"/>
            <w:tcMar>
              <w:left w:w="20" w:type="dxa"/>
              <w:right w:w="20" w:type="dxa"/>
            </w:tcMar>
            <w:vAlign w:val="bottom"/>
          </w:tcPr>
          <w:p w14:paraId="64A8824B"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824C"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824D"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824E"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824F" w14:textId="77777777" w:rsidR="008D6614" w:rsidRDefault="008D6614">
            <w:pPr>
              <w:rPr>
                <w:rFonts w:ascii="宋体"/>
              </w:rPr>
            </w:pPr>
          </w:p>
        </w:tc>
        <w:tc>
          <w:tcPr>
            <w:tcW w:w="0" w:type="auto"/>
            <w:shd w:val="clear" w:color="auto" w:fill="auto"/>
            <w:vAlign w:val="center"/>
          </w:tcPr>
          <w:p w14:paraId="64A88250" w14:textId="77777777" w:rsidR="008D6614" w:rsidRDefault="008D6614">
            <w:pPr>
              <w:rPr>
                <w:rFonts w:ascii="宋体"/>
              </w:rPr>
            </w:pPr>
          </w:p>
        </w:tc>
        <w:tc>
          <w:tcPr>
            <w:tcW w:w="0" w:type="auto"/>
            <w:shd w:val="clear" w:color="auto" w:fill="auto"/>
            <w:vAlign w:val="center"/>
          </w:tcPr>
          <w:p w14:paraId="64A88251" w14:textId="77777777" w:rsidR="008D6614" w:rsidRDefault="008D6614">
            <w:pPr>
              <w:rPr>
                <w:rFonts w:ascii="宋体"/>
              </w:rPr>
            </w:pPr>
          </w:p>
        </w:tc>
        <w:tc>
          <w:tcPr>
            <w:tcW w:w="0" w:type="auto"/>
            <w:shd w:val="clear" w:color="auto" w:fill="auto"/>
            <w:vAlign w:val="center"/>
          </w:tcPr>
          <w:p w14:paraId="64A88252" w14:textId="77777777" w:rsidR="008D6614" w:rsidRDefault="008D6614">
            <w:pPr>
              <w:rPr>
                <w:rFonts w:ascii="宋体"/>
              </w:rPr>
            </w:pPr>
          </w:p>
        </w:tc>
        <w:tc>
          <w:tcPr>
            <w:tcW w:w="0" w:type="auto"/>
            <w:shd w:val="clear" w:color="auto" w:fill="auto"/>
            <w:vAlign w:val="center"/>
          </w:tcPr>
          <w:p w14:paraId="64A88253" w14:textId="77777777" w:rsidR="008D6614" w:rsidRDefault="008D6614">
            <w:pPr>
              <w:rPr>
                <w:rFonts w:ascii="宋体"/>
              </w:rPr>
            </w:pPr>
          </w:p>
        </w:tc>
        <w:tc>
          <w:tcPr>
            <w:tcW w:w="0" w:type="auto"/>
            <w:shd w:val="clear" w:color="auto" w:fill="auto"/>
            <w:vAlign w:val="center"/>
          </w:tcPr>
          <w:p w14:paraId="64A88254" w14:textId="77777777" w:rsidR="008D6614" w:rsidRDefault="008D6614">
            <w:pPr>
              <w:rPr>
                <w:rFonts w:ascii="宋体"/>
              </w:rPr>
            </w:pPr>
          </w:p>
        </w:tc>
        <w:tc>
          <w:tcPr>
            <w:tcW w:w="0" w:type="auto"/>
            <w:shd w:val="clear" w:color="auto" w:fill="auto"/>
            <w:vAlign w:val="center"/>
          </w:tcPr>
          <w:p w14:paraId="64A88255" w14:textId="77777777" w:rsidR="008D6614" w:rsidRDefault="008D6614">
            <w:pPr>
              <w:rPr>
                <w:rFonts w:ascii="宋体"/>
              </w:rPr>
            </w:pPr>
          </w:p>
        </w:tc>
      </w:tr>
      <w:tr w:rsidR="008D6614" w14:paraId="64A8825C" w14:textId="77777777">
        <w:trPr>
          <w:jc w:val="center"/>
        </w:trPr>
        <w:tc>
          <w:tcPr>
            <w:tcW w:w="0" w:type="auto"/>
            <w:gridSpan w:val="9"/>
            <w:shd w:val="clear" w:color="auto" w:fill="auto"/>
            <w:tcMar>
              <w:top w:w="40" w:type="dxa"/>
              <w:left w:w="20" w:type="dxa"/>
              <w:bottom w:w="40" w:type="dxa"/>
              <w:right w:w="20" w:type="dxa"/>
            </w:tcMar>
            <w:vAlign w:val="bottom"/>
          </w:tcPr>
          <w:p w14:paraId="64A88257" w14:textId="77777777" w:rsidR="008D6614" w:rsidRDefault="00866AF2">
            <w:pPr>
              <w:jc w:val="center"/>
              <w:textAlignment w:val="bottom"/>
            </w:pPr>
            <w:r>
              <w:rPr>
                <w:rFonts w:ascii="Arial" w:eastAsia="宋体" w:hAnsi="Arial" w:cs="Arial"/>
                <w:b/>
                <w:bCs/>
                <w:color w:val="000000"/>
                <w:sz w:val="15"/>
                <w:szCs w:val="15"/>
              </w:rPr>
              <w:t>2025 Hamilton Avenue</w:t>
            </w:r>
          </w:p>
        </w:tc>
        <w:tc>
          <w:tcPr>
            <w:tcW w:w="0" w:type="auto"/>
            <w:gridSpan w:val="3"/>
            <w:shd w:val="clear" w:color="auto" w:fill="auto"/>
            <w:vAlign w:val="center"/>
          </w:tcPr>
          <w:p w14:paraId="64A88258" w14:textId="77777777" w:rsidR="008D6614" w:rsidRDefault="008D6614">
            <w:pPr>
              <w:rPr>
                <w:rFonts w:ascii="宋体"/>
                <w:vanish/>
              </w:rPr>
            </w:pPr>
          </w:p>
        </w:tc>
        <w:tc>
          <w:tcPr>
            <w:tcW w:w="0" w:type="auto"/>
            <w:gridSpan w:val="3"/>
            <w:shd w:val="clear" w:color="auto" w:fill="auto"/>
            <w:vAlign w:val="center"/>
          </w:tcPr>
          <w:p w14:paraId="64A88259"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25A"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825B" w14:textId="77777777" w:rsidR="008D6614" w:rsidRDefault="008D6614">
            <w:pPr>
              <w:rPr>
                <w:rFonts w:ascii="宋体"/>
              </w:rPr>
            </w:pPr>
          </w:p>
        </w:tc>
      </w:tr>
      <w:tr w:rsidR="008D6614" w14:paraId="64A88268" w14:textId="77777777">
        <w:trPr>
          <w:jc w:val="center"/>
        </w:trPr>
        <w:tc>
          <w:tcPr>
            <w:tcW w:w="0" w:type="auto"/>
            <w:gridSpan w:val="3"/>
            <w:shd w:val="clear" w:color="auto" w:fill="auto"/>
            <w:tcMar>
              <w:top w:w="40" w:type="dxa"/>
              <w:left w:w="20" w:type="dxa"/>
              <w:bottom w:w="40" w:type="dxa"/>
              <w:right w:w="20" w:type="dxa"/>
            </w:tcMar>
            <w:vAlign w:val="bottom"/>
          </w:tcPr>
          <w:p w14:paraId="64A8825D" w14:textId="77777777" w:rsidR="008D6614" w:rsidRDefault="00866AF2">
            <w:pPr>
              <w:jc w:val="right"/>
              <w:textAlignment w:val="bottom"/>
            </w:pPr>
            <w:r>
              <w:rPr>
                <w:rFonts w:ascii="Arial" w:eastAsia="宋体" w:hAnsi="Arial" w:cs="Arial"/>
                <w:b/>
                <w:bCs/>
                <w:color w:val="000000"/>
                <w:sz w:val="15"/>
                <w:szCs w:val="15"/>
              </w:rPr>
              <w:t>San Jose</w:t>
            </w:r>
          </w:p>
        </w:tc>
        <w:tc>
          <w:tcPr>
            <w:tcW w:w="0" w:type="auto"/>
            <w:gridSpan w:val="3"/>
            <w:shd w:val="clear" w:color="auto" w:fill="auto"/>
            <w:tcMar>
              <w:top w:w="40" w:type="dxa"/>
              <w:left w:w="20" w:type="dxa"/>
              <w:bottom w:w="40" w:type="dxa"/>
              <w:right w:w="20" w:type="dxa"/>
            </w:tcMar>
            <w:vAlign w:val="bottom"/>
          </w:tcPr>
          <w:p w14:paraId="64A8825E" w14:textId="77777777" w:rsidR="008D6614" w:rsidRDefault="00866AF2">
            <w:pPr>
              <w:jc w:val="center"/>
              <w:textAlignment w:val="bottom"/>
            </w:pPr>
            <w:r>
              <w:rPr>
                <w:rFonts w:ascii="Arial" w:eastAsia="宋体" w:hAnsi="Arial" w:cs="Arial"/>
                <w:b/>
                <w:bCs/>
                <w:color w:val="000000"/>
                <w:sz w:val="16"/>
                <w:szCs w:val="16"/>
              </w:rPr>
              <w:t xml:space="preserve">, </w:t>
            </w:r>
          </w:p>
        </w:tc>
        <w:tc>
          <w:tcPr>
            <w:tcW w:w="0" w:type="auto"/>
            <w:gridSpan w:val="3"/>
            <w:shd w:val="clear" w:color="auto" w:fill="auto"/>
            <w:tcMar>
              <w:top w:w="40" w:type="dxa"/>
              <w:left w:w="20" w:type="dxa"/>
              <w:bottom w:w="40" w:type="dxa"/>
              <w:right w:w="20" w:type="dxa"/>
            </w:tcMar>
            <w:vAlign w:val="bottom"/>
          </w:tcPr>
          <w:p w14:paraId="64A8825F" w14:textId="77777777" w:rsidR="008D6614" w:rsidRDefault="00866AF2">
            <w:pPr>
              <w:textAlignment w:val="bottom"/>
            </w:pPr>
            <w:r>
              <w:rPr>
                <w:rFonts w:ascii="Arial" w:eastAsia="宋体" w:hAnsi="Arial" w:cs="Arial"/>
                <w:b/>
                <w:bCs/>
                <w:color w:val="000000"/>
                <w:sz w:val="15"/>
                <w:szCs w:val="15"/>
              </w:rPr>
              <w:t>California</w:t>
            </w:r>
          </w:p>
        </w:tc>
        <w:tc>
          <w:tcPr>
            <w:tcW w:w="0" w:type="auto"/>
            <w:gridSpan w:val="3"/>
            <w:shd w:val="clear" w:color="auto" w:fill="auto"/>
            <w:tcMar>
              <w:left w:w="20" w:type="dxa"/>
              <w:right w:w="20" w:type="dxa"/>
            </w:tcMar>
            <w:vAlign w:val="bottom"/>
          </w:tcPr>
          <w:p w14:paraId="64A88260"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8261" w14:textId="77777777" w:rsidR="008D6614" w:rsidRDefault="00866AF2">
            <w:pPr>
              <w:jc w:val="center"/>
              <w:textAlignment w:val="bottom"/>
            </w:pPr>
            <w:r>
              <w:rPr>
                <w:rFonts w:ascii="Arial" w:eastAsia="宋体" w:hAnsi="Arial" w:cs="Arial"/>
                <w:b/>
                <w:bCs/>
                <w:color w:val="000000"/>
                <w:sz w:val="15"/>
                <w:szCs w:val="15"/>
              </w:rPr>
              <w:t>95125</w:t>
            </w:r>
          </w:p>
        </w:tc>
        <w:tc>
          <w:tcPr>
            <w:tcW w:w="0" w:type="auto"/>
            <w:shd w:val="clear" w:color="auto" w:fill="auto"/>
            <w:vAlign w:val="center"/>
          </w:tcPr>
          <w:p w14:paraId="64A88262" w14:textId="77777777" w:rsidR="008D6614" w:rsidRDefault="008D6614">
            <w:pPr>
              <w:rPr>
                <w:rFonts w:ascii="宋体"/>
              </w:rPr>
            </w:pPr>
          </w:p>
        </w:tc>
        <w:tc>
          <w:tcPr>
            <w:tcW w:w="0" w:type="auto"/>
            <w:shd w:val="clear" w:color="auto" w:fill="auto"/>
            <w:vAlign w:val="center"/>
          </w:tcPr>
          <w:p w14:paraId="64A88263" w14:textId="77777777" w:rsidR="008D6614" w:rsidRDefault="008D6614">
            <w:pPr>
              <w:rPr>
                <w:rFonts w:ascii="宋体"/>
              </w:rPr>
            </w:pPr>
          </w:p>
        </w:tc>
        <w:tc>
          <w:tcPr>
            <w:tcW w:w="0" w:type="auto"/>
            <w:shd w:val="clear" w:color="auto" w:fill="auto"/>
            <w:vAlign w:val="center"/>
          </w:tcPr>
          <w:p w14:paraId="64A88264" w14:textId="77777777" w:rsidR="008D6614" w:rsidRDefault="008D6614">
            <w:pPr>
              <w:rPr>
                <w:rFonts w:ascii="宋体"/>
              </w:rPr>
            </w:pPr>
          </w:p>
        </w:tc>
        <w:tc>
          <w:tcPr>
            <w:tcW w:w="0" w:type="auto"/>
            <w:shd w:val="clear" w:color="auto" w:fill="auto"/>
            <w:vAlign w:val="center"/>
          </w:tcPr>
          <w:p w14:paraId="64A88265" w14:textId="77777777" w:rsidR="008D6614" w:rsidRDefault="008D6614">
            <w:pPr>
              <w:rPr>
                <w:rFonts w:ascii="宋体"/>
              </w:rPr>
            </w:pPr>
          </w:p>
        </w:tc>
        <w:tc>
          <w:tcPr>
            <w:tcW w:w="0" w:type="auto"/>
            <w:shd w:val="clear" w:color="auto" w:fill="auto"/>
            <w:vAlign w:val="center"/>
          </w:tcPr>
          <w:p w14:paraId="64A88266" w14:textId="77777777" w:rsidR="008D6614" w:rsidRDefault="008D6614">
            <w:pPr>
              <w:rPr>
                <w:rFonts w:ascii="宋体"/>
              </w:rPr>
            </w:pPr>
          </w:p>
        </w:tc>
        <w:tc>
          <w:tcPr>
            <w:tcW w:w="0" w:type="auto"/>
            <w:shd w:val="clear" w:color="auto" w:fill="auto"/>
            <w:vAlign w:val="center"/>
          </w:tcPr>
          <w:p w14:paraId="64A88267" w14:textId="77777777" w:rsidR="008D6614" w:rsidRDefault="008D6614">
            <w:pPr>
              <w:rPr>
                <w:rFonts w:ascii="宋体"/>
              </w:rPr>
            </w:pPr>
          </w:p>
        </w:tc>
      </w:tr>
      <w:tr w:rsidR="008D6614" w14:paraId="64A8826E" w14:textId="77777777">
        <w:trPr>
          <w:jc w:val="center"/>
        </w:trPr>
        <w:tc>
          <w:tcPr>
            <w:tcW w:w="0" w:type="auto"/>
            <w:gridSpan w:val="9"/>
            <w:shd w:val="clear" w:color="auto" w:fill="auto"/>
            <w:tcMar>
              <w:top w:w="40" w:type="dxa"/>
              <w:left w:w="20" w:type="dxa"/>
              <w:bottom w:w="40" w:type="dxa"/>
              <w:right w:w="20" w:type="dxa"/>
            </w:tcMar>
            <w:vAlign w:val="bottom"/>
          </w:tcPr>
          <w:p w14:paraId="64A88269" w14:textId="77777777" w:rsidR="008D6614" w:rsidRDefault="00866AF2">
            <w:pPr>
              <w:jc w:val="center"/>
              <w:textAlignment w:val="bottom"/>
            </w:pPr>
            <w:r>
              <w:rPr>
                <w:rFonts w:ascii="Arial" w:eastAsia="宋体" w:hAnsi="Arial" w:cs="Arial"/>
                <w:color w:val="000000"/>
                <w:sz w:val="14"/>
                <w:szCs w:val="14"/>
              </w:rPr>
              <w:t>(Address of principal executive offices)</w:t>
            </w:r>
          </w:p>
        </w:tc>
        <w:tc>
          <w:tcPr>
            <w:tcW w:w="0" w:type="auto"/>
            <w:gridSpan w:val="3"/>
            <w:shd w:val="clear" w:color="auto" w:fill="auto"/>
            <w:vAlign w:val="center"/>
          </w:tcPr>
          <w:p w14:paraId="64A8826A" w14:textId="77777777" w:rsidR="008D6614" w:rsidRDefault="008D6614">
            <w:pPr>
              <w:rPr>
                <w:rFonts w:ascii="宋体"/>
                <w:vanish/>
              </w:rPr>
            </w:pPr>
          </w:p>
        </w:tc>
        <w:tc>
          <w:tcPr>
            <w:tcW w:w="0" w:type="auto"/>
            <w:gridSpan w:val="3"/>
            <w:shd w:val="clear" w:color="auto" w:fill="auto"/>
            <w:vAlign w:val="center"/>
          </w:tcPr>
          <w:p w14:paraId="64A8826B"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26C"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826D" w14:textId="77777777" w:rsidR="008D6614" w:rsidRDefault="00866AF2">
            <w:pPr>
              <w:jc w:val="center"/>
              <w:textAlignment w:val="top"/>
            </w:pPr>
            <w:r>
              <w:rPr>
                <w:rFonts w:ascii="Arial" w:eastAsia="宋体" w:hAnsi="Arial" w:cs="Arial"/>
                <w:color w:val="000000"/>
                <w:sz w:val="14"/>
                <w:szCs w:val="14"/>
              </w:rPr>
              <w:t>(Zip Code)</w:t>
            </w:r>
          </w:p>
        </w:tc>
      </w:tr>
    </w:tbl>
    <w:p w14:paraId="64A8826F" w14:textId="77777777" w:rsidR="008D6614" w:rsidRDefault="00866AF2">
      <w:pPr>
        <w:spacing w:before="60"/>
        <w:jc w:val="center"/>
      </w:pPr>
      <w:r>
        <w:rPr>
          <w:rFonts w:ascii="Arial" w:eastAsia="宋体" w:hAnsi="Arial" w:cs="Arial"/>
          <w:color w:val="000000"/>
          <w:sz w:val="16"/>
          <w:szCs w:val="16"/>
        </w:rPr>
        <w:t xml:space="preserve">Registrant’s telephone number, including area code: </w:t>
      </w:r>
    </w:p>
    <w:p w14:paraId="64A88270" w14:textId="77777777" w:rsidR="008D6614" w:rsidRDefault="00866AF2">
      <w:pPr>
        <w:jc w:val="center"/>
      </w:pPr>
      <w:r>
        <w:rPr>
          <w:rFonts w:ascii="Arial" w:eastAsia="宋体" w:hAnsi="Arial" w:cs="Arial"/>
          <w:b/>
          <w:bCs/>
          <w:color w:val="000000"/>
          <w:sz w:val="16"/>
          <w:szCs w:val="16"/>
        </w:rPr>
        <w:t xml:space="preserve">(408) 376-7008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8D6614" w14:paraId="64A88274" w14:textId="77777777">
        <w:trPr>
          <w:jc w:val="center"/>
        </w:trPr>
        <w:tc>
          <w:tcPr>
            <w:tcW w:w="50" w:type="pct"/>
            <w:shd w:val="clear" w:color="auto" w:fill="auto"/>
            <w:vAlign w:val="center"/>
          </w:tcPr>
          <w:p w14:paraId="64A88271" w14:textId="77777777" w:rsidR="008D6614" w:rsidRDefault="008D6614">
            <w:pPr>
              <w:rPr>
                <w:rFonts w:ascii="宋体"/>
              </w:rPr>
            </w:pPr>
          </w:p>
        </w:tc>
        <w:tc>
          <w:tcPr>
            <w:tcW w:w="4900" w:type="pct"/>
            <w:shd w:val="clear" w:color="auto" w:fill="auto"/>
            <w:vAlign w:val="center"/>
          </w:tcPr>
          <w:p w14:paraId="64A88272" w14:textId="77777777" w:rsidR="008D6614" w:rsidRDefault="008D6614">
            <w:pPr>
              <w:rPr>
                <w:rFonts w:ascii="宋体"/>
              </w:rPr>
            </w:pPr>
          </w:p>
        </w:tc>
        <w:tc>
          <w:tcPr>
            <w:tcW w:w="50" w:type="pct"/>
            <w:shd w:val="clear" w:color="auto" w:fill="auto"/>
            <w:vAlign w:val="center"/>
          </w:tcPr>
          <w:p w14:paraId="64A88273" w14:textId="77777777" w:rsidR="008D6614" w:rsidRDefault="008D6614">
            <w:pPr>
              <w:rPr>
                <w:rFonts w:ascii="宋体"/>
              </w:rPr>
            </w:pPr>
          </w:p>
        </w:tc>
      </w:tr>
      <w:tr w:rsidR="008D6614" w14:paraId="64A88276"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64A88275" w14:textId="77777777" w:rsidR="008D6614" w:rsidRDefault="008D6614">
            <w:pPr>
              <w:rPr>
                <w:rFonts w:ascii="宋体"/>
              </w:rPr>
            </w:pPr>
          </w:p>
        </w:tc>
      </w:tr>
    </w:tbl>
    <w:p w14:paraId="64A88277" w14:textId="77777777" w:rsidR="008D6614" w:rsidRDefault="00866AF2">
      <w:pPr>
        <w:spacing w:before="60"/>
        <w:jc w:val="center"/>
      </w:pPr>
      <w:r>
        <w:rPr>
          <w:rFonts w:ascii="Arial" w:eastAsia="宋体" w:hAnsi="Arial" w:cs="Arial"/>
          <w:b/>
          <w:bCs/>
          <w:color w:val="000000"/>
          <w:sz w:val="16"/>
          <w:szCs w:val="16"/>
        </w:rPr>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84"/>
        <w:gridCol w:w="2600"/>
        <w:gridCol w:w="84"/>
        <w:gridCol w:w="83"/>
        <w:gridCol w:w="2612"/>
        <w:gridCol w:w="83"/>
        <w:gridCol w:w="83"/>
        <w:gridCol w:w="2612"/>
        <w:gridCol w:w="83"/>
      </w:tblGrid>
      <w:tr w:rsidR="008D6614" w14:paraId="64A88281" w14:textId="77777777">
        <w:trPr>
          <w:jc w:val="center"/>
        </w:trPr>
        <w:tc>
          <w:tcPr>
            <w:tcW w:w="50" w:type="pct"/>
            <w:shd w:val="clear" w:color="auto" w:fill="auto"/>
            <w:vAlign w:val="center"/>
          </w:tcPr>
          <w:p w14:paraId="64A88278" w14:textId="77777777" w:rsidR="008D6614" w:rsidRDefault="008D6614">
            <w:pPr>
              <w:rPr>
                <w:rFonts w:ascii="宋体"/>
              </w:rPr>
            </w:pPr>
          </w:p>
        </w:tc>
        <w:tc>
          <w:tcPr>
            <w:tcW w:w="1561" w:type="pct"/>
            <w:shd w:val="clear" w:color="auto" w:fill="auto"/>
            <w:vAlign w:val="center"/>
          </w:tcPr>
          <w:p w14:paraId="64A88279" w14:textId="77777777" w:rsidR="008D6614" w:rsidRDefault="008D6614">
            <w:pPr>
              <w:rPr>
                <w:rFonts w:ascii="宋体"/>
              </w:rPr>
            </w:pPr>
          </w:p>
        </w:tc>
        <w:tc>
          <w:tcPr>
            <w:tcW w:w="50" w:type="pct"/>
            <w:shd w:val="clear" w:color="auto" w:fill="auto"/>
            <w:vAlign w:val="center"/>
          </w:tcPr>
          <w:p w14:paraId="64A8827A" w14:textId="77777777" w:rsidR="008D6614" w:rsidRDefault="008D6614">
            <w:pPr>
              <w:rPr>
                <w:rFonts w:ascii="宋体"/>
              </w:rPr>
            </w:pPr>
          </w:p>
        </w:tc>
        <w:tc>
          <w:tcPr>
            <w:tcW w:w="50" w:type="pct"/>
            <w:shd w:val="clear" w:color="auto" w:fill="auto"/>
            <w:vAlign w:val="center"/>
          </w:tcPr>
          <w:p w14:paraId="64A8827B" w14:textId="77777777" w:rsidR="008D6614" w:rsidRDefault="008D6614">
            <w:pPr>
              <w:rPr>
                <w:rFonts w:ascii="宋体"/>
              </w:rPr>
            </w:pPr>
          </w:p>
        </w:tc>
        <w:tc>
          <w:tcPr>
            <w:tcW w:w="1569" w:type="pct"/>
            <w:shd w:val="clear" w:color="auto" w:fill="auto"/>
            <w:vAlign w:val="center"/>
          </w:tcPr>
          <w:p w14:paraId="64A8827C" w14:textId="77777777" w:rsidR="008D6614" w:rsidRDefault="008D6614">
            <w:pPr>
              <w:rPr>
                <w:rFonts w:ascii="宋体"/>
              </w:rPr>
            </w:pPr>
          </w:p>
        </w:tc>
        <w:tc>
          <w:tcPr>
            <w:tcW w:w="50" w:type="pct"/>
            <w:shd w:val="clear" w:color="auto" w:fill="auto"/>
            <w:vAlign w:val="center"/>
          </w:tcPr>
          <w:p w14:paraId="64A8827D" w14:textId="77777777" w:rsidR="008D6614" w:rsidRDefault="008D6614">
            <w:pPr>
              <w:rPr>
                <w:rFonts w:ascii="宋体"/>
              </w:rPr>
            </w:pPr>
          </w:p>
        </w:tc>
        <w:tc>
          <w:tcPr>
            <w:tcW w:w="50" w:type="pct"/>
            <w:shd w:val="clear" w:color="auto" w:fill="auto"/>
            <w:vAlign w:val="center"/>
          </w:tcPr>
          <w:p w14:paraId="64A8827E" w14:textId="77777777" w:rsidR="008D6614" w:rsidRDefault="008D6614">
            <w:pPr>
              <w:rPr>
                <w:rFonts w:ascii="宋体"/>
              </w:rPr>
            </w:pPr>
          </w:p>
        </w:tc>
        <w:tc>
          <w:tcPr>
            <w:tcW w:w="1569" w:type="pct"/>
            <w:shd w:val="clear" w:color="auto" w:fill="auto"/>
            <w:vAlign w:val="center"/>
          </w:tcPr>
          <w:p w14:paraId="64A8827F" w14:textId="77777777" w:rsidR="008D6614" w:rsidRDefault="008D6614">
            <w:pPr>
              <w:rPr>
                <w:rFonts w:ascii="宋体"/>
              </w:rPr>
            </w:pPr>
          </w:p>
        </w:tc>
        <w:tc>
          <w:tcPr>
            <w:tcW w:w="50" w:type="pct"/>
            <w:shd w:val="clear" w:color="auto" w:fill="auto"/>
            <w:vAlign w:val="center"/>
          </w:tcPr>
          <w:p w14:paraId="64A88280" w14:textId="77777777" w:rsidR="008D6614" w:rsidRDefault="008D6614">
            <w:pPr>
              <w:rPr>
                <w:rFonts w:ascii="宋体"/>
              </w:rPr>
            </w:pPr>
          </w:p>
        </w:tc>
      </w:tr>
      <w:tr w:rsidR="008D6614" w14:paraId="64A88285" w14:textId="77777777">
        <w:trPr>
          <w:jc w:val="center"/>
        </w:trPr>
        <w:tc>
          <w:tcPr>
            <w:tcW w:w="0" w:type="auto"/>
            <w:gridSpan w:val="3"/>
            <w:shd w:val="clear" w:color="auto" w:fill="auto"/>
            <w:tcMar>
              <w:top w:w="40" w:type="dxa"/>
              <w:left w:w="20" w:type="dxa"/>
              <w:bottom w:w="40" w:type="dxa"/>
              <w:right w:w="20" w:type="dxa"/>
            </w:tcMar>
            <w:vAlign w:val="bottom"/>
          </w:tcPr>
          <w:p w14:paraId="64A88282" w14:textId="77777777" w:rsidR="008D6614" w:rsidRDefault="00866AF2">
            <w:pPr>
              <w:jc w:val="center"/>
              <w:textAlignment w:val="bottom"/>
            </w:pPr>
            <w:r>
              <w:rPr>
                <w:rFonts w:ascii="Arial" w:eastAsia="宋体" w:hAnsi="Arial" w:cs="Arial"/>
                <w:color w:val="000000"/>
                <w:sz w:val="16"/>
                <w:szCs w:val="16"/>
                <w:u w:val="single"/>
              </w:rPr>
              <w:t>Title of each class</w:t>
            </w:r>
          </w:p>
        </w:tc>
        <w:tc>
          <w:tcPr>
            <w:tcW w:w="0" w:type="auto"/>
            <w:gridSpan w:val="3"/>
            <w:shd w:val="clear" w:color="auto" w:fill="auto"/>
            <w:tcMar>
              <w:top w:w="40" w:type="dxa"/>
              <w:left w:w="20" w:type="dxa"/>
              <w:bottom w:w="40" w:type="dxa"/>
              <w:right w:w="20" w:type="dxa"/>
            </w:tcMar>
            <w:vAlign w:val="bottom"/>
          </w:tcPr>
          <w:p w14:paraId="64A88283" w14:textId="77777777" w:rsidR="008D6614" w:rsidRDefault="00866AF2">
            <w:pPr>
              <w:jc w:val="center"/>
              <w:textAlignment w:val="bottom"/>
            </w:pPr>
            <w:r>
              <w:rPr>
                <w:rFonts w:ascii="Arial" w:eastAsia="宋体" w:hAnsi="Arial" w:cs="Arial"/>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64A88284" w14:textId="77777777" w:rsidR="008D6614" w:rsidRDefault="00866AF2">
            <w:pPr>
              <w:jc w:val="center"/>
              <w:textAlignment w:val="bottom"/>
            </w:pPr>
            <w:r>
              <w:rPr>
                <w:rFonts w:ascii="Arial" w:eastAsia="宋体" w:hAnsi="Arial" w:cs="Arial"/>
                <w:color w:val="000000"/>
                <w:sz w:val="16"/>
                <w:szCs w:val="16"/>
                <w:u w:val="single"/>
              </w:rPr>
              <w:t>Name of exchange on which registered</w:t>
            </w:r>
          </w:p>
        </w:tc>
      </w:tr>
      <w:tr w:rsidR="008D6614" w14:paraId="64A88289" w14:textId="77777777">
        <w:trPr>
          <w:jc w:val="center"/>
        </w:trPr>
        <w:tc>
          <w:tcPr>
            <w:tcW w:w="0" w:type="auto"/>
            <w:gridSpan w:val="3"/>
            <w:shd w:val="clear" w:color="auto" w:fill="auto"/>
            <w:tcMar>
              <w:top w:w="40" w:type="dxa"/>
              <w:left w:w="20" w:type="dxa"/>
              <w:bottom w:w="40" w:type="dxa"/>
              <w:right w:w="20" w:type="dxa"/>
            </w:tcMar>
            <w:vAlign w:val="bottom"/>
          </w:tcPr>
          <w:p w14:paraId="64A88286" w14:textId="77777777" w:rsidR="008D6614" w:rsidRDefault="00866AF2">
            <w:pPr>
              <w:jc w:val="center"/>
              <w:textAlignment w:val="bottom"/>
            </w:pPr>
            <w:r>
              <w:rPr>
                <w:rFonts w:ascii="Arial" w:eastAsia="宋体" w:hAnsi="Arial" w:cs="Arial"/>
                <w:color w:val="000000"/>
                <w:sz w:val="16"/>
                <w:szCs w:val="16"/>
              </w:rPr>
              <w:t>Common stock</w:t>
            </w:r>
          </w:p>
        </w:tc>
        <w:tc>
          <w:tcPr>
            <w:tcW w:w="0" w:type="auto"/>
            <w:gridSpan w:val="3"/>
            <w:shd w:val="clear" w:color="auto" w:fill="auto"/>
            <w:tcMar>
              <w:top w:w="40" w:type="dxa"/>
              <w:left w:w="20" w:type="dxa"/>
              <w:bottom w:w="40" w:type="dxa"/>
              <w:right w:w="20" w:type="dxa"/>
            </w:tcMar>
            <w:vAlign w:val="bottom"/>
          </w:tcPr>
          <w:p w14:paraId="64A88287" w14:textId="77777777" w:rsidR="008D6614" w:rsidRDefault="00866AF2">
            <w:pPr>
              <w:jc w:val="center"/>
              <w:textAlignment w:val="bottom"/>
            </w:pPr>
            <w:r>
              <w:rPr>
                <w:rFonts w:ascii="Arial" w:eastAsia="宋体" w:hAnsi="Arial" w:cs="Arial"/>
                <w:color w:val="000000"/>
                <w:sz w:val="16"/>
                <w:szCs w:val="16"/>
              </w:rPr>
              <w:t>EBAY</w:t>
            </w:r>
          </w:p>
        </w:tc>
        <w:tc>
          <w:tcPr>
            <w:tcW w:w="0" w:type="auto"/>
            <w:gridSpan w:val="3"/>
            <w:shd w:val="clear" w:color="auto" w:fill="auto"/>
            <w:tcMar>
              <w:top w:w="40" w:type="dxa"/>
              <w:left w:w="20" w:type="dxa"/>
              <w:bottom w:w="40" w:type="dxa"/>
              <w:right w:w="20" w:type="dxa"/>
            </w:tcMar>
            <w:vAlign w:val="bottom"/>
          </w:tcPr>
          <w:p w14:paraId="64A88288" w14:textId="77777777" w:rsidR="008D6614" w:rsidRDefault="00866AF2">
            <w:pPr>
              <w:jc w:val="center"/>
              <w:textAlignment w:val="bottom"/>
            </w:pPr>
            <w:r>
              <w:rPr>
                <w:rFonts w:ascii="Arial" w:eastAsia="宋体" w:hAnsi="Arial" w:cs="Arial"/>
                <w:color w:val="000000"/>
                <w:sz w:val="16"/>
                <w:szCs w:val="16"/>
              </w:rPr>
              <w:t xml:space="preserve">The Nasdaq </w:t>
            </w:r>
            <w:r>
              <w:rPr>
                <w:rFonts w:ascii="Arial" w:eastAsia="宋体" w:hAnsi="Arial" w:cs="Arial"/>
                <w:color w:val="000000"/>
                <w:sz w:val="16"/>
                <w:szCs w:val="16"/>
              </w:rPr>
              <w:t>Global Select Market</w:t>
            </w:r>
          </w:p>
        </w:tc>
      </w:tr>
      <w:tr w:rsidR="008D6614" w14:paraId="64A8828D" w14:textId="77777777">
        <w:trPr>
          <w:jc w:val="center"/>
        </w:trPr>
        <w:tc>
          <w:tcPr>
            <w:tcW w:w="0" w:type="auto"/>
            <w:gridSpan w:val="3"/>
            <w:shd w:val="clear" w:color="auto" w:fill="auto"/>
            <w:tcMar>
              <w:top w:w="40" w:type="dxa"/>
              <w:left w:w="20" w:type="dxa"/>
              <w:bottom w:w="40" w:type="dxa"/>
              <w:right w:w="20" w:type="dxa"/>
            </w:tcMar>
            <w:vAlign w:val="bottom"/>
          </w:tcPr>
          <w:p w14:paraId="64A8828A" w14:textId="77777777" w:rsidR="008D6614" w:rsidRDefault="00866AF2">
            <w:pPr>
              <w:jc w:val="center"/>
              <w:textAlignment w:val="bottom"/>
            </w:pPr>
            <w:r>
              <w:rPr>
                <w:rFonts w:ascii="Arial" w:eastAsia="宋体" w:hAnsi="Arial" w:cs="Arial"/>
                <w:color w:val="000000"/>
                <w:sz w:val="16"/>
                <w:szCs w:val="16"/>
              </w:rPr>
              <w:t>6.00% Notes due 2056</w:t>
            </w:r>
          </w:p>
        </w:tc>
        <w:tc>
          <w:tcPr>
            <w:tcW w:w="0" w:type="auto"/>
            <w:gridSpan w:val="3"/>
            <w:shd w:val="clear" w:color="auto" w:fill="auto"/>
            <w:tcMar>
              <w:top w:w="40" w:type="dxa"/>
              <w:left w:w="20" w:type="dxa"/>
              <w:bottom w:w="40" w:type="dxa"/>
              <w:right w:w="20" w:type="dxa"/>
            </w:tcMar>
            <w:vAlign w:val="bottom"/>
          </w:tcPr>
          <w:p w14:paraId="64A8828B" w14:textId="77777777" w:rsidR="008D6614" w:rsidRDefault="00866AF2">
            <w:pPr>
              <w:jc w:val="center"/>
              <w:textAlignment w:val="bottom"/>
            </w:pPr>
            <w:r>
              <w:rPr>
                <w:rFonts w:ascii="Arial" w:eastAsia="宋体" w:hAnsi="Arial" w:cs="Arial"/>
                <w:color w:val="000000"/>
                <w:sz w:val="16"/>
                <w:szCs w:val="16"/>
              </w:rPr>
              <w:t>EBAYL</w:t>
            </w:r>
          </w:p>
        </w:tc>
        <w:tc>
          <w:tcPr>
            <w:tcW w:w="0" w:type="auto"/>
            <w:gridSpan w:val="3"/>
            <w:shd w:val="clear" w:color="auto" w:fill="auto"/>
            <w:tcMar>
              <w:top w:w="40" w:type="dxa"/>
              <w:left w:w="20" w:type="dxa"/>
              <w:bottom w:w="40" w:type="dxa"/>
              <w:right w:w="20" w:type="dxa"/>
            </w:tcMar>
            <w:vAlign w:val="bottom"/>
          </w:tcPr>
          <w:p w14:paraId="64A8828C" w14:textId="77777777" w:rsidR="008D6614" w:rsidRDefault="00866AF2">
            <w:pPr>
              <w:jc w:val="center"/>
              <w:textAlignment w:val="bottom"/>
            </w:pPr>
            <w:r>
              <w:rPr>
                <w:rFonts w:ascii="Arial" w:eastAsia="宋体" w:hAnsi="Arial" w:cs="Arial"/>
                <w:color w:val="000000"/>
                <w:sz w:val="16"/>
                <w:szCs w:val="16"/>
              </w:rPr>
              <w:t>The Nasdaq Global Select Market</w:t>
            </w:r>
          </w:p>
        </w:tc>
      </w:tr>
    </w:tbl>
    <w:p w14:paraId="64A8828E" w14:textId="77777777" w:rsidR="008D6614" w:rsidRDefault="008D6614">
      <w:pPr>
        <w:jc w:val="center"/>
      </w:pP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8D6614" w14:paraId="64A88292" w14:textId="77777777">
        <w:trPr>
          <w:jc w:val="center"/>
        </w:trPr>
        <w:tc>
          <w:tcPr>
            <w:tcW w:w="50" w:type="pct"/>
            <w:shd w:val="clear" w:color="auto" w:fill="auto"/>
            <w:vAlign w:val="center"/>
          </w:tcPr>
          <w:p w14:paraId="64A8828F" w14:textId="77777777" w:rsidR="008D6614" w:rsidRDefault="008D6614">
            <w:pPr>
              <w:rPr>
                <w:rFonts w:ascii="宋体"/>
              </w:rPr>
            </w:pPr>
          </w:p>
        </w:tc>
        <w:tc>
          <w:tcPr>
            <w:tcW w:w="4900" w:type="pct"/>
            <w:shd w:val="clear" w:color="auto" w:fill="auto"/>
            <w:vAlign w:val="center"/>
          </w:tcPr>
          <w:p w14:paraId="64A88290" w14:textId="77777777" w:rsidR="008D6614" w:rsidRDefault="008D6614">
            <w:pPr>
              <w:rPr>
                <w:rFonts w:ascii="宋体"/>
              </w:rPr>
            </w:pPr>
          </w:p>
        </w:tc>
        <w:tc>
          <w:tcPr>
            <w:tcW w:w="50" w:type="pct"/>
            <w:shd w:val="clear" w:color="auto" w:fill="auto"/>
            <w:vAlign w:val="center"/>
          </w:tcPr>
          <w:p w14:paraId="64A88291" w14:textId="77777777" w:rsidR="008D6614" w:rsidRDefault="008D6614">
            <w:pPr>
              <w:rPr>
                <w:rFonts w:ascii="宋体"/>
              </w:rPr>
            </w:pPr>
          </w:p>
        </w:tc>
      </w:tr>
      <w:tr w:rsidR="008D6614" w14:paraId="64A88294"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64A88293" w14:textId="77777777" w:rsidR="008D6614" w:rsidRDefault="008D6614">
            <w:pPr>
              <w:rPr>
                <w:rFonts w:ascii="宋体"/>
              </w:rPr>
            </w:pPr>
          </w:p>
        </w:tc>
      </w:tr>
    </w:tbl>
    <w:p w14:paraId="64A88295" w14:textId="77777777" w:rsidR="008D6614" w:rsidRDefault="008D6614">
      <w:pPr>
        <w:jc w:val="center"/>
      </w:pPr>
    </w:p>
    <w:p w14:paraId="64A88296" w14:textId="77777777" w:rsidR="008D6614" w:rsidRDefault="00866AF2">
      <w:pPr>
        <w:spacing w:before="120"/>
        <w:jc w:val="both"/>
      </w:pPr>
      <w:r>
        <w:rPr>
          <w:rFonts w:ascii="Arial" w:eastAsia="宋体" w:hAnsi="Arial" w:cs="Arial"/>
          <w:color w:val="00000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sz w:val="14"/>
          <w:szCs w:val="14"/>
        </w:rPr>
        <w:t xml:space="preserve">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64A88297" w14:textId="77777777" w:rsidR="008D6614" w:rsidRDefault="00866AF2">
      <w:pPr>
        <w:spacing w:before="120"/>
        <w:jc w:val="both"/>
      </w:pPr>
      <w:r>
        <w:rPr>
          <w:rFonts w:ascii="Arial" w:eastAsia="宋体" w:hAnsi="Arial" w:cs="Arial"/>
          <w:color w:val="000000"/>
          <w:sz w:val="14"/>
          <w:szCs w:val="14"/>
        </w:rPr>
        <w:t>Indicate by check mark whether the registrant has submitted electronically every Interactive Data File required to be submitted pursuant to Rule 405 of Re</w:t>
      </w:r>
      <w:r>
        <w:rPr>
          <w:rFonts w:ascii="Arial" w:eastAsia="宋体" w:hAnsi="Arial" w:cs="Arial"/>
          <w:color w:val="000000"/>
          <w:sz w:val="14"/>
          <w:szCs w:val="14"/>
        </w:rPr>
        <w:t xml:space="preserv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4"/>
          <w:szCs w:val="14"/>
        </w:rPr>
        <w:t>☐</w:t>
      </w:r>
    </w:p>
    <w:p w14:paraId="64A88298" w14:textId="77777777" w:rsidR="008D6614" w:rsidRDefault="008D6614">
      <w:pPr>
        <w:jc w:val="both"/>
      </w:pPr>
    </w:p>
    <w:p w14:paraId="64A88299" w14:textId="77777777" w:rsidR="008D6614" w:rsidRDefault="00866AF2">
      <w:pPr>
        <w:jc w:val="both"/>
      </w:pPr>
      <w:r>
        <w:rPr>
          <w:rFonts w:ascii="Arial" w:eastAsia="宋体" w:hAnsi="Arial" w:cs="Arial"/>
          <w:color w:val="000000"/>
          <w:sz w:val="14"/>
          <w:szCs w:val="14"/>
        </w:rPr>
        <w:t>Indicate by check mark whether the registrant is a large accelerated filer, an acceler</w:t>
      </w:r>
      <w:r>
        <w:rPr>
          <w:rFonts w:ascii="Arial" w:eastAsia="宋体" w:hAnsi="Arial" w:cs="Arial"/>
          <w:color w:val="000000"/>
          <w:sz w:val="14"/>
          <w:szCs w:val="14"/>
        </w:rPr>
        <w:t xml:space="preserve">ated filer, a non-accelerated filer, a smaller reporting company, or an emerging growth company. See the definitions of “large accelerated filer,” “accelerated filer,” “smaller reporting company” and “emerging growth company” in Rule 12b-2 of the Exchange </w:t>
      </w:r>
      <w:r>
        <w:rPr>
          <w:rFonts w:ascii="Arial" w:eastAsia="宋体" w:hAnsi="Arial" w:cs="Arial"/>
          <w:color w:val="000000"/>
          <w:sz w:val="14"/>
          <w:szCs w:val="14"/>
        </w:rPr>
        <w:t xml:space="preserve">Act. </w:t>
      </w: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1625"/>
        <w:gridCol w:w="84"/>
        <w:gridCol w:w="84"/>
        <w:gridCol w:w="163"/>
        <w:gridCol w:w="83"/>
        <w:gridCol w:w="83"/>
        <w:gridCol w:w="3636"/>
        <w:gridCol w:w="83"/>
        <w:gridCol w:w="83"/>
        <w:gridCol w:w="1917"/>
        <w:gridCol w:w="83"/>
        <w:gridCol w:w="83"/>
        <w:gridCol w:w="162"/>
        <w:gridCol w:w="83"/>
      </w:tblGrid>
      <w:tr w:rsidR="008D6614" w14:paraId="64A882A9" w14:textId="77777777">
        <w:trPr>
          <w:jc w:val="center"/>
        </w:trPr>
        <w:tc>
          <w:tcPr>
            <w:tcW w:w="50" w:type="pct"/>
            <w:shd w:val="clear" w:color="auto" w:fill="auto"/>
            <w:vAlign w:val="center"/>
          </w:tcPr>
          <w:p w14:paraId="64A8829A" w14:textId="77777777" w:rsidR="008D6614" w:rsidRDefault="008D6614">
            <w:pPr>
              <w:rPr>
                <w:rFonts w:ascii="宋体"/>
              </w:rPr>
            </w:pPr>
          </w:p>
        </w:tc>
        <w:tc>
          <w:tcPr>
            <w:tcW w:w="974" w:type="pct"/>
            <w:shd w:val="clear" w:color="auto" w:fill="auto"/>
            <w:vAlign w:val="center"/>
          </w:tcPr>
          <w:p w14:paraId="64A8829B" w14:textId="77777777" w:rsidR="008D6614" w:rsidRDefault="008D6614">
            <w:pPr>
              <w:rPr>
                <w:rFonts w:ascii="宋体"/>
              </w:rPr>
            </w:pPr>
          </w:p>
        </w:tc>
        <w:tc>
          <w:tcPr>
            <w:tcW w:w="50" w:type="pct"/>
            <w:shd w:val="clear" w:color="auto" w:fill="auto"/>
            <w:vAlign w:val="center"/>
          </w:tcPr>
          <w:p w14:paraId="64A8829C" w14:textId="77777777" w:rsidR="008D6614" w:rsidRDefault="008D6614">
            <w:pPr>
              <w:rPr>
                <w:rFonts w:ascii="宋体"/>
              </w:rPr>
            </w:pPr>
          </w:p>
        </w:tc>
        <w:tc>
          <w:tcPr>
            <w:tcW w:w="50" w:type="pct"/>
            <w:shd w:val="clear" w:color="auto" w:fill="auto"/>
            <w:vAlign w:val="center"/>
          </w:tcPr>
          <w:p w14:paraId="64A8829D" w14:textId="77777777" w:rsidR="008D6614" w:rsidRDefault="008D6614">
            <w:pPr>
              <w:rPr>
                <w:rFonts w:ascii="宋体"/>
              </w:rPr>
            </w:pPr>
          </w:p>
        </w:tc>
        <w:tc>
          <w:tcPr>
            <w:tcW w:w="97" w:type="pct"/>
            <w:shd w:val="clear" w:color="auto" w:fill="auto"/>
            <w:vAlign w:val="center"/>
          </w:tcPr>
          <w:p w14:paraId="64A8829E" w14:textId="77777777" w:rsidR="008D6614" w:rsidRDefault="008D6614">
            <w:pPr>
              <w:rPr>
                <w:rFonts w:ascii="宋体"/>
              </w:rPr>
            </w:pPr>
          </w:p>
        </w:tc>
        <w:tc>
          <w:tcPr>
            <w:tcW w:w="50" w:type="pct"/>
            <w:shd w:val="clear" w:color="auto" w:fill="auto"/>
            <w:vAlign w:val="center"/>
          </w:tcPr>
          <w:p w14:paraId="64A8829F" w14:textId="77777777" w:rsidR="008D6614" w:rsidRDefault="008D6614">
            <w:pPr>
              <w:rPr>
                <w:rFonts w:ascii="宋体"/>
              </w:rPr>
            </w:pPr>
          </w:p>
        </w:tc>
        <w:tc>
          <w:tcPr>
            <w:tcW w:w="50" w:type="pct"/>
            <w:shd w:val="clear" w:color="auto" w:fill="auto"/>
            <w:vAlign w:val="center"/>
          </w:tcPr>
          <w:p w14:paraId="64A882A0" w14:textId="77777777" w:rsidR="008D6614" w:rsidRDefault="008D6614">
            <w:pPr>
              <w:rPr>
                <w:rFonts w:ascii="宋体"/>
              </w:rPr>
            </w:pPr>
          </w:p>
        </w:tc>
        <w:tc>
          <w:tcPr>
            <w:tcW w:w="2180" w:type="pct"/>
            <w:shd w:val="clear" w:color="auto" w:fill="auto"/>
            <w:vAlign w:val="center"/>
          </w:tcPr>
          <w:p w14:paraId="64A882A1" w14:textId="77777777" w:rsidR="008D6614" w:rsidRDefault="008D6614">
            <w:pPr>
              <w:rPr>
                <w:rFonts w:ascii="宋体"/>
              </w:rPr>
            </w:pPr>
          </w:p>
        </w:tc>
        <w:tc>
          <w:tcPr>
            <w:tcW w:w="50" w:type="pct"/>
            <w:shd w:val="clear" w:color="auto" w:fill="auto"/>
            <w:vAlign w:val="center"/>
          </w:tcPr>
          <w:p w14:paraId="64A882A2" w14:textId="77777777" w:rsidR="008D6614" w:rsidRDefault="008D6614">
            <w:pPr>
              <w:rPr>
                <w:rFonts w:ascii="宋体"/>
              </w:rPr>
            </w:pPr>
          </w:p>
        </w:tc>
        <w:tc>
          <w:tcPr>
            <w:tcW w:w="50" w:type="pct"/>
            <w:shd w:val="clear" w:color="auto" w:fill="auto"/>
            <w:vAlign w:val="center"/>
          </w:tcPr>
          <w:p w14:paraId="64A882A3" w14:textId="77777777" w:rsidR="008D6614" w:rsidRDefault="008D6614">
            <w:pPr>
              <w:rPr>
                <w:rFonts w:ascii="宋体"/>
              </w:rPr>
            </w:pPr>
          </w:p>
        </w:tc>
        <w:tc>
          <w:tcPr>
            <w:tcW w:w="1150" w:type="pct"/>
            <w:shd w:val="clear" w:color="auto" w:fill="auto"/>
            <w:vAlign w:val="center"/>
          </w:tcPr>
          <w:p w14:paraId="64A882A4" w14:textId="77777777" w:rsidR="008D6614" w:rsidRDefault="008D6614">
            <w:pPr>
              <w:rPr>
                <w:rFonts w:ascii="宋体"/>
              </w:rPr>
            </w:pPr>
          </w:p>
        </w:tc>
        <w:tc>
          <w:tcPr>
            <w:tcW w:w="50" w:type="pct"/>
            <w:shd w:val="clear" w:color="auto" w:fill="auto"/>
            <w:vAlign w:val="center"/>
          </w:tcPr>
          <w:p w14:paraId="64A882A5" w14:textId="77777777" w:rsidR="008D6614" w:rsidRDefault="008D6614">
            <w:pPr>
              <w:rPr>
                <w:rFonts w:ascii="宋体"/>
              </w:rPr>
            </w:pPr>
          </w:p>
        </w:tc>
        <w:tc>
          <w:tcPr>
            <w:tcW w:w="50" w:type="pct"/>
            <w:shd w:val="clear" w:color="auto" w:fill="auto"/>
            <w:vAlign w:val="center"/>
          </w:tcPr>
          <w:p w14:paraId="64A882A6" w14:textId="77777777" w:rsidR="008D6614" w:rsidRDefault="008D6614">
            <w:pPr>
              <w:rPr>
                <w:rFonts w:ascii="宋体"/>
              </w:rPr>
            </w:pPr>
          </w:p>
        </w:tc>
        <w:tc>
          <w:tcPr>
            <w:tcW w:w="97" w:type="pct"/>
            <w:shd w:val="clear" w:color="auto" w:fill="auto"/>
            <w:vAlign w:val="center"/>
          </w:tcPr>
          <w:p w14:paraId="64A882A7" w14:textId="77777777" w:rsidR="008D6614" w:rsidRDefault="008D6614">
            <w:pPr>
              <w:rPr>
                <w:rFonts w:ascii="宋体"/>
              </w:rPr>
            </w:pPr>
          </w:p>
        </w:tc>
        <w:tc>
          <w:tcPr>
            <w:tcW w:w="50" w:type="pct"/>
            <w:shd w:val="clear" w:color="auto" w:fill="auto"/>
            <w:vAlign w:val="center"/>
          </w:tcPr>
          <w:p w14:paraId="64A882A8" w14:textId="77777777" w:rsidR="008D6614" w:rsidRDefault="008D6614">
            <w:pPr>
              <w:rPr>
                <w:rFonts w:ascii="宋体"/>
              </w:rPr>
            </w:pPr>
          </w:p>
        </w:tc>
      </w:tr>
      <w:tr w:rsidR="008D6614" w14:paraId="64A882AF" w14:textId="77777777">
        <w:trPr>
          <w:jc w:val="center"/>
        </w:trPr>
        <w:tc>
          <w:tcPr>
            <w:tcW w:w="0" w:type="auto"/>
            <w:gridSpan w:val="3"/>
            <w:shd w:val="clear" w:color="auto" w:fill="auto"/>
            <w:tcMar>
              <w:top w:w="40" w:type="dxa"/>
              <w:left w:w="20" w:type="dxa"/>
              <w:bottom w:w="40" w:type="dxa"/>
              <w:right w:w="20" w:type="dxa"/>
            </w:tcMar>
            <w:vAlign w:val="bottom"/>
          </w:tcPr>
          <w:p w14:paraId="64A882AA" w14:textId="77777777" w:rsidR="008D6614" w:rsidRDefault="00866AF2">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64A882AB" w14:textId="77777777" w:rsidR="008D6614" w:rsidRDefault="00866AF2">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left w:w="20" w:type="dxa"/>
              <w:right w:w="20" w:type="dxa"/>
            </w:tcMar>
            <w:vAlign w:val="bottom"/>
          </w:tcPr>
          <w:p w14:paraId="64A882AC"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82AD" w14:textId="77777777" w:rsidR="008D6614" w:rsidRDefault="00866AF2">
            <w:pPr>
              <w:textAlignment w:val="bottom"/>
            </w:pPr>
            <w:r>
              <w:rPr>
                <w:rFonts w:ascii="Arial" w:eastAsia="宋体" w:hAnsi="Arial" w:cs="Arial"/>
                <w:color w:val="000000"/>
                <w:sz w:val="14"/>
                <w:szCs w:val="14"/>
              </w:rPr>
              <w:t>Accelerated filer</w:t>
            </w:r>
          </w:p>
        </w:tc>
        <w:tc>
          <w:tcPr>
            <w:tcW w:w="0" w:type="auto"/>
            <w:gridSpan w:val="3"/>
            <w:shd w:val="clear" w:color="auto" w:fill="auto"/>
            <w:tcMar>
              <w:top w:w="40" w:type="dxa"/>
              <w:left w:w="20" w:type="dxa"/>
              <w:bottom w:w="40" w:type="dxa"/>
              <w:right w:w="20" w:type="dxa"/>
            </w:tcMar>
            <w:vAlign w:val="bottom"/>
          </w:tcPr>
          <w:p w14:paraId="64A882AE" w14:textId="77777777" w:rsidR="008D6614" w:rsidRDefault="00866AF2">
            <w:pPr>
              <w:jc w:val="center"/>
              <w:textAlignment w:val="bottom"/>
            </w:pPr>
            <w:r>
              <w:rPr>
                <w:rFonts w:ascii="Arial Unicode MS" w:eastAsia="Arial Unicode MS" w:hAnsi="Arial Unicode MS" w:cs="Arial Unicode MS" w:hint="eastAsia"/>
                <w:color w:val="000000"/>
                <w:sz w:val="18"/>
                <w:szCs w:val="18"/>
              </w:rPr>
              <w:t>☐</w:t>
            </w:r>
          </w:p>
        </w:tc>
      </w:tr>
      <w:tr w:rsidR="008D6614" w14:paraId="64A882B5" w14:textId="77777777">
        <w:trPr>
          <w:jc w:val="center"/>
        </w:trPr>
        <w:tc>
          <w:tcPr>
            <w:tcW w:w="0" w:type="auto"/>
            <w:gridSpan w:val="3"/>
            <w:shd w:val="clear" w:color="auto" w:fill="auto"/>
            <w:tcMar>
              <w:top w:w="40" w:type="dxa"/>
              <w:left w:w="20" w:type="dxa"/>
              <w:bottom w:w="40" w:type="dxa"/>
              <w:right w:w="20" w:type="dxa"/>
            </w:tcMar>
            <w:vAlign w:val="bottom"/>
          </w:tcPr>
          <w:p w14:paraId="64A882B0" w14:textId="77777777" w:rsidR="008D6614" w:rsidRDefault="00866AF2">
            <w:pPr>
              <w:textAlignment w:val="bottom"/>
            </w:pPr>
            <w:r>
              <w:rPr>
                <w:rFonts w:ascii="Arial" w:eastAsia="宋体" w:hAnsi="Arial" w:cs="Arial"/>
                <w:color w:val="000000"/>
                <w:sz w:val="14"/>
                <w:szCs w:val="14"/>
              </w:rPr>
              <w:t>Non-accelerated filer</w:t>
            </w:r>
          </w:p>
        </w:tc>
        <w:tc>
          <w:tcPr>
            <w:tcW w:w="0" w:type="auto"/>
            <w:gridSpan w:val="3"/>
            <w:shd w:val="clear" w:color="auto" w:fill="auto"/>
            <w:tcMar>
              <w:top w:w="40" w:type="dxa"/>
              <w:left w:w="20" w:type="dxa"/>
              <w:bottom w:w="40" w:type="dxa"/>
              <w:right w:w="20" w:type="dxa"/>
            </w:tcMar>
            <w:vAlign w:val="bottom"/>
          </w:tcPr>
          <w:p w14:paraId="64A882B1" w14:textId="77777777" w:rsidR="008D6614" w:rsidRDefault="00866AF2">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left w:w="20" w:type="dxa"/>
              <w:right w:w="20" w:type="dxa"/>
            </w:tcMar>
            <w:vAlign w:val="bottom"/>
          </w:tcPr>
          <w:p w14:paraId="64A882B2"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82B3" w14:textId="77777777" w:rsidR="008D6614" w:rsidRDefault="00866AF2">
            <w:pPr>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64A882B4" w14:textId="77777777" w:rsidR="008D6614" w:rsidRDefault="00866AF2">
            <w:pPr>
              <w:jc w:val="center"/>
              <w:textAlignment w:val="bottom"/>
            </w:pPr>
            <w:r>
              <w:rPr>
                <w:rFonts w:ascii="Arial Unicode MS" w:eastAsia="Arial Unicode MS" w:hAnsi="Arial Unicode MS" w:cs="Arial Unicode MS" w:hint="eastAsia"/>
                <w:color w:val="000000"/>
                <w:sz w:val="18"/>
                <w:szCs w:val="18"/>
              </w:rPr>
              <w:t>☐</w:t>
            </w:r>
          </w:p>
        </w:tc>
      </w:tr>
      <w:tr w:rsidR="008D6614" w14:paraId="64A882BB" w14:textId="77777777">
        <w:trPr>
          <w:jc w:val="center"/>
        </w:trPr>
        <w:tc>
          <w:tcPr>
            <w:tcW w:w="0" w:type="auto"/>
            <w:gridSpan w:val="3"/>
            <w:shd w:val="clear" w:color="auto" w:fill="auto"/>
            <w:tcMar>
              <w:left w:w="20" w:type="dxa"/>
              <w:right w:w="20" w:type="dxa"/>
            </w:tcMar>
            <w:vAlign w:val="bottom"/>
          </w:tcPr>
          <w:p w14:paraId="64A882B6"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82B7"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82B8"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82B9" w14:textId="77777777" w:rsidR="008D6614" w:rsidRDefault="00866AF2">
            <w:pPr>
              <w:textAlignment w:val="bottom"/>
            </w:pPr>
            <w:r>
              <w:rPr>
                <w:rFonts w:ascii="Arial" w:eastAsia="宋体" w:hAnsi="Arial" w:cs="Arial"/>
                <w:color w:val="000000"/>
                <w:sz w:val="14"/>
                <w:szCs w:val="14"/>
              </w:rPr>
              <w:t>Emerging growth company</w:t>
            </w:r>
          </w:p>
        </w:tc>
        <w:tc>
          <w:tcPr>
            <w:tcW w:w="0" w:type="auto"/>
            <w:gridSpan w:val="3"/>
            <w:shd w:val="clear" w:color="auto" w:fill="auto"/>
            <w:tcMar>
              <w:top w:w="40" w:type="dxa"/>
              <w:left w:w="20" w:type="dxa"/>
              <w:bottom w:w="40" w:type="dxa"/>
              <w:right w:w="20" w:type="dxa"/>
            </w:tcMar>
            <w:vAlign w:val="bottom"/>
          </w:tcPr>
          <w:p w14:paraId="64A882BA" w14:textId="77777777" w:rsidR="008D6614" w:rsidRDefault="00866AF2">
            <w:pPr>
              <w:jc w:val="center"/>
              <w:textAlignment w:val="bottom"/>
            </w:pPr>
            <w:r>
              <w:rPr>
                <w:rFonts w:ascii="Arial Unicode MS" w:eastAsia="Arial Unicode MS" w:hAnsi="Arial Unicode MS" w:cs="Arial Unicode MS" w:hint="eastAsia"/>
                <w:color w:val="000000"/>
                <w:sz w:val="18"/>
                <w:szCs w:val="18"/>
              </w:rPr>
              <w:t>☐</w:t>
            </w:r>
          </w:p>
        </w:tc>
      </w:tr>
    </w:tbl>
    <w:p w14:paraId="64A882BC" w14:textId="77777777" w:rsidR="008D6614" w:rsidRDefault="00866AF2">
      <w:r>
        <w:rPr>
          <w:rFonts w:ascii="Arial" w:eastAsia="宋体" w:hAnsi="Arial" w:cs="Arial"/>
          <w:color w:val="000000"/>
          <w:sz w:val="14"/>
          <w:szCs w:val="14"/>
        </w:rPr>
        <w:t xml:space="preserve">If an emerging growth company, indicate by check mark if the registrant has elected not to use the </w:t>
      </w:r>
      <w:r>
        <w:rPr>
          <w:rFonts w:ascii="Arial" w:eastAsia="宋体" w:hAnsi="Arial" w:cs="Arial"/>
          <w:color w:val="000000"/>
          <w:sz w:val="14"/>
          <w:szCs w:val="14"/>
        </w:rPr>
        <w:t>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64A882BD" w14:textId="77777777" w:rsidR="008D6614" w:rsidRDefault="00866AF2">
      <w:pPr>
        <w:spacing w:before="80"/>
      </w:pPr>
      <w:r>
        <w:rPr>
          <w:rFonts w:ascii="Arial" w:eastAsia="宋体" w:hAnsi="Arial" w:cs="Arial"/>
          <w:color w:val="000000"/>
          <w:sz w:val="14"/>
          <w:szCs w:val="14"/>
        </w:rPr>
        <w:t>Indicate by check mark whether the registrant is a shell company (as defined in Rule 12b-2 of the Ex</w:t>
      </w:r>
      <w:r>
        <w:rPr>
          <w:rFonts w:ascii="Arial" w:eastAsia="宋体" w:hAnsi="Arial" w:cs="Arial"/>
          <w:color w:val="000000"/>
          <w:sz w:val="14"/>
          <w:szCs w:val="14"/>
        </w:rPr>
        <w:t xml:space="preserve">change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p>
    <w:p w14:paraId="64A882BE" w14:textId="77777777" w:rsidR="008D6614" w:rsidRDefault="00866AF2">
      <w:pPr>
        <w:spacing w:before="80" w:after="60"/>
        <w:jc w:val="both"/>
      </w:pPr>
      <w:r>
        <w:rPr>
          <w:rFonts w:ascii="Arial" w:eastAsia="宋体" w:hAnsi="Arial" w:cs="Arial"/>
          <w:color w:val="000000"/>
          <w:sz w:val="14"/>
          <w:szCs w:val="14"/>
        </w:rPr>
        <w:t>As of April 27, 2020, there were 700,853,258 shares of the registrant’s common stock, $0.001 par value, outstanding, which is the only class of common or voting stock of the registrant issued.</w:t>
      </w:r>
    </w:p>
    <w:tbl>
      <w:tblPr>
        <w:tblW w:w="4993" w:type="pct"/>
        <w:jc w:val="center"/>
        <w:tblCellMar>
          <w:top w:w="15" w:type="dxa"/>
          <w:left w:w="15" w:type="dxa"/>
          <w:bottom w:w="15" w:type="dxa"/>
          <w:right w:w="15" w:type="dxa"/>
        </w:tblCellMar>
        <w:tblLook w:val="04A0" w:firstRow="1" w:lastRow="0" w:firstColumn="1" w:lastColumn="0" w:noHBand="0" w:noVBand="1"/>
      </w:tblPr>
      <w:tblGrid>
        <w:gridCol w:w="83"/>
        <w:gridCol w:w="8158"/>
        <w:gridCol w:w="83"/>
      </w:tblGrid>
      <w:tr w:rsidR="008D6614" w14:paraId="64A882C2" w14:textId="77777777">
        <w:trPr>
          <w:jc w:val="center"/>
        </w:trPr>
        <w:tc>
          <w:tcPr>
            <w:tcW w:w="50" w:type="pct"/>
            <w:shd w:val="clear" w:color="auto" w:fill="auto"/>
            <w:vAlign w:val="center"/>
          </w:tcPr>
          <w:p w14:paraId="64A882BF" w14:textId="77777777" w:rsidR="008D6614" w:rsidRDefault="008D6614">
            <w:pPr>
              <w:rPr>
                <w:rFonts w:ascii="宋体"/>
              </w:rPr>
            </w:pPr>
          </w:p>
        </w:tc>
        <w:tc>
          <w:tcPr>
            <w:tcW w:w="4900" w:type="pct"/>
            <w:shd w:val="clear" w:color="auto" w:fill="auto"/>
            <w:vAlign w:val="center"/>
          </w:tcPr>
          <w:p w14:paraId="64A882C0" w14:textId="77777777" w:rsidR="008D6614" w:rsidRDefault="008D6614">
            <w:pPr>
              <w:rPr>
                <w:rFonts w:ascii="宋体"/>
              </w:rPr>
            </w:pPr>
          </w:p>
        </w:tc>
        <w:tc>
          <w:tcPr>
            <w:tcW w:w="50" w:type="pct"/>
            <w:shd w:val="clear" w:color="auto" w:fill="auto"/>
            <w:vAlign w:val="center"/>
          </w:tcPr>
          <w:p w14:paraId="64A882C1" w14:textId="77777777" w:rsidR="008D6614" w:rsidRDefault="008D6614">
            <w:pPr>
              <w:rPr>
                <w:rFonts w:ascii="宋体"/>
              </w:rPr>
            </w:pPr>
          </w:p>
        </w:tc>
      </w:tr>
      <w:tr w:rsidR="008D6614" w14:paraId="64A882C4" w14:textId="77777777">
        <w:trPr>
          <w:trHeight w:val="60"/>
          <w:jc w:val="center"/>
        </w:trPr>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64A882C3" w14:textId="77777777" w:rsidR="008D6614" w:rsidRDefault="008D6614">
            <w:pPr>
              <w:rPr>
                <w:rFonts w:ascii="宋体"/>
              </w:rPr>
            </w:pPr>
          </w:p>
        </w:tc>
      </w:tr>
    </w:tbl>
    <w:p w14:paraId="64A882C5" w14:textId="77777777" w:rsidR="008D6614" w:rsidRDefault="008D6614">
      <w:pPr>
        <w:jc w:val="center"/>
      </w:pPr>
    </w:p>
    <w:p w14:paraId="64A882C6" w14:textId="77777777" w:rsidR="008D6614" w:rsidRDefault="008D6614">
      <w:pPr>
        <w:jc w:val="center"/>
      </w:pPr>
    </w:p>
    <w:p w14:paraId="64A882C7" w14:textId="77777777" w:rsidR="008D6614" w:rsidRDefault="00866AF2">
      <w:pPr>
        <w:jc w:val="center"/>
      </w:pPr>
      <w:r>
        <w:rPr>
          <w:rFonts w:ascii="Arial" w:eastAsia="宋体" w:hAnsi="Arial" w:cs="Arial"/>
          <w:color w:val="000000"/>
          <w:sz w:val="20"/>
          <w:szCs w:val="20"/>
        </w:rPr>
        <w:t>1</w:t>
      </w:r>
    </w:p>
    <w:p w14:paraId="64A882C8" w14:textId="77777777" w:rsidR="008D6614" w:rsidRDefault="00866AF2">
      <w:r>
        <w:pict w14:anchorId="64A8B9DE">
          <v:rect id="_x0000_i1025" style="width:415.3pt;height:1.5pt" o:hralign="center" o:hrstd="t" o:hr="t" fillcolor="#a0a0a0" stroked="f"/>
        </w:pict>
      </w:r>
    </w:p>
    <w:p w14:paraId="64A882C9" w14:textId="77777777" w:rsidR="008D6614" w:rsidRDefault="008D6614"/>
    <w:p w14:paraId="64A882CA" w14:textId="77777777" w:rsidR="008D6614" w:rsidRDefault="00866AF2">
      <w:pPr>
        <w:jc w:val="center"/>
      </w:pPr>
      <w:r>
        <w:rPr>
          <w:rFonts w:ascii="Arial" w:eastAsia="宋体" w:hAnsi="Arial" w:cs="Arial"/>
          <w:b/>
          <w:bCs/>
          <w:color w:val="000000"/>
          <w:sz w:val="20"/>
          <w:szCs w:val="20"/>
        </w:rPr>
        <w:t xml:space="preserve">PART I: </w:t>
      </w:r>
      <w:r>
        <w:rPr>
          <w:rFonts w:ascii="Arial" w:eastAsia="宋体" w:hAnsi="Arial" w:cs="Arial"/>
          <w:b/>
          <w:bCs/>
          <w:color w:val="000000"/>
          <w:sz w:val="20"/>
          <w:szCs w:val="20"/>
        </w:rPr>
        <w:t>FINANCIAL INFORMATION</w:t>
      </w:r>
    </w:p>
    <w:p w14:paraId="64A882CB" w14:textId="77777777" w:rsidR="008D6614" w:rsidRDefault="00866AF2">
      <w:pPr>
        <w:spacing w:before="180"/>
        <w:ind w:hanging="1080"/>
      </w:pPr>
      <w:r>
        <w:rPr>
          <w:rFonts w:ascii="Arial" w:eastAsia="宋体" w:hAnsi="Arial" w:cs="Arial"/>
          <w:b/>
          <w:bCs/>
          <w:color w:val="000000"/>
          <w:sz w:val="20"/>
          <w:szCs w:val="20"/>
        </w:rPr>
        <w:t>Item 1:</w:t>
      </w:r>
      <w:r>
        <w:rPr>
          <w:rFonts w:ascii="Arial" w:eastAsia="宋体" w:hAnsi="Arial" w:cs="Arial"/>
          <w:color w:val="000000"/>
          <w:sz w:val="20"/>
          <w:szCs w:val="20"/>
        </w:rPr>
        <w:t> </w:t>
      </w:r>
      <w:r>
        <w:rPr>
          <w:rFonts w:ascii="Arial" w:eastAsia="宋体" w:hAnsi="Arial" w:cs="Arial"/>
          <w:b/>
          <w:bCs/>
          <w:color w:val="000000"/>
          <w:sz w:val="20"/>
          <w:szCs w:val="20"/>
        </w:rPr>
        <w:t>Financial Statements</w:t>
      </w:r>
    </w:p>
    <w:p w14:paraId="64A882CC" w14:textId="77777777" w:rsidR="008D6614" w:rsidRDefault="00866AF2">
      <w:pPr>
        <w:spacing w:before="180"/>
        <w:jc w:val="center"/>
      </w:pPr>
      <w:r>
        <w:rPr>
          <w:rFonts w:ascii="Arial" w:eastAsia="宋体" w:hAnsi="Arial" w:cs="Arial"/>
          <w:b/>
          <w:bCs/>
          <w:color w:val="000000"/>
          <w:sz w:val="20"/>
          <w:szCs w:val="20"/>
        </w:rPr>
        <w:t xml:space="preserve">eBay Inc. </w:t>
      </w:r>
    </w:p>
    <w:p w14:paraId="64A882CD" w14:textId="77777777" w:rsidR="008D6614" w:rsidRDefault="00866AF2">
      <w:pPr>
        <w:spacing w:before="80"/>
        <w:jc w:val="center"/>
      </w:pPr>
      <w:r>
        <w:rPr>
          <w:rFonts w:ascii="Arial" w:eastAsia="宋体" w:hAnsi="Arial" w:cs="Arial"/>
          <w:b/>
          <w:bCs/>
          <w:color w:val="000000"/>
          <w:sz w:val="20"/>
          <w:szCs w:val="20"/>
        </w:rPr>
        <w:t>CONDENSED CONSOLIDATED BALANCE SHEET</w:t>
      </w:r>
      <w:r>
        <w:rPr>
          <w:rFonts w:ascii="Arial" w:eastAsia="宋体" w:hAnsi="Arial" w:cs="Arial"/>
          <w:b/>
          <w:bCs/>
          <w:color w:val="000000"/>
          <w:sz w:val="18"/>
          <w:szCs w:val="18"/>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3"/>
        <w:gridCol w:w="5558"/>
        <w:gridCol w:w="41"/>
        <w:gridCol w:w="137"/>
        <w:gridCol w:w="947"/>
        <w:gridCol w:w="87"/>
        <w:gridCol w:w="36"/>
        <w:gridCol w:w="42"/>
        <w:gridCol w:w="36"/>
        <w:gridCol w:w="136"/>
        <w:gridCol w:w="946"/>
        <w:gridCol w:w="86"/>
        <w:gridCol w:w="36"/>
        <w:gridCol w:w="36"/>
        <w:gridCol w:w="36"/>
        <w:gridCol w:w="36"/>
        <w:gridCol w:w="36"/>
        <w:gridCol w:w="36"/>
      </w:tblGrid>
      <w:tr w:rsidR="008D6614" w14:paraId="64A882DA" w14:textId="77777777">
        <w:trPr>
          <w:gridAfter w:val="6"/>
          <w:jc w:val="center"/>
        </w:trPr>
        <w:tc>
          <w:tcPr>
            <w:tcW w:w="50" w:type="pct"/>
            <w:shd w:val="clear" w:color="auto" w:fill="auto"/>
            <w:vAlign w:val="center"/>
          </w:tcPr>
          <w:p w14:paraId="64A882CE" w14:textId="77777777" w:rsidR="008D6614" w:rsidRDefault="008D6614">
            <w:pPr>
              <w:rPr>
                <w:rFonts w:ascii="宋体"/>
              </w:rPr>
            </w:pPr>
          </w:p>
        </w:tc>
        <w:tc>
          <w:tcPr>
            <w:tcW w:w="3514" w:type="pct"/>
            <w:shd w:val="clear" w:color="auto" w:fill="auto"/>
            <w:vAlign w:val="center"/>
          </w:tcPr>
          <w:p w14:paraId="64A882CF" w14:textId="77777777" w:rsidR="008D6614" w:rsidRDefault="008D6614">
            <w:pPr>
              <w:rPr>
                <w:rFonts w:ascii="宋体"/>
              </w:rPr>
            </w:pPr>
          </w:p>
        </w:tc>
        <w:tc>
          <w:tcPr>
            <w:tcW w:w="50" w:type="pct"/>
            <w:shd w:val="clear" w:color="auto" w:fill="auto"/>
            <w:vAlign w:val="center"/>
          </w:tcPr>
          <w:p w14:paraId="64A882D0" w14:textId="77777777" w:rsidR="008D6614" w:rsidRDefault="008D6614">
            <w:pPr>
              <w:rPr>
                <w:rFonts w:ascii="宋体"/>
              </w:rPr>
            </w:pPr>
          </w:p>
        </w:tc>
        <w:tc>
          <w:tcPr>
            <w:tcW w:w="50" w:type="pct"/>
            <w:shd w:val="clear" w:color="auto" w:fill="auto"/>
            <w:vAlign w:val="center"/>
          </w:tcPr>
          <w:p w14:paraId="64A882D1" w14:textId="77777777" w:rsidR="008D6614" w:rsidRDefault="008D6614">
            <w:pPr>
              <w:rPr>
                <w:rFonts w:ascii="宋体"/>
              </w:rPr>
            </w:pPr>
          </w:p>
        </w:tc>
        <w:tc>
          <w:tcPr>
            <w:tcW w:w="574" w:type="pct"/>
            <w:shd w:val="clear" w:color="auto" w:fill="auto"/>
            <w:vAlign w:val="center"/>
          </w:tcPr>
          <w:p w14:paraId="64A882D2" w14:textId="77777777" w:rsidR="008D6614" w:rsidRDefault="008D6614">
            <w:pPr>
              <w:rPr>
                <w:rFonts w:ascii="宋体"/>
              </w:rPr>
            </w:pPr>
          </w:p>
        </w:tc>
        <w:tc>
          <w:tcPr>
            <w:tcW w:w="50" w:type="pct"/>
            <w:shd w:val="clear" w:color="auto" w:fill="auto"/>
            <w:vAlign w:val="center"/>
          </w:tcPr>
          <w:p w14:paraId="64A882D3" w14:textId="77777777" w:rsidR="008D6614" w:rsidRDefault="008D6614">
            <w:pPr>
              <w:rPr>
                <w:rFonts w:ascii="宋体"/>
              </w:rPr>
            </w:pPr>
          </w:p>
        </w:tc>
        <w:tc>
          <w:tcPr>
            <w:tcW w:w="5" w:type="pct"/>
            <w:shd w:val="clear" w:color="auto" w:fill="auto"/>
            <w:vAlign w:val="center"/>
          </w:tcPr>
          <w:p w14:paraId="64A882D4" w14:textId="77777777" w:rsidR="008D6614" w:rsidRDefault="008D6614">
            <w:pPr>
              <w:rPr>
                <w:rFonts w:ascii="宋体"/>
              </w:rPr>
            </w:pPr>
          </w:p>
        </w:tc>
        <w:tc>
          <w:tcPr>
            <w:tcW w:w="26" w:type="pct"/>
            <w:shd w:val="clear" w:color="auto" w:fill="auto"/>
            <w:vAlign w:val="center"/>
          </w:tcPr>
          <w:p w14:paraId="64A882D5" w14:textId="77777777" w:rsidR="008D6614" w:rsidRDefault="008D6614">
            <w:pPr>
              <w:rPr>
                <w:rFonts w:ascii="宋体"/>
              </w:rPr>
            </w:pPr>
          </w:p>
        </w:tc>
        <w:tc>
          <w:tcPr>
            <w:tcW w:w="5" w:type="pct"/>
            <w:shd w:val="clear" w:color="auto" w:fill="auto"/>
            <w:vAlign w:val="center"/>
          </w:tcPr>
          <w:p w14:paraId="64A882D6" w14:textId="77777777" w:rsidR="008D6614" w:rsidRDefault="008D6614">
            <w:pPr>
              <w:rPr>
                <w:rFonts w:ascii="宋体"/>
              </w:rPr>
            </w:pPr>
          </w:p>
        </w:tc>
        <w:tc>
          <w:tcPr>
            <w:tcW w:w="50" w:type="pct"/>
            <w:shd w:val="clear" w:color="auto" w:fill="auto"/>
            <w:vAlign w:val="center"/>
          </w:tcPr>
          <w:p w14:paraId="64A882D7" w14:textId="77777777" w:rsidR="008D6614" w:rsidRDefault="008D6614">
            <w:pPr>
              <w:rPr>
                <w:rFonts w:ascii="宋体"/>
              </w:rPr>
            </w:pPr>
          </w:p>
        </w:tc>
        <w:tc>
          <w:tcPr>
            <w:tcW w:w="574" w:type="pct"/>
            <w:shd w:val="clear" w:color="auto" w:fill="auto"/>
            <w:vAlign w:val="center"/>
          </w:tcPr>
          <w:p w14:paraId="64A882D8" w14:textId="77777777" w:rsidR="008D6614" w:rsidRDefault="008D6614">
            <w:pPr>
              <w:rPr>
                <w:rFonts w:ascii="宋体"/>
              </w:rPr>
            </w:pPr>
          </w:p>
        </w:tc>
        <w:tc>
          <w:tcPr>
            <w:tcW w:w="50" w:type="pct"/>
            <w:shd w:val="clear" w:color="auto" w:fill="auto"/>
            <w:vAlign w:val="center"/>
          </w:tcPr>
          <w:p w14:paraId="64A882D9" w14:textId="77777777" w:rsidR="008D6614" w:rsidRDefault="008D6614">
            <w:pPr>
              <w:rPr>
                <w:rFonts w:ascii="宋体"/>
              </w:rPr>
            </w:pPr>
          </w:p>
        </w:tc>
      </w:tr>
      <w:tr w:rsidR="008D6614" w14:paraId="64A882DF" w14:textId="77777777">
        <w:trPr>
          <w:gridAfter w:val="6"/>
          <w:jc w:val="center"/>
        </w:trPr>
        <w:tc>
          <w:tcPr>
            <w:tcW w:w="0" w:type="auto"/>
            <w:gridSpan w:val="3"/>
            <w:shd w:val="clear" w:color="auto" w:fill="auto"/>
            <w:tcMar>
              <w:top w:w="40" w:type="dxa"/>
              <w:left w:w="20" w:type="dxa"/>
              <w:bottom w:w="40" w:type="dxa"/>
              <w:right w:w="20" w:type="dxa"/>
            </w:tcMar>
            <w:vAlign w:val="bottom"/>
          </w:tcPr>
          <w:p w14:paraId="64A882DB"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82DC" w14:textId="77777777" w:rsidR="008D6614" w:rsidRDefault="00866AF2">
            <w:pPr>
              <w:jc w:val="center"/>
              <w:textAlignment w:val="bottom"/>
            </w:pPr>
            <w:r>
              <w:rPr>
                <w:rFonts w:ascii="Arial" w:eastAsia="宋体" w:hAnsi="Arial" w:cs="Arial"/>
                <w:b/>
                <w:bCs/>
                <w:color w:val="000000"/>
                <w:sz w:val="16"/>
                <w:szCs w:val="16"/>
              </w:rPr>
              <w:t>March 31,</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left w:w="20" w:type="dxa"/>
              <w:right w:w="20" w:type="dxa"/>
            </w:tcMar>
            <w:vAlign w:val="bottom"/>
          </w:tcPr>
          <w:p w14:paraId="64A882DD" w14:textId="77777777" w:rsidR="008D6614" w:rsidRDefault="008D661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4A882DE" w14:textId="77777777" w:rsidR="008D6614" w:rsidRDefault="00866AF2">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8D6614" w14:paraId="64A882E4" w14:textId="77777777">
        <w:trPr>
          <w:jc w:val="center"/>
        </w:trPr>
        <w:tc>
          <w:tcPr>
            <w:tcW w:w="0" w:type="auto"/>
            <w:gridSpan w:val="3"/>
            <w:shd w:val="clear" w:color="auto" w:fill="auto"/>
            <w:tcMar>
              <w:top w:w="40" w:type="dxa"/>
              <w:left w:w="20" w:type="dxa"/>
              <w:bottom w:w="40" w:type="dxa"/>
              <w:right w:w="20" w:type="dxa"/>
            </w:tcMar>
            <w:vAlign w:val="bottom"/>
          </w:tcPr>
          <w:p w14:paraId="64A882E0" w14:textId="77777777" w:rsidR="008D6614" w:rsidRDefault="00866AF2">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A882E1" w14:textId="77777777" w:rsidR="008D6614" w:rsidRDefault="00866AF2">
            <w:pPr>
              <w:jc w:val="center"/>
              <w:textAlignment w:val="bottom"/>
            </w:pPr>
            <w:r>
              <w:rPr>
                <w:rFonts w:ascii="Arial" w:eastAsia="宋体" w:hAnsi="Arial" w:cs="Arial"/>
                <w:b/>
                <w:bCs/>
                <w:color w:val="000000"/>
                <w:sz w:val="16"/>
                <w:szCs w:val="16"/>
              </w:rPr>
              <w:t>(In millions, except par value)</w:t>
            </w:r>
          </w:p>
        </w:tc>
        <w:tc>
          <w:tcPr>
            <w:tcW w:w="0" w:type="auto"/>
            <w:gridSpan w:val="3"/>
            <w:shd w:val="clear" w:color="auto" w:fill="auto"/>
            <w:vAlign w:val="center"/>
          </w:tcPr>
          <w:p w14:paraId="64A882E2" w14:textId="77777777" w:rsidR="008D6614" w:rsidRDefault="008D6614">
            <w:pPr>
              <w:rPr>
                <w:rFonts w:ascii="宋体"/>
                <w:vanish/>
              </w:rPr>
            </w:pPr>
          </w:p>
        </w:tc>
        <w:tc>
          <w:tcPr>
            <w:tcW w:w="0" w:type="auto"/>
            <w:gridSpan w:val="3"/>
            <w:shd w:val="clear" w:color="auto" w:fill="auto"/>
            <w:vAlign w:val="center"/>
          </w:tcPr>
          <w:p w14:paraId="64A882E3" w14:textId="77777777" w:rsidR="008D6614" w:rsidRDefault="008D6614">
            <w:pPr>
              <w:rPr>
                <w:rFonts w:ascii="宋体"/>
                <w:vanish/>
              </w:rPr>
            </w:pPr>
          </w:p>
        </w:tc>
      </w:tr>
      <w:tr w:rsidR="008D6614" w14:paraId="64A882E9" w14:textId="77777777">
        <w:trPr>
          <w:jc w:val="center"/>
        </w:trPr>
        <w:tc>
          <w:tcPr>
            <w:tcW w:w="0" w:type="auto"/>
            <w:gridSpan w:val="3"/>
            <w:shd w:val="clear" w:color="auto" w:fill="auto"/>
            <w:tcMar>
              <w:top w:w="40" w:type="dxa"/>
              <w:left w:w="20" w:type="dxa"/>
              <w:bottom w:w="40" w:type="dxa"/>
              <w:right w:w="20" w:type="dxa"/>
            </w:tcMar>
            <w:vAlign w:val="bottom"/>
          </w:tcPr>
          <w:p w14:paraId="64A882E5" w14:textId="77777777" w:rsidR="008D6614" w:rsidRDefault="00866AF2">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4A882E6" w14:textId="77777777" w:rsidR="008D6614" w:rsidRDefault="00866AF2">
            <w:pPr>
              <w:jc w:val="center"/>
              <w:textAlignment w:val="bottom"/>
            </w:pPr>
            <w:r>
              <w:rPr>
                <w:rFonts w:ascii="Arial" w:eastAsia="宋体" w:hAnsi="Arial" w:cs="Arial"/>
                <w:b/>
                <w:bCs/>
                <w:color w:val="000000"/>
                <w:sz w:val="16"/>
                <w:szCs w:val="16"/>
              </w:rPr>
              <w:t>(Unaudited)</w:t>
            </w:r>
          </w:p>
        </w:tc>
        <w:tc>
          <w:tcPr>
            <w:tcW w:w="0" w:type="auto"/>
            <w:gridSpan w:val="3"/>
            <w:shd w:val="clear" w:color="auto" w:fill="auto"/>
            <w:vAlign w:val="center"/>
          </w:tcPr>
          <w:p w14:paraId="64A882E7" w14:textId="77777777" w:rsidR="008D6614" w:rsidRDefault="008D6614">
            <w:pPr>
              <w:rPr>
                <w:rFonts w:ascii="宋体"/>
                <w:vanish/>
              </w:rPr>
            </w:pPr>
          </w:p>
        </w:tc>
        <w:tc>
          <w:tcPr>
            <w:tcW w:w="0" w:type="auto"/>
            <w:gridSpan w:val="3"/>
            <w:shd w:val="clear" w:color="auto" w:fill="auto"/>
            <w:vAlign w:val="center"/>
          </w:tcPr>
          <w:p w14:paraId="64A882E8" w14:textId="77777777" w:rsidR="008D6614" w:rsidRDefault="008D6614">
            <w:pPr>
              <w:rPr>
                <w:rFonts w:ascii="宋体"/>
                <w:vanish/>
              </w:rPr>
            </w:pPr>
          </w:p>
        </w:tc>
      </w:tr>
      <w:tr w:rsidR="008D6614" w14:paraId="64A882F4" w14:textId="77777777">
        <w:trPr>
          <w:jc w:val="center"/>
        </w:trPr>
        <w:tc>
          <w:tcPr>
            <w:tcW w:w="0" w:type="auto"/>
            <w:gridSpan w:val="3"/>
            <w:shd w:val="clear" w:color="auto" w:fill="auto"/>
            <w:tcMar>
              <w:top w:w="40" w:type="dxa"/>
              <w:left w:w="20" w:type="dxa"/>
              <w:bottom w:w="40" w:type="dxa"/>
              <w:right w:w="20" w:type="dxa"/>
            </w:tcMar>
            <w:vAlign w:val="bottom"/>
          </w:tcPr>
          <w:p w14:paraId="64A882EA" w14:textId="77777777" w:rsidR="008D6614" w:rsidRDefault="00866AF2">
            <w:pPr>
              <w:jc w:val="center"/>
              <w:textAlignment w:val="bottom"/>
            </w:pPr>
            <w:r>
              <w:rPr>
                <w:rFonts w:ascii="Arial" w:eastAsia="宋体" w:hAnsi="Arial" w:cs="Arial"/>
                <w:b/>
                <w:bCs/>
                <w:color w:val="000000"/>
                <w:sz w:val="18"/>
                <w:szCs w:val="18"/>
              </w:rPr>
              <w:t>ASSETS</w:t>
            </w:r>
          </w:p>
        </w:tc>
        <w:tc>
          <w:tcPr>
            <w:tcW w:w="0" w:type="auto"/>
            <w:gridSpan w:val="3"/>
            <w:shd w:val="clear" w:color="auto" w:fill="auto"/>
            <w:tcMar>
              <w:left w:w="20" w:type="dxa"/>
              <w:right w:w="20" w:type="dxa"/>
            </w:tcMar>
            <w:vAlign w:val="bottom"/>
          </w:tcPr>
          <w:p w14:paraId="64A882EB"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82EC"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82ED" w14:textId="77777777" w:rsidR="008D6614" w:rsidRDefault="008D6614">
            <w:pPr>
              <w:rPr>
                <w:rFonts w:ascii="宋体"/>
              </w:rPr>
            </w:pPr>
          </w:p>
        </w:tc>
        <w:tc>
          <w:tcPr>
            <w:tcW w:w="0" w:type="auto"/>
            <w:shd w:val="clear" w:color="auto" w:fill="auto"/>
            <w:vAlign w:val="center"/>
          </w:tcPr>
          <w:p w14:paraId="64A882EE" w14:textId="77777777" w:rsidR="008D6614" w:rsidRDefault="008D6614">
            <w:pPr>
              <w:rPr>
                <w:rFonts w:ascii="宋体"/>
              </w:rPr>
            </w:pPr>
          </w:p>
        </w:tc>
        <w:tc>
          <w:tcPr>
            <w:tcW w:w="0" w:type="auto"/>
            <w:shd w:val="clear" w:color="auto" w:fill="auto"/>
            <w:vAlign w:val="center"/>
          </w:tcPr>
          <w:p w14:paraId="64A882EF" w14:textId="77777777" w:rsidR="008D6614" w:rsidRDefault="008D6614">
            <w:pPr>
              <w:rPr>
                <w:rFonts w:ascii="宋体"/>
              </w:rPr>
            </w:pPr>
          </w:p>
        </w:tc>
        <w:tc>
          <w:tcPr>
            <w:tcW w:w="0" w:type="auto"/>
            <w:shd w:val="clear" w:color="auto" w:fill="auto"/>
            <w:vAlign w:val="center"/>
          </w:tcPr>
          <w:p w14:paraId="64A882F0" w14:textId="77777777" w:rsidR="008D6614" w:rsidRDefault="008D6614">
            <w:pPr>
              <w:rPr>
                <w:rFonts w:ascii="宋体"/>
              </w:rPr>
            </w:pPr>
          </w:p>
        </w:tc>
        <w:tc>
          <w:tcPr>
            <w:tcW w:w="0" w:type="auto"/>
            <w:shd w:val="clear" w:color="auto" w:fill="auto"/>
            <w:vAlign w:val="center"/>
          </w:tcPr>
          <w:p w14:paraId="64A882F1" w14:textId="77777777" w:rsidR="008D6614" w:rsidRDefault="008D6614">
            <w:pPr>
              <w:rPr>
                <w:rFonts w:ascii="宋体"/>
              </w:rPr>
            </w:pPr>
          </w:p>
        </w:tc>
        <w:tc>
          <w:tcPr>
            <w:tcW w:w="0" w:type="auto"/>
            <w:shd w:val="clear" w:color="auto" w:fill="auto"/>
            <w:vAlign w:val="center"/>
          </w:tcPr>
          <w:p w14:paraId="64A882F2" w14:textId="77777777" w:rsidR="008D6614" w:rsidRDefault="008D6614">
            <w:pPr>
              <w:rPr>
                <w:rFonts w:ascii="宋体"/>
              </w:rPr>
            </w:pPr>
          </w:p>
        </w:tc>
        <w:tc>
          <w:tcPr>
            <w:tcW w:w="0" w:type="auto"/>
            <w:shd w:val="clear" w:color="auto" w:fill="auto"/>
            <w:vAlign w:val="center"/>
          </w:tcPr>
          <w:p w14:paraId="64A882F3" w14:textId="77777777" w:rsidR="008D6614" w:rsidRDefault="008D6614">
            <w:pPr>
              <w:rPr>
                <w:rFonts w:ascii="宋体"/>
              </w:rPr>
            </w:pPr>
          </w:p>
        </w:tc>
      </w:tr>
      <w:tr w:rsidR="008D6614" w14:paraId="64A882FF" w14:textId="77777777">
        <w:trPr>
          <w:jc w:val="center"/>
        </w:trPr>
        <w:tc>
          <w:tcPr>
            <w:tcW w:w="0" w:type="auto"/>
            <w:gridSpan w:val="3"/>
            <w:shd w:val="clear" w:color="auto" w:fill="E2E2E2"/>
            <w:tcMar>
              <w:top w:w="40" w:type="dxa"/>
              <w:left w:w="20" w:type="dxa"/>
              <w:bottom w:w="40" w:type="dxa"/>
              <w:right w:w="20" w:type="dxa"/>
            </w:tcMar>
            <w:vAlign w:val="bottom"/>
          </w:tcPr>
          <w:p w14:paraId="64A882F5" w14:textId="77777777" w:rsidR="008D6614" w:rsidRDefault="00866AF2">
            <w:pPr>
              <w:textAlignment w:val="bottom"/>
            </w:pPr>
            <w:r>
              <w:rPr>
                <w:rFonts w:ascii="Arial" w:eastAsia="宋体" w:hAnsi="Arial" w:cs="Arial"/>
                <w:color w:val="000000"/>
                <w:sz w:val="18"/>
                <w:szCs w:val="18"/>
              </w:rPr>
              <w:t>Current assets:</w:t>
            </w:r>
          </w:p>
        </w:tc>
        <w:tc>
          <w:tcPr>
            <w:tcW w:w="0" w:type="auto"/>
            <w:gridSpan w:val="3"/>
            <w:shd w:val="clear" w:color="auto" w:fill="E2E2E2"/>
            <w:tcMar>
              <w:top w:w="40" w:type="dxa"/>
              <w:left w:w="20" w:type="dxa"/>
              <w:bottom w:w="40" w:type="dxa"/>
              <w:right w:w="20" w:type="dxa"/>
            </w:tcMar>
            <w:vAlign w:val="bottom"/>
          </w:tcPr>
          <w:p w14:paraId="64A882F6"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2F7"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82F8" w14:textId="77777777" w:rsidR="008D6614" w:rsidRDefault="00866AF2">
            <w:pPr>
              <w:textAlignment w:val="bottom"/>
            </w:pPr>
            <w:r>
              <w:rPr>
                <w:rFonts w:ascii="Arial" w:eastAsia="宋体" w:hAnsi="Arial" w:cs="Arial"/>
                <w:color w:val="000000"/>
                <w:sz w:val="18"/>
                <w:szCs w:val="18"/>
              </w:rPr>
              <w:t> </w:t>
            </w:r>
          </w:p>
        </w:tc>
        <w:tc>
          <w:tcPr>
            <w:tcW w:w="0" w:type="auto"/>
            <w:shd w:val="clear" w:color="auto" w:fill="auto"/>
            <w:vAlign w:val="center"/>
          </w:tcPr>
          <w:p w14:paraId="64A882F9" w14:textId="77777777" w:rsidR="008D6614" w:rsidRDefault="008D6614">
            <w:pPr>
              <w:rPr>
                <w:rFonts w:ascii="宋体"/>
              </w:rPr>
            </w:pPr>
          </w:p>
        </w:tc>
        <w:tc>
          <w:tcPr>
            <w:tcW w:w="0" w:type="auto"/>
            <w:shd w:val="clear" w:color="auto" w:fill="auto"/>
            <w:vAlign w:val="center"/>
          </w:tcPr>
          <w:p w14:paraId="64A882FA" w14:textId="77777777" w:rsidR="008D6614" w:rsidRDefault="008D6614">
            <w:pPr>
              <w:rPr>
                <w:rFonts w:ascii="宋体"/>
              </w:rPr>
            </w:pPr>
          </w:p>
        </w:tc>
        <w:tc>
          <w:tcPr>
            <w:tcW w:w="0" w:type="auto"/>
            <w:shd w:val="clear" w:color="auto" w:fill="auto"/>
            <w:vAlign w:val="center"/>
          </w:tcPr>
          <w:p w14:paraId="64A882FB" w14:textId="77777777" w:rsidR="008D6614" w:rsidRDefault="008D6614">
            <w:pPr>
              <w:rPr>
                <w:rFonts w:ascii="宋体"/>
              </w:rPr>
            </w:pPr>
          </w:p>
        </w:tc>
        <w:tc>
          <w:tcPr>
            <w:tcW w:w="0" w:type="auto"/>
            <w:shd w:val="clear" w:color="auto" w:fill="auto"/>
            <w:vAlign w:val="center"/>
          </w:tcPr>
          <w:p w14:paraId="64A882FC" w14:textId="77777777" w:rsidR="008D6614" w:rsidRDefault="008D6614">
            <w:pPr>
              <w:rPr>
                <w:rFonts w:ascii="宋体"/>
              </w:rPr>
            </w:pPr>
          </w:p>
        </w:tc>
        <w:tc>
          <w:tcPr>
            <w:tcW w:w="0" w:type="auto"/>
            <w:shd w:val="clear" w:color="auto" w:fill="auto"/>
            <w:vAlign w:val="center"/>
          </w:tcPr>
          <w:p w14:paraId="64A882FD" w14:textId="77777777" w:rsidR="008D6614" w:rsidRDefault="008D6614">
            <w:pPr>
              <w:rPr>
                <w:rFonts w:ascii="宋体"/>
              </w:rPr>
            </w:pPr>
          </w:p>
        </w:tc>
        <w:tc>
          <w:tcPr>
            <w:tcW w:w="0" w:type="auto"/>
            <w:shd w:val="clear" w:color="auto" w:fill="auto"/>
            <w:vAlign w:val="center"/>
          </w:tcPr>
          <w:p w14:paraId="64A882FE" w14:textId="77777777" w:rsidR="008D6614" w:rsidRDefault="008D6614">
            <w:pPr>
              <w:rPr>
                <w:rFonts w:ascii="宋体"/>
              </w:rPr>
            </w:pPr>
          </w:p>
        </w:tc>
      </w:tr>
      <w:tr w:rsidR="008D6614" w14:paraId="64A8830E" w14:textId="77777777">
        <w:trPr>
          <w:jc w:val="center"/>
        </w:trPr>
        <w:tc>
          <w:tcPr>
            <w:tcW w:w="0" w:type="auto"/>
            <w:gridSpan w:val="3"/>
            <w:shd w:val="clear" w:color="auto" w:fill="FFFFFF"/>
            <w:tcMar>
              <w:top w:w="40" w:type="dxa"/>
              <w:left w:w="495" w:type="dxa"/>
              <w:bottom w:w="40" w:type="dxa"/>
              <w:right w:w="20" w:type="dxa"/>
            </w:tcMar>
            <w:vAlign w:val="bottom"/>
          </w:tcPr>
          <w:p w14:paraId="64A88300" w14:textId="77777777" w:rsidR="008D6614" w:rsidRDefault="00866AF2">
            <w:pPr>
              <w:textAlignment w:val="bottom"/>
            </w:pPr>
            <w:r>
              <w:rPr>
                <w:rFonts w:ascii="Arial" w:eastAsia="宋体" w:hAnsi="Arial" w:cs="Arial"/>
                <w:color w:val="000000"/>
                <w:sz w:val="18"/>
                <w:szCs w:val="18"/>
              </w:rPr>
              <w:t>Cash and cash equivalents</w:t>
            </w:r>
          </w:p>
        </w:tc>
        <w:tc>
          <w:tcPr>
            <w:tcW w:w="0" w:type="auto"/>
            <w:shd w:val="clear" w:color="auto" w:fill="FFFFFF"/>
            <w:tcMar>
              <w:top w:w="40" w:type="dxa"/>
              <w:left w:w="20" w:type="dxa"/>
              <w:bottom w:w="40" w:type="dxa"/>
            </w:tcMar>
            <w:vAlign w:val="bottom"/>
          </w:tcPr>
          <w:p w14:paraId="64A88301"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302" w14:textId="77777777" w:rsidR="008D6614" w:rsidRDefault="00866AF2">
            <w:pPr>
              <w:jc w:val="right"/>
              <w:textAlignment w:val="bottom"/>
            </w:pPr>
            <w:r>
              <w:rPr>
                <w:rFonts w:ascii="Arial" w:eastAsia="宋体" w:hAnsi="Arial" w:cs="Arial"/>
                <w:color w:val="000000"/>
                <w:sz w:val="18"/>
                <w:szCs w:val="18"/>
              </w:rPr>
              <w:t>880 </w:t>
            </w:r>
          </w:p>
        </w:tc>
        <w:tc>
          <w:tcPr>
            <w:tcW w:w="0" w:type="auto"/>
            <w:shd w:val="clear" w:color="auto" w:fill="FFFFFF"/>
            <w:tcMar>
              <w:top w:w="40" w:type="dxa"/>
              <w:bottom w:w="40" w:type="dxa"/>
              <w:right w:w="20" w:type="dxa"/>
            </w:tcMar>
            <w:vAlign w:val="bottom"/>
          </w:tcPr>
          <w:p w14:paraId="64A8830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304"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8305"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306" w14:textId="77777777" w:rsidR="008D6614" w:rsidRDefault="00866AF2">
            <w:pPr>
              <w:jc w:val="right"/>
              <w:textAlignment w:val="bottom"/>
            </w:pPr>
            <w:r>
              <w:rPr>
                <w:rFonts w:ascii="Arial" w:eastAsia="宋体" w:hAnsi="Arial" w:cs="Arial"/>
                <w:color w:val="000000"/>
                <w:sz w:val="18"/>
                <w:szCs w:val="18"/>
              </w:rPr>
              <w:t>923 </w:t>
            </w:r>
          </w:p>
        </w:tc>
        <w:tc>
          <w:tcPr>
            <w:tcW w:w="0" w:type="auto"/>
            <w:shd w:val="clear" w:color="auto" w:fill="FFFFFF"/>
            <w:tcMar>
              <w:top w:w="40" w:type="dxa"/>
              <w:bottom w:w="40" w:type="dxa"/>
              <w:right w:w="20" w:type="dxa"/>
            </w:tcMar>
            <w:vAlign w:val="bottom"/>
          </w:tcPr>
          <w:p w14:paraId="64A8830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08" w14:textId="77777777" w:rsidR="008D6614" w:rsidRDefault="008D6614">
            <w:pPr>
              <w:rPr>
                <w:rFonts w:ascii="宋体"/>
              </w:rPr>
            </w:pPr>
          </w:p>
        </w:tc>
        <w:tc>
          <w:tcPr>
            <w:tcW w:w="0" w:type="auto"/>
            <w:shd w:val="clear" w:color="auto" w:fill="auto"/>
            <w:vAlign w:val="center"/>
          </w:tcPr>
          <w:p w14:paraId="64A88309" w14:textId="77777777" w:rsidR="008D6614" w:rsidRDefault="008D6614">
            <w:pPr>
              <w:rPr>
                <w:rFonts w:ascii="宋体"/>
              </w:rPr>
            </w:pPr>
          </w:p>
        </w:tc>
        <w:tc>
          <w:tcPr>
            <w:tcW w:w="0" w:type="auto"/>
            <w:shd w:val="clear" w:color="auto" w:fill="auto"/>
            <w:vAlign w:val="center"/>
          </w:tcPr>
          <w:p w14:paraId="64A8830A" w14:textId="77777777" w:rsidR="008D6614" w:rsidRDefault="008D6614">
            <w:pPr>
              <w:rPr>
                <w:rFonts w:ascii="宋体"/>
              </w:rPr>
            </w:pPr>
          </w:p>
        </w:tc>
        <w:tc>
          <w:tcPr>
            <w:tcW w:w="0" w:type="auto"/>
            <w:shd w:val="clear" w:color="auto" w:fill="auto"/>
            <w:vAlign w:val="center"/>
          </w:tcPr>
          <w:p w14:paraId="64A8830B" w14:textId="77777777" w:rsidR="008D6614" w:rsidRDefault="008D6614">
            <w:pPr>
              <w:rPr>
                <w:rFonts w:ascii="宋体"/>
              </w:rPr>
            </w:pPr>
          </w:p>
        </w:tc>
        <w:tc>
          <w:tcPr>
            <w:tcW w:w="0" w:type="auto"/>
            <w:shd w:val="clear" w:color="auto" w:fill="auto"/>
            <w:vAlign w:val="center"/>
          </w:tcPr>
          <w:p w14:paraId="64A8830C" w14:textId="77777777" w:rsidR="008D6614" w:rsidRDefault="008D6614">
            <w:pPr>
              <w:rPr>
                <w:rFonts w:ascii="宋体"/>
              </w:rPr>
            </w:pPr>
          </w:p>
        </w:tc>
        <w:tc>
          <w:tcPr>
            <w:tcW w:w="0" w:type="auto"/>
            <w:shd w:val="clear" w:color="auto" w:fill="auto"/>
            <w:vAlign w:val="center"/>
          </w:tcPr>
          <w:p w14:paraId="64A8830D" w14:textId="77777777" w:rsidR="008D6614" w:rsidRDefault="008D6614">
            <w:pPr>
              <w:rPr>
                <w:rFonts w:ascii="宋体"/>
              </w:rPr>
            </w:pPr>
          </w:p>
        </w:tc>
      </w:tr>
      <w:tr w:rsidR="008D6614" w14:paraId="64A8831B" w14:textId="77777777">
        <w:trPr>
          <w:jc w:val="center"/>
        </w:trPr>
        <w:tc>
          <w:tcPr>
            <w:tcW w:w="0" w:type="auto"/>
            <w:gridSpan w:val="3"/>
            <w:shd w:val="clear" w:color="auto" w:fill="E2E2E2"/>
            <w:tcMar>
              <w:top w:w="40" w:type="dxa"/>
              <w:left w:w="495" w:type="dxa"/>
              <w:bottom w:w="40" w:type="dxa"/>
              <w:right w:w="20" w:type="dxa"/>
            </w:tcMar>
            <w:vAlign w:val="bottom"/>
          </w:tcPr>
          <w:p w14:paraId="64A8830F" w14:textId="77777777" w:rsidR="008D6614" w:rsidRDefault="00866AF2">
            <w:pPr>
              <w:textAlignment w:val="bottom"/>
            </w:pPr>
            <w:r>
              <w:rPr>
                <w:rFonts w:ascii="Arial" w:eastAsia="宋体" w:hAnsi="Arial" w:cs="Arial"/>
                <w:color w:val="000000"/>
                <w:sz w:val="18"/>
                <w:szCs w:val="18"/>
              </w:rPr>
              <w:lastRenderedPageBreak/>
              <w:t>Short-term investments</w:t>
            </w:r>
          </w:p>
        </w:tc>
        <w:tc>
          <w:tcPr>
            <w:tcW w:w="0" w:type="auto"/>
            <w:gridSpan w:val="2"/>
            <w:shd w:val="clear" w:color="auto" w:fill="E2E2E2"/>
            <w:tcMar>
              <w:top w:w="40" w:type="dxa"/>
              <w:left w:w="20" w:type="dxa"/>
              <w:bottom w:w="40" w:type="dxa"/>
              <w:right w:w="0" w:type="dxa"/>
            </w:tcMar>
            <w:vAlign w:val="bottom"/>
          </w:tcPr>
          <w:p w14:paraId="64A88310" w14:textId="77777777" w:rsidR="008D6614" w:rsidRDefault="00866AF2">
            <w:pPr>
              <w:jc w:val="right"/>
              <w:textAlignment w:val="bottom"/>
            </w:pPr>
            <w:r>
              <w:rPr>
                <w:rFonts w:ascii="Arial" w:eastAsia="宋体" w:hAnsi="Arial" w:cs="Arial"/>
                <w:color w:val="000000"/>
                <w:sz w:val="18"/>
                <w:szCs w:val="18"/>
              </w:rPr>
              <w:t>3,550 </w:t>
            </w:r>
          </w:p>
        </w:tc>
        <w:tc>
          <w:tcPr>
            <w:tcW w:w="0" w:type="auto"/>
            <w:shd w:val="clear" w:color="auto" w:fill="E2E2E2"/>
            <w:tcMar>
              <w:top w:w="40" w:type="dxa"/>
              <w:bottom w:w="40" w:type="dxa"/>
              <w:right w:w="20" w:type="dxa"/>
            </w:tcMar>
            <w:vAlign w:val="bottom"/>
          </w:tcPr>
          <w:p w14:paraId="64A8831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31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313" w14:textId="77777777" w:rsidR="008D6614" w:rsidRDefault="00866AF2">
            <w:pPr>
              <w:jc w:val="right"/>
              <w:textAlignment w:val="bottom"/>
            </w:pPr>
            <w:r>
              <w:rPr>
                <w:rFonts w:ascii="Arial" w:eastAsia="宋体" w:hAnsi="Arial" w:cs="Arial"/>
                <w:color w:val="000000"/>
                <w:sz w:val="18"/>
                <w:szCs w:val="18"/>
              </w:rPr>
              <w:t>1,850 </w:t>
            </w:r>
          </w:p>
        </w:tc>
        <w:tc>
          <w:tcPr>
            <w:tcW w:w="0" w:type="auto"/>
            <w:shd w:val="clear" w:color="auto" w:fill="E2E2E2"/>
            <w:tcMar>
              <w:top w:w="40" w:type="dxa"/>
              <w:bottom w:w="40" w:type="dxa"/>
              <w:right w:w="20" w:type="dxa"/>
            </w:tcMar>
            <w:vAlign w:val="bottom"/>
          </w:tcPr>
          <w:p w14:paraId="64A8831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15" w14:textId="77777777" w:rsidR="008D6614" w:rsidRDefault="008D6614">
            <w:pPr>
              <w:rPr>
                <w:rFonts w:ascii="宋体"/>
              </w:rPr>
            </w:pPr>
          </w:p>
        </w:tc>
        <w:tc>
          <w:tcPr>
            <w:tcW w:w="0" w:type="auto"/>
            <w:shd w:val="clear" w:color="auto" w:fill="auto"/>
            <w:vAlign w:val="center"/>
          </w:tcPr>
          <w:p w14:paraId="64A88316" w14:textId="77777777" w:rsidR="008D6614" w:rsidRDefault="008D6614">
            <w:pPr>
              <w:rPr>
                <w:rFonts w:ascii="宋体"/>
              </w:rPr>
            </w:pPr>
          </w:p>
        </w:tc>
        <w:tc>
          <w:tcPr>
            <w:tcW w:w="0" w:type="auto"/>
            <w:shd w:val="clear" w:color="auto" w:fill="auto"/>
            <w:vAlign w:val="center"/>
          </w:tcPr>
          <w:p w14:paraId="64A88317" w14:textId="77777777" w:rsidR="008D6614" w:rsidRDefault="008D6614">
            <w:pPr>
              <w:rPr>
                <w:rFonts w:ascii="宋体"/>
              </w:rPr>
            </w:pPr>
          </w:p>
        </w:tc>
        <w:tc>
          <w:tcPr>
            <w:tcW w:w="0" w:type="auto"/>
            <w:shd w:val="clear" w:color="auto" w:fill="auto"/>
            <w:vAlign w:val="center"/>
          </w:tcPr>
          <w:p w14:paraId="64A88318" w14:textId="77777777" w:rsidR="008D6614" w:rsidRDefault="008D6614">
            <w:pPr>
              <w:rPr>
                <w:rFonts w:ascii="宋体"/>
              </w:rPr>
            </w:pPr>
          </w:p>
        </w:tc>
        <w:tc>
          <w:tcPr>
            <w:tcW w:w="0" w:type="auto"/>
            <w:shd w:val="clear" w:color="auto" w:fill="auto"/>
            <w:vAlign w:val="center"/>
          </w:tcPr>
          <w:p w14:paraId="64A88319" w14:textId="77777777" w:rsidR="008D6614" w:rsidRDefault="008D6614">
            <w:pPr>
              <w:rPr>
                <w:rFonts w:ascii="宋体"/>
              </w:rPr>
            </w:pPr>
          </w:p>
        </w:tc>
        <w:tc>
          <w:tcPr>
            <w:tcW w:w="0" w:type="auto"/>
            <w:shd w:val="clear" w:color="auto" w:fill="auto"/>
            <w:vAlign w:val="center"/>
          </w:tcPr>
          <w:p w14:paraId="64A8831A" w14:textId="77777777" w:rsidR="008D6614" w:rsidRDefault="008D6614">
            <w:pPr>
              <w:rPr>
                <w:rFonts w:ascii="宋体"/>
              </w:rPr>
            </w:pPr>
          </w:p>
        </w:tc>
      </w:tr>
      <w:tr w:rsidR="008D6614" w14:paraId="64A88328" w14:textId="77777777">
        <w:trPr>
          <w:jc w:val="center"/>
        </w:trPr>
        <w:tc>
          <w:tcPr>
            <w:tcW w:w="0" w:type="auto"/>
            <w:gridSpan w:val="3"/>
            <w:shd w:val="clear" w:color="auto" w:fill="FFFFFF"/>
            <w:tcMar>
              <w:top w:w="40" w:type="dxa"/>
              <w:left w:w="20" w:type="dxa"/>
              <w:bottom w:w="40" w:type="dxa"/>
              <w:right w:w="20" w:type="dxa"/>
            </w:tcMar>
            <w:vAlign w:val="bottom"/>
          </w:tcPr>
          <w:p w14:paraId="64A8831C" w14:textId="77777777" w:rsidR="008D6614" w:rsidRDefault="00866AF2">
            <w:pPr>
              <w:textAlignment w:val="bottom"/>
            </w:pPr>
            <w:r>
              <w:rPr>
                <w:rFonts w:ascii="Arial" w:eastAsia="宋体" w:hAnsi="Arial" w:cs="Arial"/>
                <w:color w:val="000000"/>
                <w:sz w:val="18"/>
                <w:szCs w:val="18"/>
              </w:rPr>
              <w:t>Accounts receivable, net of allowance for doubtful accounts of $127 and $100</w:t>
            </w:r>
          </w:p>
        </w:tc>
        <w:tc>
          <w:tcPr>
            <w:tcW w:w="0" w:type="auto"/>
            <w:gridSpan w:val="2"/>
            <w:shd w:val="clear" w:color="auto" w:fill="FFFFFF"/>
            <w:tcMar>
              <w:top w:w="40" w:type="dxa"/>
              <w:left w:w="20" w:type="dxa"/>
              <w:bottom w:w="40" w:type="dxa"/>
              <w:right w:w="0" w:type="dxa"/>
            </w:tcMar>
            <w:vAlign w:val="bottom"/>
          </w:tcPr>
          <w:p w14:paraId="64A8831D" w14:textId="77777777" w:rsidR="008D6614" w:rsidRDefault="00866AF2">
            <w:pPr>
              <w:jc w:val="right"/>
              <w:textAlignment w:val="bottom"/>
            </w:pPr>
            <w:r>
              <w:rPr>
                <w:rFonts w:ascii="Arial" w:eastAsia="宋体" w:hAnsi="Arial" w:cs="Arial"/>
                <w:color w:val="000000"/>
                <w:sz w:val="18"/>
                <w:szCs w:val="18"/>
              </w:rPr>
              <w:t>635 </w:t>
            </w:r>
          </w:p>
        </w:tc>
        <w:tc>
          <w:tcPr>
            <w:tcW w:w="0" w:type="auto"/>
            <w:shd w:val="clear" w:color="auto" w:fill="FFFFFF"/>
            <w:tcMar>
              <w:top w:w="40" w:type="dxa"/>
              <w:bottom w:w="40" w:type="dxa"/>
              <w:right w:w="20" w:type="dxa"/>
            </w:tcMar>
            <w:vAlign w:val="bottom"/>
          </w:tcPr>
          <w:p w14:paraId="64A8831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31F"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320" w14:textId="77777777" w:rsidR="008D6614" w:rsidRDefault="00866AF2">
            <w:pPr>
              <w:jc w:val="right"/>
              <w:textAlignment w:val="bottom"/>
            </w:pPr>
            <w:r>
              <w:rPr>
                <w:rFonts w:ascii="Arial" w:eastAsia="宋体" w:hAnsi="Arial" w:cs="Arial"/>
                <w:color w:val="000000"/>
                <w:sz w:val="18"/>
                <w:szCs w:val="18"/>
              </w:rPr>
              <w:t>691 </w:t>
            </w:r>
          </w:p>
        </w:tc>
        <w:tc>
          <w:tcPr>
            <w:tcW w:w="0" w:type="auto"/>
            <w:shd w:val="clear" w:color="auto" w:fill="FFFFFF"/>
            <w:tcMar>
              <w:top w:w="40" w:type="dxa"/>
              <w:bottom w:w="40" w:type="dxa"/>
              <w:right w:w="20" w:type="dxa"/>
            </w:tcMar>
            <w:vAlign w:val="bottom"/>
          </w:tcPr>
          <w:p w14:paraId="64A8832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22" w14:textId="77777777" w:rsidR="008D6614" w:rsidRDefault="008D6614">
            <w:pPr>
              <w:rPr>
                <w:rFonts w:ascii="宋体"/>
              </w:rPr>
            </w:pPr>
          </w:p>
        </w:tc>
        <w:tc>
          <w:tcPr>
            <w:tcW w:w="0" w:type="auto"/>
            <w:shd w:val="clear" w:color="auto" w:fill="auto"/>
            <w:vAlign w:val="center"/>
          </w:tcPr>
          <w:p w14:paraId="64A88323" w14:textId="77777777" w:rsidR="008D6614" w:rsidRDefault="008D6614">
            <w:pPr>
              <w:rPr>
                <w:rFonts w:ascii="宋体"/>
              </w:rPr>
            </w:pPr>
          </w:p>
        </w:tc>
        <w:tc>
          <w:tcPr>
            <w:tcW w:w="0" w:type="auto"/>
            <w:shd w:val="clear" w:color="auto" w:fill="auto"/>
            <w:vAlign w:val="center"/>
          </w:tcPr>
          <w:p w14:paraId="64A88324" w14:textId="77777777" w:rsidR="008D6614" w:rsidRDefault="008D6614">
            <w:pPr>
              <w:rPr>
                <w:rFonts w:ascii="宋体"/>
              </w:rPr>
            </w:pPr>
          </w:p>
        </w:tc>
        <w:tc>
          <w:tcPr>
            <w:tcW w:w="0" w:type="auto"/>
            <w:shd w:val="clear" w:color="auto" w:fill="auto"/>
            <w:vAlign w:val="center"/>
          </w:tcPr>
          <w:p w14:paraId="64A88325" w14:textId="77777777" w:rsidR="008D6614" w:rsidRDefault="008D6614">
            <w:pPr>
              <w:rPr>
                <w:rFonts w:ascii="宋体"/>
              </w:rPr>
            </w:pPr>
          </w:p>
        </w:tc>
        <w:tc>
          <w:tcPr>
            <w:tcW w:w="0" w:type="auto"/>
            <w:shd w:val="clear" w:color="auto" w:fill="auto"/>
            <w:vAlign w:val="center"/>
          </w:tcPr>
          <w:p w14:paraId="64A88326" w14:textId="77777777" w:rsidR="008D6614" w:rsidRDefault="008D6614">
            <w:pPr>
              <w:rPr>
                <w:rFonts w:ascii="宋体"/>
              </w:rPr>
            </w:pPr>
          </w:p>
        </w:tc>
        <w:tc>
          <w:tcPr>
            <w:tcW w:w="0" w:type="auto"/>
            <w:shd w:val="clear" w:color="auto" w:fill="auto"/>
            <w:vAlign w:val="center"/>
          </w:tcPr>
          <w:p w14:paraId="64A88327" w14:textId="77777777" w:rsidR="008D6614" w:rsidRDefault="008D6614">
            <w:pPr>
              <w:rPr>
                <w:rFonts w:ascii="宋体"/>
              </w:rPr>
            </w:pPr>
          </w:p>
        </w:tc>
      </w:tr>
      <w:tr w:rsidR="008D6614" w14:paraId="64A88335" w14:textId="77777777">
        <w:trPr>
          <w:jc w:val="center"/>
        </w:trPr>
        <w:tc>
          <w:tcPr>
            <w:tcW w:w="0" w:type="auto"/>
            <w:gridSpan w:val="3"/>
            <w:shd w:val="clear" w:color="auto" w:fill="E2E2E2"/>
            <w:tcMar>
              <w:top w:w="40" w:type="dxa"/>
              <w:left w:w="495" w:type="dxa"/>
              <w:bottom w:w="40" w:type="dxa"/>
              <w:right w:w="20" w:type="dxa"/>
            </w:tcMar>
            <w:vAlign w:val="bottom"/>
          </w:tcPr>
          <w:p w14:paraId="64A88329" w14:textId="77777777" w:rsidR="008D6614" w:rsidRDefault="00866AF2">
            <w:pPr>
              <w:textAlignment w:val="bottom"/>
            </w:pPr>
            <w:r>
              <w:rPr>
                <w:rFonts w:ascii="Arial" w:eastAsia="宋体" w:hAnsi="Arial" w:cs="Arial"/>
                <w:color w:val="000000"/>
                <w:sz w:val="18"/>
                <w:szCs w:val="18"/>
              </w:rPr>
              <w:t>Other current assets</w:t>
            </w:r>
          </w:p>
        </w:tc>
        <w:tc>
          <w:tcPr>
            <w:tcW w:w="0" w:type="auto"/>
            <w:gridSpan w:val="2"/>
            <w:shd w:val="clear" w:color="auto" w:fill="E2E2E2"/>
            <w:tcMar>
              <w:top w:w="40" w:type="dxa"/>
              <w:left w:w="20" w:type="dxa"/>
              <w:bottom w:w="40" w:type="dxa"/>
              <w:right w:w="0" w:type="dxa"/>
            </w:tcMar>
            <w:vAlign w:val="bottom"/>
          </w:tcPr>
          <w:p w14:paraId="64A8832A" w14:textId="77777777" w:rsidR="008D6614" w:rsidRDefault="00866AF2">
            <w:pPr>
              <w:jc w:val="right"/>
              <w:textAlignment w:val="bottom"/>
            </w:pPr>
            <w:r>
              <w:rPr>
                <w:rFonts w:ascii="Arial" w:eastAsia="宋体" w:hAnsi="Arial" w:cs="Arial"/>
                <w:color w:val="000000"/>
                <w:sz w:val="18"/>
                <w:szCs w:val="18"/>
              </w:rPr>
              <w:t>1,183 </w:t>
            </w:r>
          </w:p>
        </w:tc>
        <w:tc>
          <w:tcPr>
            <w:tcW w:w="0" w:type="auto"/>
            <w:shd w:val="clear" w:color="auto" w:fill="E2E2E2"/>
            <w:tcMar>
              <w:top w:w="40" w:type="dxa"/>
              <w:bottom w:w="40" w:type="dxa"/>
              <w:right w:w="20" w:type="dxa"/>
            </w:tcMar>
            <w:vAlign w:val="bottom"/>
          </w:tcPr>
          <w:p w14:paraId="64A8832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32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32D" w14:textId="77777777" w:rsidR="008D6614" w:rsidRDefault="00866AF2">
            <w:pPr>
              <w:jc w:val="right"/>
              <w:textAlignment w:val="bottom"/>
            </w:pPr>
            <w:r>
              <w:rPr>
                <w:rFonts w:ascii="Arial" w:eastAsia="宋体" w:hAnsi="Arial" w:cs="Arial"/>
                <w:color w:val="000000"/>
                <w:sz w:val="18"/>
                <w:szCs w:val="18"/>
              </w:rPr>
              <w:t>1,101 </w:t>
            </w:r>
          </w:p>
        </w:tc>
        <w:tc>
          <w:tcPr>
            <w:tcW w:w="0" w:type="auto"/>
            <w:shd w:val="clear" w:color="auto" w:fill="E2E2E2"/>
            <w:tcMar>
              <w:top w:w="40" w:type="dxa"/>
              <w:bottom w:w="40" w:type="dxa"/>
              <w:right w:w="20" w:type="dxa"/>
            </w:tcMar>
            <w:vAlign w:val="bottom"/>
          </w:tcPr>
          <w:p w14:paraId="64A8832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2F" w14:textId="77777777" w:rsidR="008D6614" w:rsidRDefault="008D6614">
            <w:pPr>
              <w:rPr>
                <w:rFonts w:ascii="宋体"/>
              </w:rPr>
            </w:pPr>
          </w:p>
        </w:tc>
        <w:tc>
          <w:tcPr>
            <w:tcW w:w="0" w:type="auto"/>
            <w:shd w:val="clear" w:color="auto" w:fill="auto"/>
            <w:vAlign w:val="center"/>
          </w:tcPr>
          <w:p w14:paraId="64A88330" w14:textId="77777777" w:rsidR="008D6614" w:rsidRDefault="008D6614">
            <w:pPr>
              <w:rPr>
                <w:rFonts w:ascii="宋体"/>
              </w:rPr>
            </w:pPr>
          </w:p>
        </w:tc>
        <w:tc>
          <w:tcPr>
            <w:tcW w:w="0" w:type="auto"/>
            <w:shd w:val="clear" w:color="auto" w:fill="auto"/>
            <w:vAlign w:val="center"/>
          </w:tcPr>
          <w:p w14:paraId="64A88331" w14:textId="77777777" w:rsidR="008D6614" w:rsidRDefault="008D6614">
            <w:pPr>
              <w:rPr>
                <w:rFonts w:ascii="宋体"/>
              </w:rPr>
            </w:pPr>
          </w:p>
        </w:tc>
        <w:tc>
          <w:tcPr>
            <w:tcW w:w="0" w:type="auto"/>
            <w:shd w:val="clear" w:color="auto" w:fill="auto"/>
            <w:vAlign w:val="center"/>
          </w:tcPr>
          <w:p w14:paraId="64A88332" w14:textId="77777777" w:rsidR="008D6614" w:rsidRDefault="008D6614">
            <w:pPr>
              <w:rPr>
                <w:rFonts w:ascii="宋体"/>
              </w:rPr>
            </w:pPr>
          </w:p>
        </w:tc>
        <w:tc>
          <w:tcPr>
            <w:tcW w:w="0" w:type="auto"/>
            <w:shd w:val="clear" w:color="auto" w:fill="auto"/>
            <w:vAlign w:val="center"/>
          </w:tcPr>
          <w:p w14:paraId="64A88333" w14:textId="77777777" w:rsidR="008D6614" w:rsidRDefault="008D6614">
            <w:pPr>
              <w:rPr>
                <w:rFonts w:ascii="宋体"/>
              </w:rPr>
            </w:pPr>
          </w:p>
        </w:tc>
        <w:tc>
          <w:tcPr>
            <w:tcW w:w="0" w:type="auto"/>
            <w:shd w:val="clear" w:color="auto" w:fill="auto"/>
            <w:vAlign w:val="center"/>
          </w:tcPr>
          <w:p w14:paraId="64A88334" w14:textId="77777777" w:rsidR="008D6614" w:rsidRDefault="008D6614">
            <w:pPr>
              <w:rPr>
                <w:rFonts w:ascii="宋体"/>
              </w:rPr>
            </w:pPr>
          </w:p>
        </w:tc>
      </w:tr>
      <w:tr w:rsidR="008D6614" w14:paraId="64A88342" w14:textId="77777777">
        <w:trPr>
          <w:jc w:val="center"/>
        </w:trPr>
        <w:tc>
          <w:tcPr>
            <w:tcW w:w="0" w:type="auto"/>
            <w:gridSpan w:val="3"/>
            <w:shd w:val="clear" w:color="auto" w:fill="FFFFFF"/>
            <w:tcMar>
              <w:top w:w="40" w:type="dxa"/>
              <w:left w:w="495" w:type="dxa"/>
              <w:bottom w:w="40" w:type="dxa"/>
              <w:right w:w="20" w:type="dxa"/>
            </w:tcMar>
            <w:vAlign w:val="bottom"/>
          </w:tcPr>
          <w:p w14:paraId="64A88336" w14:textId="77777777" w:rsidR="008D6614" w:rsidRDefault="00866AF2">
            <w:pPr>
              <w:textAlignment w:val="bottom"/>
            </w:pPr>
            <w:r>
              <w:rPr>
                <w:rFonts w:ascii="Arial" w:eastAsia="宋体" w:hAnsi="Arial" w:cs="Arial"/>
                <w:color w:val="000000"/>
                <w:sz w:val="18"/>
                <w:szCs w:val="18"/>
              </w:rPr>
              <w:t>Current assets of discontinued operations</w:t>
            </w:r>
          </w:p>
        </w:tc>
        <w:tc>
          <w:tcPr>
            <w:tcW w:w="0" w:type="auto"/>
            <w:gridSpan w:val="2"/>
            <w:shd w:val="clear" w:color="auto" w:fill="FFFFFF"/>
            <w:tcMar>
              <w:top w:w="40" w:type="dxa"/>
              <w:left w:w="20" w:type="dxa"/>
              <w:bottom w:w="40" w:type="dxa"/>
              <w:right w:w="0" w:type="dxa"/>
            </w:tcMar>
            <w:vAlign w:val="bottom"/>
          </w:tcPr>
          <w:p w14:paraId="64A8833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833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33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33A" w14:textId="77777777" w:rsidR="008D6614" w:rsidRDefault="00866AF2">
            <w:pPr>
              <w:jc w:val="right"/>
              <w:textAlignment w:val="bottom"/>
            </w:pPr>
            <w:r>
              <w:rPr>
                <w:rFonts w:ascii="Arial" w:eastAsia="宋体" w:hAnsi="Arial" w:cs="Arial"/>
                <w:color w:val="000000"/>
                <w:sz w:val="18"/>
                <w:szCs w:val="18"/>
              </w:rPr>
              <w:t>141 </w:t>
            </w:r>
          </w:p>
        </w:tc>
        <w:tc>
          <w:tcPr>
            <w:tcW w:w="0" w:type="auto"/>
            <w:shd w:val="clear" w:color="auto" w:fill="FFFFFF"/>
            <w:tcMar>
              <w:top w:w="40" w:type="dxa"/>
              <w:bottom w:w="40" w:type="dxa"/>
              <w:right w:w="20" w:type="dxa"/>
            </w:tcMar>
            <w:vAlign w:val="bottom"/>
          </w:tcPr>
          <w:p w14:paraId="64A8833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3C" w14:textId="77777777" w:rsidR="008D6614" w:rsidRDefault="008D6614">
            <w:pPr>
              <w:rPr>
                <w:rFonts w:ascii="宋体"/>
              </w:rPr>
            </w:pPr>
          </w:p>
        </w:tc>
        <w:tc>
          <w:tcPr>
            <w:tcW w:w="0" w:type="auto"/>
            <w:shd w:val="clear" w:color="auto" w:fill="auto"/>
            <w:vAlign w:val="center"/>
          </w:tcPr>
          <w:p w14:paraId="64A8833D" w14:textId="77777777" w:rsidR="008D6614" w:rsidRDefault="008D6614">
            <w:pPr>
              <w:rPr>
                <w:rFonts w:ascii="宋体"/>
              </w:rPr>
            </w:pPr>
          </w:p>
        </w:tc>
        <w:tc>
          <w:tcPr>
            <w:tcW w:w="0" w:type="auto"/>
            <w:shd w:val="clear" w:color="auto" w:fill="auto"/>
            <w:vAlign w:val="center"/>
          </w:tcPr>
          <w:p w14:paraId="64A8833E" w14:textId="77777777" w:rsidR="008D6614" w:rsidRDefault="008D6614">
            <w:pPr>
              <w:rPr>
                <w:rFonts w:ascii="宋体"/>
              </w:rPr>
            </w:pPr>
          </w:p>
        </w:tc>
        <w:tc>
          <w:tcPr>
            <w:tcW w:w="0" w:type="auto"/>
            <w:shd w:val="clear" w:color="auto" w:fill="auto"/>
            <w:vAlign w:val="center"/>
          </w:tcPr>
          <w:p w14:paraId="64A8833F" w14:textId="77777777" w:rsidR="008D6614" w:rsidRDefault="008D6614">
            <w:pPr>
              <w:rPr>
                <w:rFonts w:ascii="宋体"/>
              </w:rPr>
            </w:pPr>
          </w:p>
        </w:tc>
        <w:tc>
          <w:tcPr>
            <w:tcW w:w="0" w:type="auto"/>
            <w:shd w:val="clear" w:color="auto" w:fill="auto"/>
            <w:vAlign w:val="center"/>
          </w:tcPr>
          <w:p w14:paraId="64A88340" w14:textId="77777777" w:rsidR="008D6614" w:rsidRDefault="008D6614">
            <w:pPr>
              <w:rPr>
                <w:rFonts w:ascii="宋体"/>
              </w:rPr>
            </w:pPr>
          </w:p>
        </w:tc>
        <w:tc>
          <w:tcPr>
            <w:tcW w:w="0" w:type="auto"/>
            <w:shd w:val="clear" w:color="auto" w:fill="auto"/>
            <w:vAlign w:val="center"/>
          </w:tcPr>
          <w:p w14:paraId="64A88341" w14:textId="77777777" w:rsidR="008D6614" w:rsidRDefault="008D6614">
            <w:pPr>
              <w:rPr>
                <w:rFonts w:ascii="宋体"/>
              </w:rPr>
            </w:pPr>
          </w:p>
        </w:tc>
      </w:tr>
      <w:tr w:rsidR="008D6614" w14:paraId="64A8834D" w14:textId="77777777">
        <w:trPr>
          <w:jc w:val="center"/>
          <w:hidden/>
        </w:trPr>
        <w:tc>
          <w:tcPr>
            <w:tcW w:w="0" w:type="auto"/>
            <w:gridSpan w:val="3"/>
            <w:shd w:val="clear" w:color="auto" w:fill="auto"/>
            <w:vAlign w:val="center"/>
          </w:tcPr>
          <w:p w14:paraId="64A88343" w14:textId="77777777" w:rsidR="008D6614" w:rsidRDefault="008D6614">
            <w:pPr>
              <w:rPr>
                <w:rFonts w:ascii="宋体"/>
                <w:vanish/>
              </w:rPr>
            </w:pPr>
          </w:p>
        </w:tc>
        <w:tc>
          <w:tcPr>
            <w:tcW w:w="0" w:type="auto"/>
            <w:gridSpan w:val="3"/>
            <w:shd w:val="clear" w:color="auto" w:fill="auto"/>
            <w:vAlign w:val="center"/>
          </w:tcPr>
          <w:p w14:paraId="64A88344" w14:textId="77777777" w:rsidR="008D6614" w:rsidRDefault="008D6614">
            <w:pPr>
              <w:rPr>
                <w:rFonts w:ascii="宋体"/>
                <w:vanish/>
              </w:rPr>
            </w:pPr>
          </w:p>
        </w:tc>
        <w:tc>
          <w:tcPr>
            <w:tcW w:w="0" w:type="auto"/>
            <w:gridSpan w:val="3"/>
            <w:shd w:val="clear" w:color="auto" w:fill="auto"/>
            <w:vAlign w:val="center"/>
          </w:tcPr>
          <w:p w14:paraId="64A88345" w14:textId="77777777" w:rsidR="008D6614" w:rsidRDefault="008D6614">
            <w:pPr>
              <w:rPr>
                <w:rFonts w:ascii="宋体"/>
                <w:vanish/>
              </w:rPr>
            </w:pPr>
          </w:p>
        </w:tc>
        <w:tc>
          <w:tcPr>
            <w:tcW w:w="0" w:type="auto"/>
            <w:gridSpan w:val="3"/>
            <w:shd w:val="clear" w:color="auto" w:fill="auto"/>
            <w:vAlign w:val="center"/>
          </w:tcPr>
          <w:p w14:paraId="64A88346" w14:textId="77777777" w:rsidR="008D6614" w:rsidRDefault="008D6614">
            <w:pPr>
              <w:rPr>
                <w:rFonts w:ascii="宋体"/>
                <w:vanish/>
              </w:rPr>
            </w:pPr>
          </w:p>
        </w:tc>
        <w:tc>
          <w:tcPr>
            <w:tcW w:w="0" w:type="auto"/>
            <w:shd w:val="clear" w:color="auto" w:fill="auto"/>
            <w:vAlign w:val="center"/>
          </w:tcPr>
          <w:p w14:paraId="64A88347" w14:textId="77777777" w:rsidR="008D6614" w:rsidRDefault="008D6614">
            <w:pPr>
              <w:rPr>
                <w:rFonts w:ascii="宋体"/>
              </w:rPr>
            </w:pPr>
          </w:p>
        </w:tc>
        <w:tc>
          <w:tcPr>
            <w:tcW w:w="0" w:type="auto"/>
            <w:shd w:val="clear" w:color="auto" w:fill="auto"/>
            <w:vAlign w:val="center"/>
          </w:tcPr>
          <w:p w14:paraId="64A88348" w14:textId="77777777" w:rsidR="008D6614" w:rsidRDefault="008D6614">
            <w:pPr>
              <w:rPr>
                <w:rFonts w:ascii="宋体"/>
              </w:rPr>
            </w:pPr>
          </w:p>
        </w:tc>
        <w:tc>
          <w:tcPr>
            <w:tcW w:w="0" w:type="auto"/>
            <w:shd w:val="clear" w:color="auto" w:fill="auto"/>
            <w:vAlign w:val="center"/>
          </w:tcPr>
          <w:p w14:paraId="64A88349" w14:textId="77777777" w:rsidR="008D6614" w:rsidRDefault="008D6614">
            <w:pPr>
              <w:rPr>
                <w:rFonts w:ascii="宋体"/>
              </w:rPr>
            </w:pPr>
          </w:p>
        </w:tc>
        <w:tc>
          <w:tcPr>
            <w:tcW w:w="0" w:type="auto"/>
            <w:shd w:val="clear" w:color="auto" w:fill="auto"/>
            <w:vAlign w:val="center"/>
          </w:tcPr>
          <w:p w14:paraId="64A8834A" w14:textId="77777777" w:rsidR="008D6614" w:rsidRDefault="008D6614">
            <w:pPr>
              <w:rPr>
                <w:rFonts w:ascii="宋体"/>
              </w:rPr>
            </w:pPr>
          </w:p>
        </w:tc>
        <w:tc>
          <w:tcPr>
            <w:tcW w:w="0" w:type="auto"/>
            <w:shd w:val="clear" w:color="auto" w:fill="auto"/>
            <w:vAlign w:val="center"/>
          </w:tcPr>
          <w:p w14:paraId="64A8834B" w14:textId="77777777" w:rsidR="008D6614" w:rsidRDefault="008D6614">
            <w:pPr>
              <w:rPr>
                <w:rFonts w:ascii="宋体"/>
              </w:rPr>
            </w:pPr>
          </w:p>
        </w:tc>
        <w:tc>
          <w:tcPr>
            <w:tcW w:w="0" w:type="auto"/>
            <w:shd w:val="clear" w:color="auto" w:fill="auto"/>
            <w:vAlign w:val="center"/>
          </w:tcPr>
          <w:p w14:paraId="64A8834C" w14:textId="77777777" w:rsidR="008D6614" w:rsidRDefault="008D6614">
            <w:pPr>
              <w:rPr>
                <w:rFonts w:ascii="宋体"/>
              </w:rPr>
            </w:pPr>
          </w:p>
        </w:tc>
      </w:tr>
      <w:tr w:rsidR="008D6614" w14:paraId="64A8835A" w14:textId="77777777">
        <w:trPr>
          <w:jc w:val="center"/>
        </w:trPr>
        <w:tc>
          <w:tcPr>
            <w:tcW w:w="0" w:type="auto"/>
            <w:gridSpan w:val="3"/>
            <w:shd w:val="clear" w:color="auto" w:fill="E2E2E2"/>
            <w:tcMar>
              <w:top w:w="40" w:type="dxa"/>
              <w:left w:w="945" w:type="dxa"/>
              <w:bottom w:w="40" w:type="dxa"/>
              <w:right w:w="20" w:type="dxa"/>
            </w:tcMar>
            <w:vAlign w:val="bottom"/>
          </w:tcPr>
          <w:p w14:paraId="64A8834E" w14:textId="77777777" w:rsidR="008D6614" w:rsidRDefault="00866AF2">
            <w:pPr>
              <w:textAlignment w:val="bottom"/>
            </w:pPr>
            <w:r>
              <w:rPr>
                <w:rFonts w:ascii="Arial" w:eastAsia="宋体" w:hAnsi="Arial" w:cs="Arial"/>
                <w:color w:val="000000"/>
                <w:sz w:val="18"/>
                <w:szCs w:val="18"/>
              </w:rPr>
              <w:t>Total current assets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34F" w14:textId="77777777" w:rsidR="008D6614" w:rsidRDefault="00866AF2">
            <w:pPr>
              <w:jc w:val="right"/>
              <w:textAlignment w:val="bottom"/>
            </w:pPr>
            <w:r>
              <w:rPr>
                <w:rFonts w:ascii="Arial" w:eastAsia="宋体" w:hAnsi="Arial" w:cs="Arial"/>
                <w:color w:val="000000"/>
                <w:sz w:val="18"/>
                <w:szCs w:val="18"/>
              </w:rPr>
              <w:t>6,248 </w:t>
            </w:r>
          </w:p>
        </w:tc>
        <w:tc>
          <w:tcPr>
            <w:tcW w:w="0" w:type="auto"/>
            <w:tcBorders>
              <w:top w:val="single" w:sz="8" w:space="0" w:color="000000"/>
            </w:tcBorders>
            <w:shd w:val="clear" w:color="auto" w:fill="E2E2E2"/>
            <w:tcMar>
              <w:top w:w="40" w:type="dxa"/>
              <w:bottom w:w="40" w:type="dxa"/>
              <w:right w:w="20" w:type="dxa"/>
            </w:tcMar>
            <w:vAlign w:val="bottom"/>
          </w:tcPr>
          <w:p w14:paraId="64A8835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351"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352" w14:textId="77777777" w:rsidR="008D6614" w:rsidRDefault="00866AF2">
            <w:pPr>
              <w:jc w:val="right"/>
              <w:textAlignment w:val="bottom"/>
            </w:pPr>
            <w:r>
              <w:rPr>
                <w:rFonts w:ascii="Arial" w:eastAsia="宋体" w:hAnsi="Arial" w:cs="Arial"/>
                <w:color w:val="000000"/>
                <w:sz w:val="18"/>
                <w:szCs w:val="18"/>
              </w:rPr>
              <w:t>4,706 </w:t>
            </w:r>
          </w:p>
        </w:tc>
        <w:tc>
          <w:tcPr>
            <w:tcW w:w="0" w:type="auto"/>
            <w:tcBorders>
              <w:top w:val="single" w:sz="8" w:space="0" w:color="000000"/>
            </w:tcBorders>
            <w:shd w:val="clear" w:color="auto" w:fill="E2E2E2"/>
            <w:tcMar>
              <w:top w:w="40" w:type="dxa"/>
              <w:bottom w:w="40" w:type="dxa"/>
              <w:right w:w="20" w:type="dxa"/>
            </w:tcMar>
            <w:vAlign w:val="bottom"/>
          </w:tcPr>
          <w:p w14:paraId="64A8835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54" w14:textId="77777777" w:rsidR="008D6614" w:rsidRDefault="008D6614">
            <w:pPr>
              <w:rPr>
                <w:rFonts w:ascii="宋体"/>
              </w:rPr>
            </w:pPr>
          </w:p>
        </w:tc>
        <w:tc>
          <w:tcPr>
            <w:tcW w:w="0" w:type="auto"/>
            <w:shd w:val="clear" w:color="auto" w:fill="auto"/>
            <w:vAlign w:val="center"/>
          </w:tcPr>
          <w:p w14:paraId="64A88355" w14:textId="77777777" w:rsidR="008D6614" w:rsidRDefault="008D6614">
            <w:pPr>
              <w:rPr>
                <w:rFonts w:ascii="宋体"/>
              </w:rPr>
            </w:pPr>
          </w:p>
        </w:tc>
        <w:tc>
          <w:tcPr>
            <w:tcW w:w="0" w:type="auto"/>
            <w:shd w:val="clear" w:color="auto" w:fill="auto"/>
            <w:vAlign w:val="center"/>
          </w:tcPr>
          <w:p w14:paraId="64A88356" w14:textId="77777777" w:rsidR="008D6614" w:rsidRDefault="008D6614">
            <w:pPr>
              <w:rPr>
                <w:rFonts w:ascii="宋体"/>
              </w:rPr>
            </w:pPr>
          </w:p>
        </w:tc>
        <w:tc>
          <w:tcPr>
            <w:tcW w:w="0" w:type="auto"/>
            <w:shd w:val="clear" w:color="auto" w:fill="auto"/>
            <w:vAlign w:val="center"/>
          </w:tcPr>
          <w:p w14:paraId="64A88357" w14:textId="77777777" w:rsidR="008D6614" w:rsidRDefault="008D6614">
            <w:pPr>
              <w:rPr>
                <w:rFonts w:ascii="宋体"/>
              </w:rPr>
            </w:pPr>
          </w:p>
        </w:tc>
        <w:tc>
          <w:tcPr>
            <w:tcW w:w="0" w:type="auto"/>
            <w:shd w:val="clear" w:color="auto" w:fill="auto"/>
            <w:vAlign w:val="center"/>
          </w:tcPr>
          <w:p w14:paraId="64A88358" w14:textId="77777777" w:rsidR="008D6614" w:rsidRDefault="008D6614">
            <w:pPr>
              <w:rPr>
                <w:rFonts w:ascii="宋体"/>
              </w:rPr>
            </w:pPr>
          </w:p>
        </w:tc>
        <w:tc>
          <w:tcPr>
            <w:tcW w:w="0" w:type="auto"/>
            <w:shd w:val="clear" w:color="auto" w:fill="auto"/>
            <w:vAlign w:val="center"/>
          </w:tcPr>
          <w:p w14:paraId="64A88359" w14:textId="77777777" w:rsidR="008D6614" w:rsidRDefault="008D6614">
            <w:pPr>
              <w:rPr>
                <w:rFonts w:ascii="宋体"/>
              </w:rPr>
            </w:pPr>
          </w:p>
        </w:tc>
      </w:tr>
      <w:tr w:rsidR="008D6614" w14:paraId="64A88367" w14:textId="77777777">
        <w:trPr>
          <w:jc w:val="center"/>
        </w:trPr>
        <w:tc>
          <w:tcPr>
            <w:tcW w:w="0" w:type="auto"/>
            <w:gridSpan w:val="3"/>
            <w:shd w:val="clear" w:color="auto" w:fill="FFFFFF"/>
            <w:tcMar>
              <w:top w:w="40" w:type="dxa"/>
              <w:left w:w="20" w:type="dxa"/>
              <w:bottom w:w="40" w:type="dxa"/>
              <w:right w:w="20" w:type="dxa"/>
            </w:tcMar>
            <w:vAlign w:val="bottom"/>
          </w:tcPr>
          <w:p w14:paraId="64A8835B" w14:textId="77777777" w:rsidR="008D6614" w:rsidRDefault="00866AF2">
            <w:pPr>
              <w:textAlignment w:val="bottom"/>
            </w:pPr>
            <w:r>
              <w:rPr>
                <w:rFonts w:ascii="Arial" w:eastAsia="宋体" w:hAnsi="Arial" w:cs="Arial"/>
                <w:color w:val="000000"/>
                <w:sz w:val="18"/>
                <w:szCs w:val="18"/>
              </w:rPr>
              <w:t>Long-term investments</w:t>
            </w:r>
          </w:p>
        </w:tc>
        <w:tc>
          <w:tcPr>
            <w:tcW w:w="0" w:type="auto"/>
            <w:gridSpan w:val="2"/>
            <w:shd w:val="clear" w:color="auto" w:fill="FFFFFF"/>
            <w:tcMar>
              <w:top w:w="40" w:type="dxa"/>
              <w:left w:w="20" w:type="dxa"/>
              <w:bottom w:w="40" w:type="dxa"/>
              <w:right w:w="0" w:type="dxa"/>
            </w:tcMar>
            <w:vAlign w:val="bottom"/>
          </w:tcPr>
          <w:p w14:paraId="64A8835C" w14:textId="77777777" w:rsidR="008D6614" w:rsidRDefault="00866AF2">
            <w:pPr>
              <w:jc w:val="right"/>
              <w:textAlignment w:val="bottom"/>
            </w:pPr>
            <w:r>
              <w:rPr>
                <w:rFonts w:ascii="Arial" w:eastAsia="宋体" w:hAnsi="Arial" w:cs="Arial"/>
                <w:color w:val="000000"/>
                <w:sz w:val="18"/>
                <w:szCs w:val="18"/>
              </w:rPr>
              <w:t>1,077 </w:t>
            </w:r>
          </w:p>
        </w:tc>
        <w:tc>
          <w:tcPr>
            <w:tcW w:w="0" w:type="auto"/>
            <w:shd w:val="clear" w:color="auto" w:fill="FFFFFF"/>
            <w:tcMar>
              <w:top w:w="40" w:type="dxa"/>
              <w:bottom w:w="40" w:type="dxa"/>
              <w:right w:w="20" w:type="dxa"/>
            </w:tcMar>
            <w:vAlign w:val="bottom"/>
          </w:tcPr>
          <w:p w14:paraId="64A8835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35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35F" w14:textId="77777777" w:rsidR="008D6614" w:rsidRDefault="00866AF2">
            <w:pPr>
              <w:jc w:val="right"/>
              <w:textAlignment w:val="bottom"/>
            </w:pPr>
            <w:r>
              <w:rPr>
                <w:rFonts w:ascii="Arial" w:eastAsia="宋体" w:hAnsi="Arial" w:cs="Arial"/>
                <w:color w:val="000000"/>
                <w:sz w:val="18"/>
                <w:szCs w:val="18"/>
              </w:rPr>
              <w:t>1,305 </w:t>
            </w:r>
          </w:p>
        </w:tc>
        <w:tc>
          <w:tcPr>
            <w:tcW w:w="0" w:type="auto"/>
            <w:shd w:val="clear" w:color="auto" w:fill="FFFFFF"/>
            <w:tcMar>
              <w:top w:w="40" w:type="dxa"/>
              <w:bottom w:w="40" w:type="dxa"/>
              <w:right w:w="20" w:type="dxa"/>
            </w:tcMar>
            <w:vAlign w:val="bottom"/>
          </w:tcPr>
          <w:p w14:paraId="64A8836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61" w14:textId="77777777" w:rsidR="008D6614" w:rsidRDefault="008D6614">
            <w:pPr>
              <w:rPr>
                <w:rFonts w:ascii="宋体"/>
              </w:rPr>
            </w:pPr>
          </w:p>
        </w:tc>
        <w:tc>
          <w:tcPr>
            <w:tcW w:w="0" w:type="auto"/>
            <w:shd w:val="clear" w:color="auto" w:fill="auto"/>
            <w:vAlign w:val="center"/>
          </w:tcPr>
          <w:p w14:paraId="64A88362" w14:textId="77777777" w:rsidR="008D6614" w:rsidRDefault="008D6614">
            <w:pPr>
              <w:rPr>
                <w:rFonts w:ascii="宋体"/>
              </w:rPr>
            </w:pPr>
          </w:p>
        </w:tc>
        <w:tc>
          <w:tcPr>
            <w:tcW w:w="0" w:type="auto"/>
            <w:shd w:val="clear" w:color="auto" w:fill="auto"/>
            <w:vAlign w:val="center"/>
          </w:tcPr>
          <w:p w14:paraId="64A88363" w14:textId="77777777" w:rsidR="008D6614" w:rsidRDefault="008D6614">
            <w:pPr>
              <w:rPr>
                <w:rFonts w:ascii="宋体"/>
              </w:rPr>
            </w:pPr>
          </w:p>
        </w:tc>
        <w:tc>
          <w:tcPr>
            <w:tcW w:w="0" w:type="auto"/>
            <w:shd w:val="clear" w:color="auto" w:fill="auto"/>
            <w:vAlign w:val="center"/>
          </w:tcPr>
          <w:p w14:paraId="64A88364" w14:textId="77777777" w:rsidR="008D6614" w:rsidRDefault="008D6614">
            <w:pPr>
              <w:rPr>
                <w:rFonts w:ascii="宋体"/>
              </w:rPr>
            </w:pPr>
          </w:p>
        </w:tc>
        <w:tc>
          <w:tcPr>
            <w:tcW w:w="0" w:type="auto"/>
            <w:shd w:val="clear" w:color="auto" w:fill="auto"/>
            <w:vAlign w:val="center"/>
          </w:tcPr>
          <w:p w14:paraId="64A88365" w14:textId="77777777" w:rsidR="008D6614" w:rsidRDefault="008D6614">
            <w:pPr>
              <w:rPr>
                <w:rFonts w:ascii="宋体"/>
              </w:rPr>
            </w:pPr>
          </w:p>
        </w:tc>
        <w:tc>
          <w:tcPr>
            <w:tcW w:w="0" w:type="auto"/>
            <w:shd w:val="clear" w:color="auto" w:fill="auto"/>
            <w:vAlign w:val="center"/>
          </w:tcPr>
          <w:p w14:paraId="64A88366" w14:textId="77777777" w:rsidR="008D6614" w:rsidRDefault="008D6614">
            <w:pPr>
              <w:rPr>
                <w:rFonts w:ascii="宋体"/>
              </w:rPr>
            </w:pPr>
          </w:p>
        </w:tc>
      </w:tr>
      <w:tr w:rsidR="008D6614" w14:paraId="64A88374" w14:textId="77777777">
        <w:trPr>
          <w:jc w:val="center"/>
        </w:trPr>
        <w:tc>
          <w:tcPr>
            <w:tcW w:w="0" w:type="auto"/>
            <w:gridSpan w:val="3"/>
            <w:shd w:val="clear" w:color="auto" w:fill="E2E2E2"/>
            <w:tcMar>
              <w:top w:w="40" w:type="dxa"/>
              <w:left w:w="20" w:type="dxa"/>
              <w:bottom w:w="40" w:type="dxa"/>
              <w:right w:w="20" w:type="dxa"/>
            </w:tcMar>
            <w:vAlign w:val="bottom"/>
          </w:tcPr>
          <w:p w14:paraId="64A88368" w14:textId="77777777" w:rsidR="008D6614" w:rsidRDefault="00866AF2">
            <w:pPr>
              <w:textAlignment w:val="bottom"/>
            </w:pPr>
            <w:r>
              <w:rPr>
                <w:rFonts w:ascii="Arial" w:eastAsia="宋体" w:hAnsi="Arial" w:cs="Arial"/>
                <w:color w:val="000000"/>
                <w:sz w:val="18"/>
                <w:szCs w:val="18"/>
              </w:rPr>
              <w:t>Property and equipment, net</w:t>
            </w:r>
          </w:p>
        </w:tc>
        <w:tc>
          <w:tcPr>
            <w:tcW w:w="0" w:type="auto"/>
            <w:gridSpan w:val="2"/>
            <w:shd w:val="clear" w:color="auto" w:fill="E2E2E2"/>
            <w:tcMar>
              <w:top w:w="40" w:type="dxa"/>
              <w:left w:w="20" w:type="dxa"/>
              <w:bottom w:w="40" w:type="dxa"/>
              <w:right w:w="0" w:type="dxa"/>
            </w:tcMar>
            <w:vAlign w:val="bottom"/>
          </w:tcPr>
          <w:p w14:paraId="64A88369" w14:textId="77777777" w:rsidR="008D6614" w:rsidRDefault="00866AF2">
            <w:pPr>
              <w:jc w:val="right"/>
              <w:textAlignment w:val="bottom"/>
            </w:pPr>
            <w:r>
              <w:rPr>
                <w:rFonts w:ascii="Arial" w:eastAsia="宋体" w:hAnsi="Arial" w:cs="Arial"/>
                <w:color w:val="000000"/>
                <w:sz w:val="18"/>
                <w:szCs w:val="18"/>
              </w:rPr>
              <w:t>1,409 </w:t>
            </w:r>
          </w:p>
        </w:tc>
        <w:tc>
          <w:tcPr>
            <w:tcW w:w="0" w:type="auto"/>
            <w:shd w:val="clear" w:color="auto" w:fill="E2E2E2"/>
            <w:tcMar>
              <w:top w:w="40" w:type="dxa"/>
              <w:bottom w:w="40" w:type="dxa"/>
              <w:right w:w="20" w:type="dxa"/>
            </w:tcMar>
            <w:vAlign w:val="bottom"/>
          </w:tcPr>
          <w:p w14:paraId="64A8836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36B"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36C" w14:textId="77777777" w:rsidR="008D6614" w:rsidRDefault="00866AF2">
            <w:pPr>
              <w:jc w:val="right"/>
              <w:textAlignment w:val="bottom"/>
            </w:pPr>
            <w:r>
              <w:rPr>
                <w:rFonts w:ascii="Arial" w:eastAsia="宋体" w:hAnsi="Arial" w:cs="Arial"/>
                <w:color w:val="000000"/>
                <w:sz w:val="18"/>
                <w:szCs w:val="18"/>
              </w:rPr>
              <w:t>1,484 </w:t>
            </w:r>
          </w:p>
        </w:tc>
        <w:tc>
          <w:tcPr>
            <w:tcW w:w="0" w:type="auto"/>
            <w:shd w:val="clear" w:color="auto" w:fill="E2E2E2"/>
            <w:tcMar>
              <w:top w:w="40" w:type="dxa"/>
              <w:bottom w:w="40" w:type="dxa"/>
              <w:right w:w="20" w:type="dxa"/>
            </w:tcMar>
            <w:vAlign w:val="bottom"/>
          </w:tcPr>
          <w:p w14:paraId="64A8836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6E" w14:textId="77777777" w:rsidR="008D6614" w:rsidRDefault="008D6614">
            <w:pPr>
              <w:rPr>
                <w:rFonts w:ascii="宋体"/>
              </w:rPr>
            </w:pPr>
          </w:p>
        </w:tc>
        <w:tc>
          <w:tcPr>
            <w:tcW w:w="0" w:type="auto"/>
            <w:shd w:val="clear" w:color="auto" w:fill="auto"/>
            <w:vAlign w:val="center"/>
          </w:tcPr>
          <w:p w14:paraId="64A8836F" w14:textId="77777777" w:rsidR="008D6614" w:rsidRDefault="008D6614">
            <w:pPr>
              <w:rPr>
                <w:rFonts w:ascii="宋体"/>
              </w:rPr>
            </w:pPr>
          </w:p>
        </w:tc>
        <w:tc>
          <w:tcPr>
            <w:tcW w:w="0" w:type="auto"/>
            <w:shd w:val="clear" w:color="auto" w:fill="auto"/>
            <w:vAlign w:val="center"/>
          </w:tcPr>
          <w:p w14:paraId="64A88370" w14:textId="77777777" w:rsidR="008D6614" w:rsidRDefault="008D6614">
            <w:pPr>
              <w:rPr>
                <w:rFonts w:ascii="宋体"/>
              </w:rPr>
            </w:pPr>
          </w:p>
        </w:tc>
        <w:tc>
          <w:tcPr>
            <w:tcW w:w="0" w:type="auto"/>
            <w:shd w:val="clear" w:color="auto" w:fill="auto"/>
            <w:vAlign w:val="center"/>
          </w:tcPr>
          <w:p w14:paraId="64A88371" w14:textId="77777777" w:rsidR="008D6614" w:rsidRDefault="008D6614">
            <w:pPr>
              <w:rPr>
                <w:rFonts w:ascii="宋体"/>
              </w:rPr>
            </w:pPr>
          </w:p>
        </w:tc>
        <w:tc>
          <w:tcPr>
            <w:tcW w:w="0" w:type="auto"/>
            <w:shd w:val="clear" w:color="auto" w:fill="auto"/>
            <w:vAlign w:val="center"/>
          </w:tcPr>
          <w:p w14:paraId="64A88372" w14:textId="77777777" w:rsidR="008D6614" w:rsidRDefault="008D6614">
            <w:pPr>
              <w:rPr>
                <w:rFonts w:ascii="宋体"/>
              </w:rPr>
            </w:pPr>
          </w:p>
        </w:tc>
        <w:tc>
          <w:tcPr>
            <w:tcW w:w="0" w:type="auto"/>
            <w:shd w:val="clear" w:color="auto" w:fill="auto"/>
            <w:vAlign w:val="center"/>
          </w:tcPr>
          <w:p w14:paraId="64A88373" w14:textId="77777777" w:rsidR="008D6614" w:rsidRDefault="008D6614">
            <w:pPr>
              <w:rPr>
                <w:rFonts w:ascii="宋体"/>
              </w:rPr>
            </w:pPr>
          </w:p>
        </w:tc>
      </w:tr>
      <w:tr w:rsidR="008D6614" w14:paraId="64A88381" w14:textId="77777777">
        <w:trPr>
          <w:jc w:val="center"/>
        </w:trPr>
        <w:tc>
          <w:tcPr>
            <w:tcW w:w="0" w:type="auto"/>
            <w:gridSpan w:val="3"/>
            <w:shd w:val="clear" w:color="auto" w:fill="FFFFFF"/>
            <w:tcMar>
              <w:top w:w="40" w:type="dxa"/>
              <w:left w:w="20" w:type="dxa"/>
              <w:bottom w:w="40" w:type="dxa"/>
              <w:right w:w="20" w:type="dxa"/>
            </w:tcMar>
            <w:vAlign w:val="bottom"/>
          </w:tcPr>
          <w:p w14:paraId="64A88375" w14:textId="77777777" w:rsidR="008D6614" w:rsidRDefault="00866AF2">
            <w:pPr>
              <w:textAlignment w:val="bottom"/>
            </w:pPr>
            <w:r>
              <w:rPr>
                <w:rFonts w:ascii="Arial" w:eastAsia="宋体" w:hAnsi="Arial" w:cs="Arial"/>
                <w:color w:val="000000"/>
                <w:sz w:val="18"/>
                <w:szCs w:val="18"/>
              </w:rPr>
              <w:t>Goodwill</w:t>
            </w:r>
          </w:p>
        </w:tc>
        <w:tc>
          <w:tcPr>
            <w:tcW w:w="0" w:type="auto"/>
            <w:gridSpan w:val="2"/>
            <w:shd w:val="clear" w:color="auto" w:fill="FFFFFF"/>
            <w:tcMar>
              <w:top w:w="40" w:type="dxa"/>
              <w:left w:w="20" w:type="dxa"/>
              <w:bottom w:w="40" w:type="dxa"/>
              <w:right w:w="0" w:type="dxa"/>
            </w:tcMar>
            <w:vAlign w:val="bottom"/>
          </w:tcPr>
          <w:p w14:paraId="64A88376" w14:textId="77777777" w:rsidR="008D6614" w:rsidRDefault="00866AF2">
            <w:pPr>
              <w:jc w:val="right"/>
              <w:textAlignment w:val="bottom"/>
            </w:pPr>
            <w:r>
              <w:rPr>
                <w:rFonts w:ascii="Arial" w:eastAsia="宋体" w:hAnsi="Arial" w:cs="Arial"/>
                <w:color w:val="000000"/>
                <w:sz w:val="18"/>
                <w:szCs w:val="18"/>
              </w:rPr>
              <w:t>4,850 </w:t>
            </w:r>
          </w:p>
        </w:tc>
        <w:tc>
          <w:tcPr>
            <w:tcW w:w="0" w:type="auto"/>
            <w:shd w:val="clear" w:color="auto" w:fill="FFFFFF"/>
            <w:tcMar>
              <w:top w:w="40" w:type="dxa"/>
              <w:bottom w:w="40" w:type="dxa"/>
              <w:right w:w="20" w:type="dxa"/>
            </w:tcMar>
            <w:vAlign w:val="bottom"/>
          </w:tcPr>
          <w:p w14:paraId="64A8837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37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379" w14:textId="77777777" w:rsidR="008D6614" w:rsidRDefault="00866AF2">
            <w:pPr>
              <w:jc w:val="right"/>
              <w:textAlignment w:val="bottom"/>
            </w:pPr>
            <w:r>
              <w:rPr>
                <w:rFonts w:ascii="Arial" w:eastAsia="宋体" w:hAnsi="Arial" w:cs="Arial"/>
                <w:color w:val="000000"/>
                <w:sz w:val="18"/>
                <w:szCs w:val="18"/>
              </w:rPr>
              <w:t>4,929 </w:t>
            </w:r>
          </w:p>
        </w:tc>
        <w:tc>
          <w:tcPr>
            <w:tcW w:w="0" w:type="auto"/>
            <w:shd w:val="clear" w:color="auto" w:fill="FFFFFF"/>
            <w:tcMar>
              <w:top w:w="40" w:type="dxa"/>
              <w:bottom w:w="40" w:type="dxa"/>
              <w:right w:w="20" w:type="dxa"/>
            </w:tcMar>
            <w:vAlign w:val="bottom"/>
          </w:tcPr>
          <w:p w14:paraId="64A8837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7B" w14:textId="77777777" w:rsidR="008D6614" w:rsidRDefault="008D6614">
            <w:pPr>
              <w:rPr>
                <w:rFonts w:ascii="宋体"/>
              </w:rPr>
            </w:pPr>
          </w:p>
        </w:tc>
        <w:tc>
          <w:tcPr>
            <w:tcW w:w="0" w:type="auto"/>
            <w:shd w:val="clear" w:color="auto" w:fill="auto"/>
            <w:vAlign w:val="center"/>
          </w:tcPr>
          <w:p w14:paraId="64A8837C" w14:textId="77777777" w:rsidR="008D6614" w:rsidRDefault="008D6614">
            <w:pPr>
              <w:rPr>
                <w:rFonts w:ascii="宋体"/>
              </w:rPr>
            </w:pPr>
          </w:p>
        </w:tc>
        <w:tc>
          <w:tcPr>
            <w:tcW w:w="0" w:type="auto"/>
            <w:shd w:val="clear" w:color="auto" w:fill="auto"/>
            <w:vAlign w:val="center"/>
          </w:tcPr>
          <w:p w14:paraId="64A8837D" w14:textId="77777777" w:rsidR="008D6614" w:rsidRDefault="008D6614">
            <w:pPr>
              <w:rPr>
                <w:rFonts w:ascii="宋体"/>
              </w:rPr>
            </w:pPr>
          </w:p>
        </w:tc>
        <w:tc>
          <w:tcPr>
            <w:tcW w:w="0" w:type="auto"/>
            <w:shd w:val="clear" w:color="auto" w:fill="auto"/>
            <w:vAlign w:val="center"/>
          </w:tcPr>
          <w:p w14:paraId="64A8837E" w14:textId="77777777" w:rsidR="008D6614" w:rsidRDefault="008D6614">
            <w:pPr>
              <w:rPr>
                <w:rFonts w:ascii="宋体"/>
              </w:rPr>
            </w:pPr>
          </w:p>
        </w:tc>
        <w:tc>
          <w:tcPr>
            <w:tcW w:w="0" w:type="auto"/>
            <w:shd w:val="clear" w:color="auto" w:fill="auto"/>
            <w:vAlign w:val="center"/>
          </w:tcPr>
          <w:p w14:paraId="64A8837F" w14:textId="77777777" w:rsidR="008D6614" w:rsidRDefault="008D6614">
            <w:pPr>
              <w:rPr>
                <w:rFonts w:ascii="宋体"/>
              </w:rPr>
            </w:pPr>
          </w:p>
        </w:tc>
        <w:tc>
          <w:tcPr>
            <w:tcW w:w="0" w:type="auto"/>
            <w:shd w:val="clear" w:color="auto" w:fill="auto"/>
            <w:vAlign w:val="center"/>
          </w:tcPr>
          <w:p w14:paraId="64A88380" w14:textId="77777777" w:rsidR="008D6614" w:rsidRDefault="008D6614">
            <w:pPr>
              <w:rPr>
                <w:rFonts w:ascii="宋体"/>
              </w:rPr>
            </w:pPr>
          </w:p>
        </w:tc>
      </w:tr>
      <w:tr w:rsidR="008D6614" w14:paraId="64A8838E" w14:textId="77777777">
        <w:trPr>
          <w:jc w:val="center"/>
        </w:trPr>
        <w:tc>
          <w:tcPr>
            <w:tcW w:w="0" w:type="auto"/>
            <w:gridSpan w:val="3"/>
            <w:shd w:val="clear" w:color="auto" w:fill="E2E2E2"/>
            <w:tcMar>
              <w:top w:w="40" w:type="dxa"/>
              <w:left w:w="20" w:type="dxa"/>
              <w:bottom w:w="40" w:type="dxa"/>
              <w:right w:w="20" w:type="dxa"/>
            </w:tcMar>
            <w:vAlign w:val="bottom"/>
          </w:tcPr>
          <w:p w14:paraId="64A88382" w14:textId="77777777" w:rsidR="008D6614" w:rsidRDefault="00866AF2">
            <w:pPr>
              <w:textAlignment w:val="bottom"/>
            </w:pPr>
            <w:r>
              <w:rPr>
                <w:rFonts w:ascii="Arial" w:eastAsia="宋体" w:hAnsi="Arial" w:cs="Arial"/>
                <w:color w:val="000000"/>
                <w:sz w:val="18"/>
                <w:szCs w:val="18"/>
              </w:rPr>
              <w:t>Intangible assets, net</w:t>
            </w:r>
          </w:p>
        </w:tc>
        <w:tc>
          <w:tcPr>
            <w:tcW w:w="0" w:type="auto"/>
            <w:gridSpan w:val="2"/>
            <w:shd w:val="clear" w:color="auto" w:fill="E2E2E2"/>
            <w:tcMar>
              <w:top w:w="40" w:type="dxa"/>
              <w:left w:w="20" w:type="dxa"/>
              <w:bottom w:w="40" w:type="dxa"/>
              <w:right w:w="0" w:type="dxa"/>
            </w:tcMar>
            <w:vAlign w:val="bottom"/>
          </w:tcPr>
          <w:p w14:paraId="64A88383" w14:textId="77777777" w:rsidR="008D6614" w:rsidRDefault="00866AF2">
            <w:pPr>
              <w:jc w:val="right"/>
              <w:textAlignment w:val="bottom"/>
            </w:pPr>
            <w:r>
              <w:rPr>
                <w:rFonts w:ascii="Arial" w:eastAsia="宋体" w:hAnsi="Arial" w:cs="Arial"/>
                <w:color w:val="000000"/>
                <w:sz w:val="18"/>
                <w:szCs w:val="18"/>
              </w:rPr>
              <w:t>50 </w:t>
            </w:r>
          </w:p>
        </w:tc>
        <w:tc>
          <w:tcPr>
            <w:tcW w:w="0" w:type="auto"/>
            <w:shd w:val="clear" w:color="auto" w:fill="E2E2E2"/>
            <w:tcMar>
              <w:top w:w="40" w:type="dxa"/>
              <w:bottom w:w="40" w:type="dxa"/>
              <w:right w:w="20" w:type="dxa"/>
            </w:tcMar>
            <w:vAlign w:val="bottom"/>
          </w:tcPr>
          <w:p w14:paraId="64A8838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38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386" w14:textId="77777777" w:rsidR="008D6614" w:rsidRDefault="00866AF2">
            <w:pPr>
              <w:jc w:val="right"/>
              <w:textAlignment w:val="bottom"/>
            </w:pPr>
            <w:r>
              <w:rPr>
                <w:rFonts w:ascii="Arial" w:eastAsia="宋体" w:hAnsi="Arial" w:cs="Arial"/>
                <w:color w:val="000000"/>
                <w:sz w:val="18"/>
                <w:szCs w:val="18"/>
              </w:rPr>
              <w:t>62 </w:t>
            </w:r>
          </w:p>
        </w:tc>
        <w:tc>
          <w:tcPr>
            <w:tcW w:w="0" w:type="auto"/>
            <w:shd w:val="clear" w:color="auto" w:fill="E2E2E2"/>
            <w:tcMar>
              <w:top w:w="40" w:type="dxa"/>
              <w:bottom w:w="40" w:type="dxa"/>
              <w:right w:w="20" w:type="dxa"/>
            </w:tcMar>
            <w:vAlign w:val="bottom"/>
          </w:tcPr>
          <w:p w14:paraId="64A8838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88" w14:textId="77777777" w:rsidR="008D6614" w:rsidRDefault="008D6614">
            <w:pPr>
              <w:rPr>
                <w:rFonts w:ascii="宋体"/>
              </w:rPr>
            </w:pPr>
          </w:p>
        </w:tc>
        <w:tc>
          <w:tcPr>
            <w:tcW w:w="0" w:type="auto"/>
            <w:shd w:val="clear" w:color="auto" w:fill="auto"/>
            <w:vAlign w:val="center"/>
          </w:tcPr>
          <w:p w14:paraId="64A88389" w14:textId="77777777" w:rsidR="008D6614" w:rsidRDefault="008D6614">
            <w:pPr>
              <w:rPr>
                <w:rFonts w:ascii="宋体"/>
              </w:rPr>
            </w:pPr>
          </w:p>
        </w:tc>
        <w:tc>
          <w:tcPr>
            <w:tcW w:w="0" w:type="auto"/>
            <w:shd w:val="clear" w:color="auto" w:fill="auto"/>
            <w:vAlign w:val="center"/>
          </w:tcPr>
          <w:p w14:paraId="64A8838A" w14:textId="77777777" w:rsidR="008D6614" w:rsidRDefault="008D6614">
            <w:pPr>
              <w:rPr>
                <w:rFonts w:ascii="宋体"/>
              </w:rPr>
            </w:pPr>
          </w:p>
        </w:tc>
        <w:tc>
          <w:tcPr>
            <w:tcW w:w="0" w:type="auto"/>
            <w:shd w:val="clear" w:color="auto" w:fill="auto"/>
            <w:vAlign w:val="center"/>
          </w:tcPr>
          <w:p w14:paraId="64A8838B" w14:textId="77777777" w:rsidR="008D6614" w:rsidRDefault="008D6614">
            <w:pPr>
              <w:rPr>
                <w:rFonts w:ascii="宋体"/>
              </w:rPr>
            </w:pPr>
          </w:p>
        </w:tc>
        <w:tc>
          <w:tcPr>
            <w:tcW w:w="0" w:type="auto"/>
            <w:shd w:val="clear" w:color="auto" w:fill="auto"/>
            <w:vAlign w:val="center"/>
          </w:tcPr>
          <w:p w14:paraId="64A8838C" w14:textId="77777777" w:rsidR="008D6614" w:rsidRDefault="008D6614">
            <w:pPr>
              <w:rPr>
                <w:rFonts w:ascii="宋体"/>
              </w:rPr>
            </w:pPr>
          </w:p>
        </w:tc>
        <w:tc>
          <w:tcPr>
            <w:tcW w:w="0" w:type="auto"/>
            <w:shd w:val="clear" w:color="auto" w:fill="auto"/>
            <w:vAlign w:val="center"/>
          </w:tcPr>
          <w:p w14:paraId="64A8838D" w14:textId="77777777" w:rsidR="008D6614" w:rsidRDefault="008D6614">
            <w:pPr>
              <w:rPr>
                <w:rFonts w:ascii="宋体"/>
              </w:rPr>
            </w:pPr>
          </w:p>
        </w:tc>
      </w:tr>
      <w:tr w:rsidR="008D6614" w14:paraId="64A8839B" w14:textId="77777777">
        <w:trPr>
          <w:jc w:val="center"/>
        </w:trPr>
        <w:tc>
          <w:tcPr>
            <w:tcW w:w="0" w:type="auto"/>
            <w:gridSpan w:val="3"/>
            <w:shd w:val="clear" w:color="auto" w:fill="FFFFFF"/>
            <w:tcMar>
              <w:top w:w="40" w:type="dxa"/>
              <w:left w:w="20" w:type="dxa"/>
              <w:bottom w:w="40" w:type="dxa"/>
              <w:right w:w="20" w:type="dxa"/>
            </w:tcMar>
            <w:vAlign w:val="bottom"/>
          </w:tcPr>
          <w:p w14:paraId="64A8838F" w14:textId="77777777" w:rsidR="008D6614" w:rsidRDefault="00866AF2">
            <w:pPr>
              <w:textAlignment w:val="bottom"/>
            </w:pPr>
            <w:r>
              <w:rPr>
                <w:rFonts w:ascii="Arial" w:eastAsia="宋体" w:hAnsi="Arial" w:cs="Arial"/>
                <w:color w:val="000000"/>
                <w:sz w:val="18"/>
                <w:szCs w:val="18"/>
              </w:rPr>
              <w:t>Operating lease right-of-use assets</w:t>
            </w:r>
          </w:p>
        </w:tc>
        <w:tc>
          <w:tcPr>
            <w:tcW w:w="0" w:type="auto"/>
            <w:gridSpan w:val="2"/>
            <w:shd w:val="clear" w:color="auto" w:fill="FFFFFF"/>
            <w:tcMar>
              <w:top w:w="40" w:type="dxa"/>
              <w:left w:w="20" w:type="dxa"/>
              <w:bottom w:w="40" w:type="dxa"/>
              <w:right w:w="0" w:type="dxa"/>
            </w:tcMar>
            <w:vAlign w:val="bottom"/>
          </w:tcPr>
          <w:p w14:paraId="64A88390" w14:textId="77777777" w:rsidR="008D6614" w:rsidRDefault="00866AF2">
            <w:pPr>
              <w:jc w:val="right"/>
              <w:textAlignment w:val="bottom"/>
            </w:pPr>
            <w:r>
              <w:rPr>
                <w:rFonts w:ascii="Arial" w:eastAsia="宋体" w:hAnsi="Arial" w:cs="Arial"/>
                <w:color w:val="000000"/>
                <w:sz w:val="18"/>
                <w:szCs w:val="18"/>
              </w:rPr>
              <w:t>598 </w:t>
            </w:r>
          </w:p>
        </w:tc>
        <w:tc>
          <w:tcPr>
            <w:tcW w:w="0" w:type="auto"/>
            <w:shd w:val="clear" w:color="auto" w:fill="FFFFFF"/>
            <w:tcMar>
              <w:top w:w="40" w:type="dxa"/>
              <w:bottom w:w="40" w:type="dxa"/>
              <w:right w:w="20" w:type="dxa"/>
            </w:tcMar>
            <w:vAlign w:val="bottom"/>
          </w:tcPr>
          <w:p w14:paraId="64A8839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392"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393" w14:textId="77777777" w:rsidR="008D6614" w:rsidRDefault="00866AF2">
            <w:pPr>
              <w:jc w:val="right"/>
              <w:textAlignment w:val="bottom"/>
            </w:pPr>
            <w:r>
              <w:rPr>
                <w:rFonts w:ascii="Arial" w:eastAsia="宋体" w:hAnsi="Arial" w:cs="Arial"/>
                <w:color w:val="000000"/>
                <w:sz w:val="18"/>
                <w:szCs w:val="18"/>
              </w:rPr>
              <w:t>599 </w:t>
            </w:r>
          </w:p>
        </w:tc>
        <w:tc>
          <w:tcPr>
            <w:tcW w:w="0" w:type="auto"/>
            <w:shd w:val="clear" w:color="auto" w:fill="FFFFFF"/>
            <w:tcMar>
              <w:top w:w="40" w:type="dxa"/>
              <w:bottom w:w="40" w:type="dxa"/>
              <w:right w:w="20" w:type="dxa"/>
            </w:tcMar>
            <w:vAlign w:val="bottom"/>
          </w:tcPr>
          <w:p w14:paraId="64A8839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95" w14:textId="77777777" w:rsidR="008D6614" w:rsidRDefault="008D6614">
            <w:pPr>
              <w:rPr>
                <w:rFonts w:ascii="宋体"/>
              </w:rPr>
            </w:pPr>
          </w:p>
        </w:tc>
        <w:tc>
          <w:tcPr>
            <w:tcW w:w="0" w:type="auto"/>
            <w:shd w:val="clear" w:color="auto" w:fill="auto"/>
            <w:vAlign w:val="center"/>
          </w:tcPr>
          <w:p w14:paraId="64A88396" w14:textId="77777777" w:rsidR="008D6614" w:rsidRDefault="008D6614">
            <w:pPr>
              <w:rPr>
                <w:rFonts w:ascii="宋体"/>
              </w:rPr>
            </w:pPr>
          </w:p>
        </w:tc>
        <w:tc>
          <w:tcPr>
            <w:tcW w:w="0" w:type="auto"/>
            <w:shd w:val="clear" w:color="auto" w:fill="auto"/>
            <w:vAlign w:val="center"/>
          </w:tcPr>
          <w:p w14:paraId="64A88397" w14:textId="77777777" w:rsidR="008D6614" w:rsidRDefault="008D6614">
            <w:pPr>
              <w:rPr>
                <w:rFonts w:ascii="宋体"/>
              </w:rPr>
            </w:pPr>
          </w:p>
        </w:tc>
        <w:tc>
          <w:tcPr>
            <w:tcW w:w="0" w:type="auto"/>
            <w:shd w:val="clear" w:color="auto" w:fill="auto"/>
            <w:vAlign w:val="center"/>
          </w:tcPr>
          <w:p w14:paraId="64A88398" w14:textId="77777777" w:rsidR="008D6614" w:rsidRDefault="008D6614">
            <w:pPr>
              <w:rPr>
                <w:rFonts w:ascii="宋体"/>
              </w:rPr>
            </w:pPr>
          </w:p>
        </w:tc>
        <w:tc>
          <w:tcPr>
            <w:tcW w:w="0" w:type="auto"/>
            <w:shd w:val="clear" w:color="auto" w:fill="auto"/>
            <w:vAlign w:val="center"/>
          </w:tcPr>
          <w:p w14:paraId="64A88399" w14:textId="77777777" w:rsidR="008D6614" w:rsidRDefault="008D6614">
            <w:pPr>
              <w:rPr>
                <w:rFonts w:ascii="宋体"/>
              </w:rPr>
            </w:pPr>
          </w:p>
        </w:tc>
        <w:tc>
          <w:tcPr>
            <w:tcW w:w="0" w:type="auto"/>
            <w:shd w:val="clear" w:color="auto" w:fill="auto"/>
            <w:vAlign w:val="center"/>
          </w:tcPr>
          <w:p w14:paraId="64A8839A" w14:textId="77777777" w:rsidR="008D6614" w:rsidRDefault="008D6614">
            <w:pPr>
              <w:rPr>
                <w:rFonts w:ascii="宋体"/>
              </w:rPr>
            </w:pPr>
          </w:p>
        </w:tc>
      </w:tr>
      <w:tr w:rsidR="008D6614" w14:paraId="64A883A8" w14:textId="77777777">
        <w:trPr>
          <w:jc w:val="center"/>
        </w:trPr>
        <w:tc>
          <w:tcPr>
            <w:tcW w:w="0" w:type="auto"/>
            <w:gridSpan w:val="3"/>
            <w:shd w:val="clear" w:color="auto" w:fill="E2E2E2"/>
            <w:tcMar>
              <w:top w:w="40" w:type="dxa"/>
              <w:left w:w="20" w:type="dxa"/>
              <w:bottom w:w="40" w:type="dxa"/>
              <w:right w:w="20" w:type="dxa"/>
            </w:tcMar>
            <w:vAlign w:val="bottom"/>
          </w:tcPr>
          <w:p w14:paraId="64A8839C" w14:textId="77777777" w:rsidR="008D6614" w:rsidRDefault="00866AF2">
            <w:pPr>
              <w:textAlignment w:val="bottom"/>
            </w:pPr>
            <w:r>
              <w:rPr>
                <w:rFonts w:ascii="Arial" w:eastAsia="宋体" w:hAnsi="Arial" w:cs="Arial"/>
                <w:color w:val="000000"/>
                <w:sz w:val="18"/>
                <w:szCs w:val="18"/>
              </w:rPr>
              <w:t>Deferred tax assets</w:t>
            </w:r>
          </w:p>
        </w:tc>
        <w:tc>
          <w:tcPr>
            <w:tcW w:w="0" w:type="auto"/>
            <w:gridSpan w:val="2"/>
            <w:shd w:val="clear" w:color="auto" w:fill="E2E2E2"/>
            <w:tcMar>
              <w:top w:w="40" w:type="dxa"/>
              <w:left w:w="20" w:type="dxa"/>
              <w:bottom w:w="40" w:type="dxa"/>
              <w:right w:w="0" w:type="dxa"/>
            </w:tcMar>
            <w:vAlign w:val="bottom"/>
          </w:tcPr>
          <w:p w14:paraId="64A8839D" w14:textId="77777777" w:rsidR="008D6614" w:rsidRDefault="00866AF2">
            <w:pPr>
              <w:jc w:val="right"/>
              <w:textAlignment w:val="bottom"/>
            </w:pPr>
            <w:r>
              <w:rPr>
                <w:rFonts w:ascii="Arial" w:eastAsia="宋体" w:hAnsi="Arial" w:cs="Arial"/>
                <w:color w:val="000000"/>
                <w:sz w:val="18"/>
                <w:szCs w:val="18"/>
              </w:rPr>
              <w:t>4,287 </w:t>
            </w:r>
          </w:p>
        </w:tc>
        <w:tc>
          <w:tcPr>
            <w:tcW w:w="0" w:type="auto"/>
            <w:shd w:val="clear" w:color="auto" w:fill="E2E2E2"/>
            <w:tcMar>
              <w:top w:w="40" w:type="dxa"/>
              <w:bottom w:w="40" w:type="dxa"/>
              <w:right w:w="20" w:type="dxa"/>
            </w:tcMar>
            <w:vAlign w:val="bottom"/>
          </w:tcPr>
          <w:p w14:paraId="64A8839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39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3A0" w14:textId="77777777" w:rsidR="008D6614" w:rsidRDefault="00866AF2">
            <w:pPr>
              <w:jc w:val="right"/>
              <w:textAlignment w:val="bottom"/>
            </w:pPr>
            <w:r>
              <w:rPr>
                <w:rFonts w:ascii="Arial" w:eastAsia="宋体" w:hAnsi="Arial" w:cs="Arial"/>
                <w:color w:val="000000"/>
                <w:sz w:val="18"/>
                <w:szCs w:val="18"/>
              </w:rPr>
              <w:t>4,369 </w:t>
            </w:r>
          </w:p>
        </w:tc>
        <w:tc>
          <w:tcPr>
            <w:tcW w:w="0" w:type="auto"/>
            <w:shd w:val="clear" w:color="auto" w:fill="E2E2E2"/>
            <w:tcMar>
              <w:top w:w="40" w:type="dxa"/>
              <w:bottom w:w="40" w:type="dxa"/>
              <w:right w:w="20" w:type="dxa"/>
            </w:tcMar>
            <w:vAlign w:val="bottom"/>
          </w:tcPr>
          <w:p w14:paraId="64A883A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A2" w14:textId="77777777" w:rsidR="008D6614" w:rsidRDefault="008D6614">
            <w:pPr>
              <w:rPr>
                <w:rFonts w:ascii="宋体"/>
              </w:rPr>
            </w:pPr>
          </w:p>
        </w:tc>
        <w:tc>
          <w:tcPr>
            <w:tcW w:w="0" w:type="auto"/>
            <w:shd w:val="clear" w:color="auto" w:fill="auto"/>
            <w:vAlign w:val="center"/>
          </w:tcPr>
          <w:p w14:paraId="64A883A3" w14:textId="77777777" w:rsidR="008D6614" w:rsidRDefault="008D6614">
            <w:pPr>
              <w:rPr>
                <w:rFonts w:ascii="宋体"/>
              </w:rPr>
            </w:pPr>
          </w:p>
        </w:tc>
        <w:tc>
          <w:tcPr>
            <w:tcW w:w="0" w:type="auto"/>
            <w:shd w:val="clear" w:color="auto" w:fill="auto"/>
            <w:vAlign w:val="center"/>
          </w:tcPr>
          <w:p w14:paraId="64A883A4" w14:textId="77777777" w:rsidR="008D6614" w:rsidRDefault="008D6614">
            <w:pPr>
              <w:rPr>
                <w:rFonts w:ascii="宋体"/>
              </w:rPr>
            </w:pPr>
          </w:p>
        </w:tc>
        <w:tc>
          <w:tcPr>
            <w:tcW w:w="0" w:type="auto"/>
            <w:shd w:val="clear" w:color="auto" w:fill="auto"/>
            <w:vAlign w:val="center"/>
          </w:tcPr>
          <w:p w14:paraId="64A883A5" w14:textId="77777777" w:rsidR="008D6614" w:rsidRDefault="008D6614">
            <w:pPr>
              <w:rPr>
                <w:rFonts w:ascii="宋体"/>
              </w:rPr>
            </w:pPr>
          </w:p>
        </w:tc>
        <w:tc>
          <w:tcPr>
            <w:tcW w:w="0" w:type="auto"/>
            <w:shd w:val="clear" w:color="auto" w:fill="auto"/>
            <w:vAlign w:val="center"/>
          </w:tcPr>
          <w:p w14:paraId="64A883A6" w14:textId="77777777" w:rsidR="008D6614" w:rsidRDefault="008D6614">
            <w:pPr>
              <w:rPr>
                <w:rFonts w:ascii="宋体"/>
              </w:rPr>
            </w:pPr>
          </w:p>
        </w:tc>
        <w:tc>
          <w:tcPr>
            <w:tcW w:w="0" w:type="auto"/>
            <w:shd w:val="clear" w:color="auto" w:fill="auto"/>
            <w:vAlign w:val="center"/>
          </w:tcPr>
          <w:p w14:paraId="64A883A7" w14:textId="77777777" w:rsidR="008D6614" w:rsidRDefault="008D6614">
            <w:pPr>
              <w:rPr>
                <w:rFonts w:ascii="宋体"/>
              </w:rPr>
            </w:pPr>
          </w:p>
        </w:tc>
      </w:tr>
      <w:tr w:rsidR="008D6614" w14:paraId="64A883B5" w14:textId="77777777">
        <w:trPr>
          <w:jc w:val="center"/>
        </w:trPr>
        <w:tc>
          <w:tcPr>
            <w:tcW w:w="0" w:type="auto"/>
            <w:gridSpan w:val="3"/>
            <w:shd w:val="clear" w:color="auto" w:fill="FFFFFF"/>
            <w:tcMar>
              <w:top w:w="40" w:type="dxa"/>
              <w:left w:w="20" w:type="dxa"/>
              <w:bottom w:w="40" w:type="dxa"/>
              <w:right w:w="20" w:type="dxa"/>
            </w:tcMar>
            <w:vAlign w:val="bottom"/>
          </w:tcPr>
          <w:p w14:paraId="64A883A9" w14:textId="77777777" w:rsidR="008D6614" w:rsidRDefault="00866AF2">
            <w:pPr>
              <w:textAlignment w:val="bottom"/>
            </w:pPr>
            <w:r>
              <w:rPr>
                <w:rFonts w:ascii="Arial" w:eastAsia="宋体" w:hAnsi="Arial" w:cs="Arial"/>
                <w:color w:val="000000"/>
                <w:sz w:val="18"/>
                <w:szCs w:val="18"/>
              </w:rPr>
              <w:t>Other assets</w:t>
            </w:r>
          </w:p>
        </w:tc>
        <w:tc>
          <w:tcPr>
            <w:tcW w:w="0" w:type="auto"/>
            <w:gridSpan w:val="2"/>
            <w:shd w:val="clear" w:color="auto" w:fill="FFFFFF"/>
            <w:tcMar>
              <w:top w:w="40" w:type="dxa"/>
              <w:left w:w="20" w:type="dxa"/>
              <w:bottom w:w="40" w:type="dxa"/>
              <w:right w:w="0" w:type="dxa"/>
            </w:tcMar>
            <w:vAlign w:val="bottom"/>
          </w:tcPr>
          <w:p w14:paraId="64A883AA" w14:textId="77777777" w:rsidR="008D6614" w:rsidRDefault="00866AF2">
            <w:pPr>
              <w:jc w:val="right"/>
              <w:textAlignment w:val="bottom"/>
            </w:pPr>
            <w:r>
              <w:rPr>
                <w:rFonts w:ascii="Arial" w:eastAsia="宋体" w:hAnsi="Arial" w:cs="Arial"/>
                <w:color w:val="000000"/>
                <w:sz w:val="18"/>
                <w:szCs w:val="18"/>
              </w:rPr>
              <w:t>410 </w:t>
            </w:r>
          </w:p>
        </w:tc>
        <w:tc>
          <w:tcPr>
            <w:tcW w:w="0" w:type="auto"/>
            <w:shd w:val="clear" w:color="auto" w:fill="FFFFFF"/>
            <w:tcMar>
              <w:top w:w="40" w:type="dxa"/>
              <w:bottom w:w="40" w:type="dxa"/>
              <w:right w:w="20" w:type="dxa"/>
            </w:tcMar>
            <w:vAlign w:val="bottom"/>
          </w:tcPr>
          <w:p w14:paraId="64A883A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3A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3AD" w14:textId="77777777" w:rsidR="008D6614" w:rsidRDefault="00866AF2">
            <w:pPr>
              <w:jc w:val="right"/>
              <w:textAlignment w:val="bottom"/>
            </w:pPr>
            <w:r>
              <w:rPr>
                <w:rFonts w:ascii="Arial" w:eastAsia="宋体" w:hAnsi="Arial" w:cs="Arial"/>
                <w:color w:val="000000"/>
                <w:sz w:val="18"/>
                <w:szCs w:val="18"/>
              </w:rPr>
              <w:t>414 </w:t>
            </w:r>
          </w:p>
        </w:tc>
        <w:tc>
          <w:tcPr>
            <w:tcW w:w="0" w:type="auto"/>
            <w:shd w:val="clear" w:color="auto" w:fill="FFFFFF"/>
            <w:tcMar>
              <w:top w:w="40" w:type="dxa"/>
              <w:bottom w:w="40" w:type="dxa"/>
              <w:right w:w="20" w:type="dxa"/>
            </w:tcMar>
            <w:vAlign w:val="bottom"/>
          </w:tcPr>
          <w:p w14:paraId="64A883A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AF" w14:textId="77777777" w:rsidR="008D6614" w:rsidRDefault="008D6614">
            <w:pPr>
              <w:rPr>
                <w:rFonts w:ascii="宋体"/>
              </w:rPr>
            </w:pPr>
          </w:p>
        </w:tc>
        <w:tc>
          <w:tcPr>
            <w:tcW w:w="0" w:type="auto"/>
            <w:shd w:val="clear" w:color="auto" w:fill="auto"/>
            <w:vAlign w:val="center"/>
          </w:tcPr>
          <w:p w14:paraId="64A883B0" w14:textId="77777777" w:rsidR="008D6614" w:rsidRDefault="008D6614">
            <w:pPr>
              <w:rPr>
                <w:rFonts w:ascii="宋体"/>
              </w:rPr>
            </w:pPr>
          </w:p>
        </w:tc>
        <w:tc>
          <w:tcPr>
            <w:tcW w:w="0" w:type="auto"/>
            <w:shd w:val="clear" w:color="auto" w:fill="auto"/>
            <w:vAlign w:val="center"/>
          </w:tcPr>
          <w:p w14:paraId="64A883B1" w14:textId="77777777" w:rsidR="008D6614" w:rsidRDefault="008D6614">
            <w:pPr>
              <w:rPr>
                <w:rFonts w:ascii="宋体"/>
              </w:rPr>
            </w:pPr>
          </w:p>
        </w:tc>
        <w:tc>
          <w:tcPr>
            <w:tcW w:w="0" w:type="auto"/>
            <w:shd w:val="clear" w:color="auto" w:fill="auto"/>
            <w:vAlign w:val="center"/>
          </w:tcPr>
          <w:p w14:paraId="64A883B2" w14:textId="77777777" w:rsidR="008D6614" w:rsidRDefault="008D6614">
            <w:pPr>
              <w:rPr>
                <w:rFonts w:ascii="宋体"/>
              </w:rPr>
            </w:pPr>
          </w:p>
        </w:tc>
        <w:tc>
          <w:tcPr>
            <w:tcW w:w="0" w:type="auto"/>
            <w:shd w:val="clear" w:color="auto" w:fill="auto"/>
            <w:vAlign w:val="center"/>
          </w:tcPr>
          <w:p w14:paraId="64A883B3" w14:textId="77777777" w:rsidR="008D6614" w:rsidRDefault="008D6614">
            <w:pPr>
              <w:rPr>
                <w:rFonts w:ascii="宋体"/>
              </w:rPr>
            </w:pPr>
          </w:p>
        </w:tc>
        <w:tc>
          <w:tcPr>
            <w:tcW w:w="0" w:type="auto"/>
            <w:shd w:val="clear" w:color="auto" w:fill="auto"/>
            <w:vAlign w:val="center"/>
          </w:tcPr>
          <w:p w14:paraId="64A883B4" w14:textId="77777777" w:rsidR="008D6614" w:rsidRDefault="008D6614">
            <w:pPr>
              <w:rPr>
                <w:rFonts w:ascii="宋体"/>
              </w:rPr>
            </w:pPr>
          </w:p>
        </w:tc>
      </w:tr>
      <w:tr w:rsidR="008D6614" w14:paraId="64A883C2" w14:textId="77777777">
        <w:trPr>
          <w:jc w:val="center"/>
        </w:trPr>
        <w:tc>
          <w:tcPr>
            <w:tcW w:w="0" w:type="auto"/>
            <w:gridSpan w:val="3"/>
            <w:shd w:val="clear" w:color="auto" w:fill="E2E2E2"/>
            <w:tcMar>
              <w:top w:w="40" w:type="dxa"/>
              <w:left w:w="20" w:type="dxa"/>
              <w:bottom w:w="40" w:type="dxa"/>
              <w:right w:w="20" w:type="dxa"/>
            </w:tcMar>
            <w:vAlign w:val="bottom"/>
          </w:tcPr>
          <w:p w14:paraId="64A883B6" w14:textId="77777777" w:rsidR="008D6614" w:rsidRDefault="00866AF2">
            <w:pPr>
              <w:textAlignment w:val="bottom"/>
            </w:pPr>
            <w:r>
              <w:rPr>
                <w:rFonts w:ascii="Arial" w:eastAsia="宋体" w:hAnsi="Arial" w:cs="Arial"/>
                <w:color w:val="000000"/>
                <w:sz w:val="18"/>
                <w:szCs w:val="18"/>
              </w:rPr>
              <w:t>Long-term assets of discontinued operations</w:t>
            </w:r>
          </w:p>
        </w:tc>
        <w:tc>
          <w:tcPr>
            <w:tcW w:w="0" w:type="auto"/>
            <w:gridSpan w:val="2"/>
            <w:shd w:val="clear" w:color="auto" w:fill="E2E2E2"/>
            <w:tcMar>
              <w:top w:w="40" w:type="dxa"/>
              <w:left w:w="20" w:type="dxa"/>
              <w:bottom w:w="40" w:type="dxa"/>
              <w:right w:w="0" w:type="dxa"/>
            </w:tcMar>
            <w:vAlign w:val="bottom"/>
          </w:tcPr>
          <w:p w14:paraId="64A883B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83B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3B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3BA" w14:textId="77777777" w:rsidR="008D6614" w:rsidRDefault="00866AF2">
            <w:pPr>
              <w:jc w:val="right"/>
              <w:textAlignment w:val="bottom"/>
            </w:pPr>
            <w:r>
              <w:rPr>
                <w:rFonts w:ascii="Arial" w:eastAsia="宋体" w:hAnsi="Arial" w:cs="Arial"/>
                <w:color w:val="000000"/>
                <w:sz w:val="18"/>
                <w:szCs w:val="18"/>
              </w:rPr>
              <w:t>306 </w:t>
            </w:r>
          </w:p>
        </w:tc>
        <w:tc>
          <w:tcPr>
            <w:tcW w:w="0" w:type="auto"/>
            <w:shd w:val="clear" w:color="auto" w:fill="E2E2E2"/>
            <w:tcMar>
              <w:top w:w="40" w:type="dxa"/>
              <w:bottom w:w="40" w:type="dxa"/>
              <w:right w:w="20" w:type="dxa"/>
            </w:tcMar>
            <w:vAlign w:val="bottom"/>
          </w:tcPr>
          <w:p w14:paraId="64A883B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BC" w14:textId="77777777" w:rsidR="008D6614" w:rsidRDefault="008D6614">
            <w:pPr>
              <w:rPr>
                <w:rFonts w:ascii="宋体"/>
              </w:rPr>
            </w:pPr>
          </w:p>
        </w:tc>
        <w:tc>
          <w:tcPr>
            <w:tcW w:w="0" w:type="auto"/>
            <w:shd w:val="clear" w:color="auto" w:fill="auto"/>
            <w:vAlign w:val="center"/>
          </w:tcPr>
          <w:p w14:paraId="64A883BD" w14:textId="77777777" w:rsidR="008D6614" w:rsidRDefault="008D6614">
            <w:pPr>
              <w:rPr>
                <w:rFonts w:ascii="宋体"/>
              </w:rPr>
            </w:pPr>
          </w:p>
        </w:tc>
        <w:tc>
          <w:tcPr>
            <w:tcW w:w="0" w:type="auto"/>
            <w:shd w:val="clear" w:color="auto" w:fill="auto"/>
            <w:vAlign w:val="center"/>
          </w:tcPr>
          <w:p w14:paraId="64A883BE" w14:textId="77777777" w:rsidR="008D6614" w:rsidRDefault="008D6614">
            <w:pPr>
              <w:rPr>
                <w:rFonts w:ascii="宋体"/>
              </w:rPr>
            </w:pPr>
          </w:p>
        </w:tc>
        <w:tc>
          <w:tcPr>
            <w:tcW w:w="0" w:type="auto"/>
            <w:shd w:val="clear" w:color="auto" w:fill="auto"/>
            <w:vAlign w:val="center"/>
          </w:tcPr>
          <w:p w14:paraId="64A883BF" w14:textId="77777777" w:rsidR="008D6614" w:rsidRDefault="008D6614">
            <w:pPr>
              <w:rPr>
                <w:rFonts w:ascii="宋体"/>
              </w:rPr>
            </w:pPr>
          </w:p>
        </w:tc>
        <w:tc>
          <w:tcPr>
            <w:tcW w:w="0" w:type="auto"/>
            <w:shd w:val="clear" w:color="auto" w:fill="auto"/>
            <w:vAlign w:val="center"/>
          </w:tcPr>
          <w:p w14:paraId="64A883C0" w14:textId="77777777" w:rsidR="008D6614" w:rsidRDefault="008D6614">
            <w:pPr>
              <w:rPr>
                <w:rFonts w:ascii="宋体"/>
              </w:rPr>
            </w:pPr>
          </w:p>
        </w:tc>
        <w:tc>
          <w:tcPr>
            <w:tcW w:w="0" w:type="auto"/>
            <w:shd w:val="clear" w:color="auto" w:fill="auto"/>
            <w:vAlign w:val="center"/>
          </w:tcPr>
          <w:p w14:paraId="64A883C1" w14:textId="77777777" w:rsidR="008D6614" w:rsidRDefault="008D6614">
            <w:pPr>
              <w:rPr>
                <w:rFonts w:ascii="宋体"/>
              </w:rPr>
            </w:pPr>
          </w:p>
        </w:tc>
      </w:tr>
      <w:tr w:rsidR="008D6614" w14:paraId="64A883D1" w14:textId="77777777">
        <w:trPr>
          <w:jc w:val="center"/>
        </w:trPr>
        <w:tc>
          <w:tcPr>
            <w:tcW w:w="0" w:type="auto"/>
            <w:gridSpan w:val="3"/>
            <w:shd w:val="clear" w:color="auto" w:fill="FFFFFF"/>
            <w:tcMar>
              <w:top w:w="40" w:type="dxa"/>
              <w:left w:w="945" w:type="dxa"/>
              <w:bottom w:w="40" w:type="dxa"/>
              <w:right w:w="20" w:type="dxa"/>
            </w:tcMar>
            <w:vAlign w:val="bottom"/>
          </w:tcPr>
          <w:p w14:paraId="64A883C3" w14:textId="77777777" w:rsidR="008D6614" w:rsidRDefault="00866AF2">
            <w:pPr>
              <w:textAlignment w:val="bottom"/>
            </w:pPr>
            <w:r>
              <w:rPr>
                <w:rFonts w:ascii="Arial" w:eastAsia="宋体" w:hAnsi="Arial" w:cs="Arial"/>
                <w:color w:val="000000"/>
                <w:sz w:val="18"/>
                <w:szCs w:val="18"/>
              </w:rPr>
              <w:t>Total assets</w:t>
            </w:r>
          </w:p>
        </w:tc>
        <w:tc>
          <w:tcPr>
            <w:tcW w:w="0" w:type="auto"/>
            <w:tcBorders>
              <w:top w:val="single" w:sz="8" w:space="0" w:color="000000"/>
            </w:tcBorders>
            <w:shd w:val="clear" w:color="auto" w:fill="FFFFFF"/>
            <w:tcMar>
              <w:top w:w="40" w:type="dxa"/>
              <w:left w:w="20" w:type="dxa"/>
              <w:bottom w:w="40" w:type="dxa"/>
            </w:tcMar>
            <w:vAlign w:val="bottom"/>
          </w:tcPr>
          <w:p w14:paraId="64A883C4"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83C5" w14:textId="77777777" w:rsidR="008D6614" w:rsidRDefault="00866AF2">
            <w:pPr>
              <w:jc w:val="right"/>
              <w:textAlignment w:val="bottom"/>
            </w:pPr>
            <w:r>
              <w:rPr>
                <w:rFonts w:ascii="Arial" w:eastAsia="宋体" w:hAnsi="Arial" w:cs="Arial"/>
                <w:color w:val="000000"/>
                <w:sz w:val="18"/>
                <w:szCs w:val="18"/>
              </w:rPr>
              <w:t>18,929 </w:t>
            </w:r>
          </w:p>
        </w:tc>
        <w:tc>
          <w:tcPr>
            <w:tcW w:w="0" w:type="auto"/>
            <w:tcBorders>
              <w:top w:val="single" w:sz="8" w:space="0" w:color="000000"/>
            </w:tcBorders>
            <w:shd w:val="clear" w:color="auto" w:fill="FFFFFF"/>
            <w:tcMar>
              <w:top w:w="40" w:type="dxa"/>
              <w:bottom w:w="40" w:type="dxa"/>
              <w:right w:w="20" w:type="dxa"/>
            </w:tcMar>
            <w:vAlign w:val="bottom"/>
          </w:tcPr>
          <w:p w14:paraId="64A883C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3C7"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83C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83C9" w14:textId="77777777" w:rsidR="008D6614" w:rsidRDefault="00866AF2">
            <w:pPr>
              <w:jc w:val="right"/>
              <w:textAlignment w:val="bottom"/>
            </w:pPr>
            <w:r>
              <w:rPr>
                <w:rFonts w:ascii="Arial" w:eastAsia="宋体" w:hAnsi="Arial" w:cs="Arial"/>
                <w:color w:val="000000"/>
                <w:sz w:val="18"/>
                <w:szCs w:val="18"/>
              </w:rPr>
              <w:t>18,174 </w:t>
            </w:r>
          </w:p>
        </w:tc>
        <w:tc>
          <w:tcPr>
            <w:tcW w:w="0" w:type="auto"/>
            <w:tcBorders>
              <w:top w:val="single" w:sz="8" w:space="0" w:color="000000"/>
            </w:tcBorders>
            <w:shd w:val="clear" w:color="auto" w:fill="FFFFFF"/>
            <w:tcMar>
              <w:top w:w="40" w:type="dxa"/>
              <w:bottom w:w="40" w:type="dxa"/>
              <w:right w:w="20" w:type="dxa"/>
            </w:tcMar>
            <w:vAlign w:val="bottom"/>
          </w:tcPr>
          <w:p w14:paraId="64A883C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CB" w14:textId="77777777" w:rsidR="008D6614" w:rsidRDefault="008D6614">
            <w:pPr>
              <w:rPr>
                <w:rFonts w:ascii="宋体"/>
              </w:rPr>
            </w:pPr>
          </w:p>
        </w:tc>
        <w:tc>
          <w:tcPr>
            <w:tcW w:w="0" w:type="auto"/>
            <w:shd w:val="clear" w:color="auto" w:fill="auto"/>
            <w:vAlign w:val="center"/>
          </w:tcPr>
          <w:p w14:paraId="64A883CC" w14:textId="77777777" w:rsidR="008D6614" w:rsidRDefault="008D6614">
            <w:pPr>
              <w:rPr>
                <w:rFonts w:ascii="宋体"/>
              </w:rPr>
            </w:pPr>
          </w:p>
        </w:tc>
        <w:tc>
          <w:tcPr>
            <w:tcW w:w="0" w:type="auto"/>
            <w:shd w:val="clear" w:color="auto" w:fill="auto"/>
            <w:vAlign w:val="center"/>
          </w:tcPr>
          <w:p w14:paraId="64A883CD" w14:textId="77777777" w:rsidR="008D6614" w:rsidRDefault="008D6614">
            <w:pPr>
              <w:rPr>
                <w:rFonts w:ascii="宋体"/>
              </w:rPr>
            </w:pPr>
          </w:p>
        </w:tc>
        <w:tc>
          <w:tcPr>
            <w:tcW w:w="0" w:type="auto"/>
            <w:shd w:val="clear" w:color="auto" w:fill="auto"/>
            <w:vAlign w:val="center"/>
          </w:tcPr>
          <w:p w14:paraId="64A883CE" w14:textId="77777777" w:rsidR="008D6614" w:rsidRDefault="008D6614">
            <w:pPr>
              <w:rPr>
                <w:rFonts w:ascii="宋体"/>
              </w:rPr>
            </w:pPr>
          </w:p>
        </w:tc>
        <w:tc>
          <w:tcPr>
            <w:tcW w:w="0" w:type="auto"/>
            <w:shd w:val="clear" w:color="auto" w:fill="auto"/>
            <w:vAlign w:val="center"/>
          </w:tcPr>
          <w:p w14:paraId="64A883CF" w14:textId="77777777" w:rsidR="008D6614" w:rsidRDefault="008D6614">
            <w:pPr>
              <w:rPr>
                <w:rFonts w:ascii="宋体"/>
              </w:rPr>
            </w:pPr>
          </w:p>
        </w:tc>
        <w:tc>
          <w:tcPr>
            <w:tcW w:w="0" w:type="auto"/>
            <w:shd w:val="clear" w:color="auto" w:fill="auto"/>
            <w:vAlign w:val="center"/>
          </w:tcPr>
          <w:p w14:paraId="64A883D0" w14:textId="77777777" w:rsidR="008D6614" w:rsidRDefault="008D6614">
            <w:pPr>
              <w:rPr>
                <w:rFonts w:ascii="宋体"/>
              </w:rPr>
            </w:pPr>
          </w:p>
        </w:tc>
      </w:tr>
      <w:tr w:rsidR="008D6614" w14:paraId="64A883DC" w14:textId="77777777">
        <w:trPr>
          <w:jc w:val="center"/>
        </w:trPr>
        <w:tc>
          <w:tcPr>
            <w:tcW w:w="0" w:type="auto"/>
            <w:gridSpan w:val="3"/>
            <w:shd w:val="clear" w:color="auto" w:fill="E2E2E2"/>
            <w:tcMar>
              <w:top w:w="40" w:type="dxa"/>
              <w:left w:w="20" w:type="dxa"/>
              <w:bottom w:w="40" w:type="dxa"/>
              <w:right w:w="20" w:type="dxa"/>
            </w:tcMar>
            <w:vAlign w:val="bottom"/>
          </w:tcPr>
          <w:p w14:paraId="64A883D2" w14:textId="77777777" w:rsidR="008D6614" w:rsidRDefault="00866AF2">
            <w:pPr>
              <w:jc w:val="center"/>
              <w:textAlignment w:val="bottom"/>
            </w:pPr>
            <w:r>
              <w:rPr>
                <w:rFonts w:ascii="Arial" w:eastAsia="宋体" w:hAnsi="Arial" w:cs="Arial"/>
                <w:b/>
                <w:bCs/>
                <w:color w:val="000000"/>
                <w:sz w:val="18"/>
                <w:szCs w:val="18"/>
              </w:rPr>
              <w:t>LIABILITIES AND STOCKHOLDERS’ EQUITY</w:t>
            </w:r>
          </w:p>
        </w:tc>
        <w:tc>
          <w:tcPr>
            <w:tcW w:w="0" w:type="auto"/>
            <w:gridSpan w:val="3"/>
            <w:tcBorders>
              <w:top w:val="double" w:sz="6" w:space="0" w:color="000000"/>
            </w:tcBorders>
            <w:shd w:val="clear" w:color="auto" w:fill="E2E2E2"/>
            <w:tcMar>
              <w:left w:w="20" w:type="dxa"/>
              <w:right w:w="20" w:type="dxa"/>
            </w:tcMar>
            <w:vAlign w:val="bottom"/>
          </w:tcPr>
          <w:p w14:paraId="64A883D3"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83D4"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83D5" w14:textId="77777777" w:rsidR="008D6614" w:rsidRDefault="008D6614">
            <w:pPr>
              <w:rPr>
                <w:rFonts w:ascii="宋体"/>
              </w:rPr>
            </w:pPr>
          </w:p>
        </w:tc>
        <w:tc>
          <w:tcPr>
            <w:tcW w:w="0" w:type="auto"/>
            <w:shd w:val="clear" w:color="auto" w:fill="auto"/>
            <w:vAlign w:val="center"/>
          </w:tcPr>
          <w:p w14:paraId="64A883D6" w14:textId="77777777" w:rsidR="008D6614" w:rsidRDefault="008D6614">
            <w:pPr>
              <w:rPr>
                <w:rFonts w:ascii="宋体"/>
              </w:rPr>
            </w:pPr>
          </w:p>
        </w:tc>
        <w:tc>
          <w:tcPr>
            <w:tcW w:w="0" w:type="auto"/>
            <w:shd w:val="clear" w:color="auto" w:fill="auto"/>
            <w:vAlign w:val="center"/>
          </w:tcPr>
          <w:p w14:paraId="64A883D7" w14:textId="77777777" w:rsidR="008D6614" w:rsidRDefault="008D6614">
            <w:pPr>
              <w:rPr>
                <w:rFonts w:ascii="宋体"/>
              </w:rPr>
            </w:pPr>
          </w:p>
        </w:tc>
        <w:tc>
          <w:tcPr>
            <w:tcW w:w="0" w:type="auto"/>
            <w:shd w:val="clear" w:color="auto" w:fill="auto"/>
            <w:vAlign w:val="center"/>
          </w:tcPr>
          <w:p w14:paraId="64A883D8" w14:textId="77777777" w:rsidR="008D6614" w:rsidRDefault="008D6614">
            <w:pPr>
              <w:rPr>
                <w:rFonts w:ascii="宋体"/>
              </w:rPr>
            </w:pPr>
          </w:p>
        </w:tc>
        <w:tc>
          <w:tcPr>
            <w:tcW w:w="0" w:type="auto"/>
            <w:shd w:val="clear" w:color="auto" w:fill="auto"/>
            <w:vAlign w:val="center"/>
          </w:tcPr>
          <w:p w14:paraId="64A883D9" w14:textId="77777777" w:rsidR="008D6614" w:rsidRDefault="008D6614">
            <w:pPr>
              <w:rPr>
                <w:rFonts w:ascii="宋体"/>
              </w:rPr>
            </w:pPr>
          </w:p>
        </w:tc>
        <w:tc>
          <w:tcPr>
            <w:tcW w:w="0" w:type="auto"/>
            <w:shd w:val="clear" w:color="auto" w:fill="auto"/>
            <w:vAlign w:val="center"/>
          </w:tcPr>
          <w:p w14:paraId="64A883DA" w14:textId="77777777" w:rsidR="008D6614" w:rsidRDefault="008D6614">
            <w:pPr>
              <w:rPr>
                <w:rFonts w:ascii="宋体"/>
              </w:rPr>
            </w:pPr>
          </w:p>
        </w:tc>
        <w:tc>
          <w:tcPr>
            <w:tcW w:w="0" w:type="auto"/>
            <w:shd w:val="clear" w:color="auto" w:fill="auto"/>
            <w:vAlign w:val="center"/>
          </w:tcPr>
          <w:p w14:paraId="64A883DB" w14:textId="77777777" w:rsidR="008D6614" w:rsidRDefault="008D6614">
            <w:pPr>
              <w:rPr>
                <w:rFonts w:ascii="宋体"/>
              </w:rPr>
            </w:pPr>
          </w:p>
        </w:tc>
      </w:tr>
      <w:tr w:rsidR="008D6614" w14:paraId="64A883E7" w14:textId="77777777">
        <w:trPr>
          <w:jc w:val="center"/>
        </w:trPr>
        <w:tc>
          <w:tcPr>
            <w:tcW w:w="0" w:type="auto"/>
            <w:gridSpan w:val="3"/>
            <w:shd w:val="clear" w:color="auto" w:fill="FFFFFF"/>
            <w:tcMar>
              <w:top w:w="40" w:type="dxa"/>
              <w:left w:w="20" w:type="dxa"/>
              <w:bottom w:w="40" w:type="dxa"/>
              <w:right w:w="20" w:type="dxa"/>
            </w:tcMar>
            <w:vAlign w:val="bottom"/>
          </w:tcPr>
          <w:p w14:paraId="64A883DD" w14:textId="77777777" w:rsidR="008D6614" w:rsidRDefault="00866AF2">
            <w:pPr>
              <w:textAlignment w:val="bottom"/>
            </w:pPr>
            <w:r>
              <w:rPr>
                <w:rFonts w:ascii="Arial" w:eastAsia="宋体" w:hAnsi="Arial" w:cs="Arial"/>
                <w:color w:val="000000"/>
                <w:sz w:val="18"/>
                <w:szCs w:val="18"/>
              </w:rPr>
              <w:t>Current liabilities:</w:t>
            </w:r>
          </w:p>
        </w:tc>
        <w:tc>
          <w:tcPr>
            <w:tcW w:w="0" w:type="auto"/>
            <w:gridSpan w:val="3"/>
            <w:shd w:val="clear" w:color="auto" w:fill="FFFFFF"/>
            <w:tcMar>
              <w:left w:w="20" w:type="dxa"/>
              <w:right w:w="20" w:type="dxa"/>
            </w:tcMar>
            <w:vAlign w:val="bottom"/>
          </w:tcPr>
          <w:p w14:paraId="64A883DE"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3D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3E0" w14:textId="77777777" w:rsidR="008D6614" w:rsidRDefault="008D6614">
            <w:pPr>
              <w:rPr>
                <w:rFonts w:ascii="宋体"/>
              </w:rPr>
            </w:pPr>
          </w:p>
        </w:tc>
        <w:tc>
          <w:tcPr>
            <w:tcW w:w="0" w:type="auto"/>
            <w:shd w:val="clear" w:color="auto" w:fill="auto"/>
            <w:vAlign w:val="center"/>
          </w:tcPr>
          <w:p w14:paraId="64A883E1" w14:textId="77777777" w:rsidR="008D6614" w:rsidRDefault="008D6614">
            <w:pPr>
              <w:rPr>
                <w:rFonts w:ascii="宋体"/>
              </w:rPr>
            </w:pPr>
          </w:p>
        </w:tc>
        <w:tc>
          <w:tcPr>
            <w:tcW w:w="0" w:type="auto"/>
            <w:shd w:val="clear" w:color="auto" w:fill="auto"/>
            <w:vAlign w:val="center"/>
          </w:tcPr>
          <w:p w14:paraId="64A883E2" w14:textId="77777777" w:rsidR="008D6614" w:rsidRDefault="008D6614">
            <w:pPr>
              <w:rPr>
                <w:rFonts w:ascii="宋体"/>
              </w:rPr>
            </w:pPr>
          </w:p>
        </w:tc>
        <w:tc>
          <w:tcPr>
            <w:tcW w:w="0" w:type="auto"/>
            <w:shd w:val="clear" w:color="auto" w:fill="auto"/>
            <w:vAlign w:val="center"/>
          </w:tcPr>
          <w:p w14:paraId="64A883E3" w14:textId="77777777" w:rsidR="008D6614" w:rsidRDefault="008D6614">
            <w:pPr>
              <w:rPr>
                <w:rFonts w:ascii="宋体"/>
              </w:rPr>
            </w:pPr>
          </w:p>
        </w:tc>
        <w:tc>
          <w:tcPr>
            <w:tcW w:w="0" w:type="auto"/>
            <w:shd w:val="clear" w:color="auto" w:fill="auto"/>
            <w:vAlign w:val="center"/>
          </w:tcPr>
          <w:p w14:paraId="64A883E4" w14:textId="77777777" w:rsidR="008D6614" w:rsidRDefault="008D6614">
            <w:pPr>
              <w:rPr>
                <w:rFonts w:ascii="宋体"/>
              </w:rPr>
            </w:pPr>
          </w:p>
        </w:tc>
        <w:tc>
          <w:tcPr>
            <w:tcW w:w="0" w:type="auto"/>
            <w:shd w:val="clear" w:color="auto" w:fill="auto"/>
            <w:vAlign w:val="center"/>
          </w:tcPr>
          <w:p w14:paraId="64A883E5" w14:textId="77777777" w:rsidR="008D6614" w:rsidRDefault="008D6614">
            <w:pPr>
              <w:rPr>
                <w:rFonts w:ascii="宋体"/>
              </w:rPr>
            </w:pPr>
          </w:p>
        </w:tc>
        <w:tc>
          <w:tcPr>
            <w:tcW w:w="0" w:type="auto"/>
            <w:shd w:val="clear" w:color="auto" w:fill="auto"/>
            <w:vAlign w:val="center"/>
          </w:tcPr>
          <w:p w14:paraId="64A883E6" w14:textId="77777777" w:rsidR="008D6614" w:rsidRDefault="008D6614">
            <w:pPr>
              <w:rPr>
                <w:rFonts w:ascii="宋体"/>
              </w:rPr>
            </w:pPr>
          </w:p>
        </w:tc>
      </w:tr>
      <w:tr w:rsidR="008D6614" w14:paraId="64A883F6" w14:textId="77777777">
        <w:trPr>
          <w:jc w:val="center"/>
        </w:trPr>
        <w:tc>
          <w:tcPr>
            <w:tcW w:w="0" w:type="auto"/>
            <w:gridSpan w:val="3"/>
            <w:shd w:val="clear" w:color="auto" w:fill="E2E2E2"/>
            <w:tcMar>
              <w:top w:w="40" w:type="dxa"/>
              <w:left w:w="495" w:type="dxa"/>
              <w:bottom w:w="40" w:type="dxa"/>
              <w:right w:w="20" w:type="dxa"/>
            </w:tcMar>
            <w:vAlign w:val="bottom"/>
          </w:tcPr>
          <w:p w14:paraId="64A883E8" w14:textId="77777777" w:rsidR="008D6614" w:rsidRDefault="00866AF2">
            <w:pPr>
              <w:textAlignment w:val="bottom"/>
            </w:pPr>
            <w:r>
              <w:rPr>
                <w:rFonts w:ascii="Arial" w:eastAsia="宋体" w:hAnsi="Arial" w:cs="Arial"/>
                <w:color w:val="000000"/>
                <w:sz w:val="18"/>
                <w:szCs w:val="18"/>
              </w:rPr>
              <w:t>Short-term debt</w:t>
            </w:r>
          </w:p>
        </w:tc>
        <w:tc>
          <w:tcPr>
            <w:tcW w:w="0" w:type="auto"/>
            <w:shd w:val="clear" w:color="auto" w:fill="E2E2E2"/>
            <w:tcMar>
              <w:top w:w="40" w:type="dxa"/>
              <w:left w:w="20" w:type="dxa"/>
              <w:bottom w:w="40" w:type="dxa"/>
            </w:tcMar>
            <w:vAlign w:val="bottom"/>
          </w:tcPr>
          <w:p w14:paraId="64A883E9"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3EA" w14:textId="77777777" w:rsidR="008D6614" w:rsidRDefault="00866AF2">
            <w:pPr>
              <w:jc w:val="right"/>
              <w:textAlignment w:val="bottom"/>
            </w:pPr>
            <w:r>
              <w:rPr>
                <w:rFonts w:ascii="Arial" w:eastAsia="宋体" w:hAnsi="Arial" w:cs="Arial"/>
                <w:color w:val="000000"/>
                <w:sz w:val="18"/>
                <w:szCs w:val="18"/>
              </w:rPr>
              <w:t>1,015 </w:t>
            </w:r>
          </w:p>
        </w:tc>
        <w:tc>
          <w:tcPr>
            <w:tcW w:w="0" w:type="auto"/>
            <w:shd w:val="clear" w:color="auto" w:fill="E2E2E2"/>
            <w:tcMar>
              <w:top w:w="40" w:type="dxa"/>
              <w:bottom w:w="40" w:type="dxa"/>
              <w:right w:w="20" w:type="dxa"/>
            </w:tcMar>
            <w:vAlign w:val="bottom"/>
          </w:tcPr>
          <w:p w14:paraId="64A883E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3EC"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83ED"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3EE" w14:textId="77777777" w:rsidR="008D6614" w:rsidRDefault="00866AF2">
            <w:pPr>
              <w:jc w:val="right"/>
              <w:textAlignment w:val="bottom"/>
            </w:pPr>
            <w:r>
              <w:rPr>
                <w:rFonts w:ascii="Arial" w:eastAsia="宋体" w:hAnsi="Arial" w:cs="Arial"/>
                <w:color w:val="000000"/>
                <w:sz w:val="18"/>
                <w:szCs w:val="18"/>
              </w:rPr>
              <w:t>1,022 </w:t>
            </w:r>
          </w:p>
        </w:tc>
        <w:tc>
          <w:tcPr>
            <w:tcW w:w="0" w:type="auto"/>
            <w:shd w:val="clear" w:color="auto" w:fill="E2E2E2"/>
            <w:tcMar>
              <w:top w:w="40" w:type="dxa"/>
              <w:bottom w:w="40" w:type="dxa"/>
              <w:right w:w="20" w:type="dxa"/>
            </w:tcMar>
            <w:vAlign w:val="bottom"/>
          </w:tcPr>
          <w:p w14:paraId="64A883E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F0" w14:textId="77777777" w:rsidR="008D6614" w:rsidRDefault="008D6614">
            <w:pPr>
              <w:rPr>
                <w:rFonts w:ascii="宋体"/>
              </w:rPr>
            </w:pPr>
          </w:p>
        </w:tc>
        <w:tc>
          <w:tcPr>
            <w:tcW w:w="0" w:type="auto"/>
            <w:shd w:val="clear" w:color="auto" w:fill="auto"/>
            <w:vAlign w:val="center"/>
          </w:tcPr>
          <w:p w14:paraId="64A883F1" w14:textId="77777777" w:rsidR="008D6614" w:rsidRDefault="008D6614">
            <w:pPr>
              <w:rPr>
                <w:rFonts w:ascii="宋体"/>
              </w:rPr>
            </w:pPr>
          </w:p>
        </w:tc>
        <w:tc>
          <w:tcPr>
            <w:tcW w:w="0" w:type="auto"/>
            <w:shd w:val="clear" w:color="auto" w:fill="auto"/>
            <w:vAlign w:val="center"/>
          </w:tcPr>
          <w:p w14:paraId="64A883F2" w14:textId="77777777" w:rsidR="008D6614" w:rsidRDefault="008D6614">
            <w:pPr>
              <w:rPr>
                <w:rFonts w:ascii="宋体"/>
              </w:rPr>
            </w:pPr>
          </w:p>
        </w:tc>
        <w:tc>
          <w:tcPr>
            <w:tcW w:w="0" w:type="auto"/>
            <w:shd w:val="clear" w:color="auto" w:fill="auto"/>
            <w:vAlign w:val="center"/>
          </w:tcPr>
          <w:p w14:paraId="64A883F3" w14:textId="77777777" w:rsidR="008D6614" w:rsidRDefault="008D6614">
            <w:pPr>
              <w:rPr>
                <w:rFonts w:ascii="宋体"/>
              </w:rPr>
            </w:pPr>
          </w:p>
        </w:tc>
        <w:tc>
          <w:tcPr>
            <w:tcW w:w="0" w:type="auto"/>
            <w:shd w:val="clear" w:color="auto" w:fill="auto"/>
            <w:vAlign w:val="center"/>
          </w:tcPr>
          <w:p w14:paraId="64A883F4" w14:textId="77777777" w:rsidR="008D6614" w:rsidRDefault="008D6614">
            <w:pPr>
              <w:rPr>
                <w:rFonts w:ascii="宋体"/>
              </w:rPr>
            </w:pPr>
          </w:p>
        </w:tc>
        <w:tc>
          <w:tcPr>
            <w:tcW w:w="0" w:type="auto"/>
            <w:shd w:val="clear" w:color="auto" w:fill="auto"/>
            <w:vAlign w:val="center"/>
          </w:tcPr>
          <w:p w14:paraId="64A883F5" w14:textId="77777777" w:rsidR="008D6614" w:rsidRDefault="008D6614">
            <w:pPr>
              <w:rPr>
                <w:rFonts w:ascii="宋体"/>
              </w:rPr>
            </w:pPr>
          </w:p>
        </w:tc>
      </w:tr>
      <w:tr w:rsidR="008D6614" w14:paraId="64A88403" w14:textId="77777777">
        <w:trPr>
          <w:jc w:val="center"/>
        </w:trPr>
        <w:tc>
          <w:tcPr>
            <w:tcW w:w="0" w:type="auto"/>
            <w:gridSpan w:val="3"/>
            <w:shd w:val="clear" w:color="auto" w:fill="FFFFFF"/>
            <w:tcMar>
              <w:top w:w="40" w:type="dxa"/>
              <w:left w:w="495" w:type="dxa"/>
              <w:bottom w:w="40" w:type="dxa"/>
              <w:right w:w="20" w:type="dxa"/>
            </w:tcMar>
            <w:vAlign w:val="bottom"/>
          </w:tcPr>
          <w:p w14:paraId="64A883F7" w14:textId="77777777" w:rsidR="008D6614" w:rsidRDefault="00866AF2">
            <w:pPr>
              <w:textAlignment w:val="bottom"/>
            </w:pPr>
            <w:r>
              <w:rPr>
                <w:rFonts w:ascii="Arial" w:eastAsia="宋体" w:hAnsi="Arial" w:cs="Arial"/>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64A883F8" w14:textId="77777777" w:rsidR="008D6614" w:rsidRDefault="00866AF2">
            <w:pPr>
              <w:jc w:val="right"/>
              <w:textAlignment w:val="bottom"/>
            </w:pPr>
            <w:r>
              <w:rPr>
                <w:rFonts w:ascii="Arial" w:eastAsia="宋体" w:hAnsi="Arial" w:cs="Arial"/>
                <w:color w:val="000000"/>
                <w:sz w:val="18"/>
                <w:szCs w:val="18"/>
              </w:rPr>
              <w:t>268 </w:t>
            </w:r>
          </w:p>
        </w:tc>
        <w:tc>
          <w:tcPr>
            <w:tcW w:w="0" w:type="auto"/>
            <w:shd w:val="clear" w:color="auto" w:fill="FFFFFF"/>
            <w:tcMar>
              <w:top w:w="40" w:type="dxa"/>
              <w:bottom w:w="40" w:type="dxa"/>
              <w:right w:w="20" w:type="dxa"/>
            </w:tcMar>
            <w:vAlign w:val="bottom"/>
          </w:tcPr>
          <w:p w14:paraId="64A883F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3F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3FB" w14:textId="77777777" w:rsidR="008D6614" w:rsidRDefault="00866AF2">
            <w:pPr>
              <w:jc w:val="right"/>
              <w:textAlignment w:val="bottom"/>
            </w:pPr>
            <w:r>
              <w:rPr>
                <w:rFonts w:ascii="Arial" w:eastAsia="宋体" w:hAnsi="Arial" w:cs="Arial"/>
                <w:color w:val="000000"/>
                <w:sz w:val="18"/>
                <w:szCs w:val="18"/>
              </w:rPr>
              <w:t>251 </w:t>
            </w:r>
          </w:p>
        </w:tc>
        <w:tc>
          <w:tcPr>
            <w:tcW w:w="0" w:type="auto"/>
            <w:shd w:val="clear" w:color="auto" w:fill="FFFFFF"/>
            <w:tcMar>
              <w:top w:w="40" w:type="dxa"/>
              <w:bottom w:w="40" w:type="dxa"/>
              <w:right w:w="20" w:type="dxa"/>
            </w:tcMar>
            <w:vAlign w:val="bottom"/>
          </w:tcPr>
          <w:p w14:paraId="64A883F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3FD" w14:textId="77777777" w:rsidR="008D6614" w:rsidRDefault="008D6614">
            <w:pPr>
              <w:rPr>
                <w:rFonts w:ascii="宋体"/>
              </w:rPr>
            </w:pPr>
          </w:p>
        </w:tc>
        <w:tc>
          <w:tcPr>
            <w:tcW w:w="0" w:type="auto"/>
            <w:shd w:val="clear" w:color="auto" w:fill="auto"/>
            <w:vAlign w:val="center"/>
          </w:tcPr>
          <w:p w14:paraId="64A883FE" w14:textId="77777777" w:rsidR="008D6614" w:rsidRDefault="008D6614">
            <w:pPr>
              <w:rPr>
                <w:rFonts w:ascii="宋体"/>
              </w:rPr>
            </w:pPr>
          </w:p>
        </w:tc>
        <w:tc>
          <w:tcPr>
            <w:tcW w:w="0" w:type="auto"/>
            <w:shd w:val="clear" w:color="auto" w:fill="auto"/>
            <w:vAlign w:val="center"/>
          </w:tcPr>
          <w:p w14:paraId="64A883FF" w14:textId="77777777" w:rsidR="008D6614" w:rsidRDefault="008D6614">
            <w:pPr>
              <w:rPr>
                <w:rFonts w:ascii="宋体"/>
              </w:rPr>
            </w:pPr>
          </w:p>
        </w:tc>
        <w:tc>
          <w:tcPr>
            <w:tcW w:w="0" w:type="auto"/>
            <w:shd w:val="clear" w:color="auto" w:fill="auto"/>
            <w:vAlign w:val="center"/>
          </w:tcPr>
          <w:p w14:paraId="64A88400" w14:textId="77777777" w:rsidR="008D6614" w:rsidRDefault="008D6614">
            <w:pPr>
              <w:rPr>
                <w:rFonts w:ascii="宋体"/>
              </w:rPr>
            </w:pPr>
          </w:p>
        </w:tc>
        <w:tc>
          <w:tcPr>
            <w:tcW w:w="0" w:type="auto"/>
            <w:shd w:val="clear" w:color="auto" w:fill="auto"/>
            <w:vAlign w:val="center"/>
          </w:tcPr>
          <w:p w14:paraId="64A88401" w14:textId="77777777" w:rsidR="008D6614" w:rsidRDefault="008D6614">
            <w:pPr>
              <w:rPr>
                <w:rFonts w:ascii="宋体"/>
              </w:rPr>
            </w:pPr>
          </w:p>
        </w:tc>
        <w:tc>
          <w:tcPr>
            <w:tcW w:w="0" w:type="auto"/>
            <w:shd w:val="clear" w:color="auto" w:fill="auto"/>
            <w:vAlign w:val="center"/>
          </w:tcPr>
          <w:p w14:paraId="64A88402" w14:textId="77777777" w:rsidR="008D6614" w:rsidRDefault="008D6614">
            <w:pPr>
              <w:rPr>
                <w:rFonts w:ascii="宋体"/>
              </w:rPr>
            </w:pPr>
          </w:p>
        </w:tc>
      </w:tr>
      <w:tr w:rsidR="008D6614" w14:paraId="64A88410" w14:textId="77777777">
        <w:trPr>
          <w:jc w:val="center"/>
        </w:trPr>
        <w:tc>
          <w:tcPr>
            <w:tcW w:w="0" w:type="auto"/>
            <w:gridSpan w:val="3"/>
            <w:shd w:val="clear" w:color="auto" w:fill="E2E2E2"/>
            <w:tcMar>
              <w:top w:w="40" w:type="dxa"/>
              <w:left w:w="495" w:type="dxa"/>
              <w:bottom w:w="40" w:type="dxa"/>
              <w:right w:w="20" w:type="dxa"/>
            </w:tcMar>
            <w:vAlign w:val="bottom"/>
          </w:tcPr>
          <w:p w14:paraId="64A88404" w14:textId="77777777" w:rsidR="008D6614" w:rsidRDefault="00866AF2">
            <w:pPr>
              <w:textAlignment w:val="bottom"/>
            </w:pPr>
            <w:r>
              <w:rPr>
                <w:rFonts w:ascii="Arial" w:eastAsia="宋体" w:hAnsi="Arial" w:cs="Arial"/>
                <w:color w:val="000000"/>
                <w:sz w:val="18"/>
                <w:szCs w:val="18"/>
              </w:rPr>
              <w:t xml:space="preserve">Accrued expenses and other current </w:t>
            </w:r>
            <w:r>
              <w:rPr>
                <w:rFonts w:ascii="Arial" w:eastAsia="宋体" w:hAnsi="Arial" w:cs="Arial"/>
                <w:color w:val="000000"/>
                <w:sz w:val="18"/>
                <w:szCs w:val="18"/>
              </w:rPr>
              <w:t>liabilities</w:t>
            </w:r>
          </w:p>
        </w:tc>
        <w:tc>
          <w:tcPr>
            <w:tcW w:w="0" w:type="auto"/>
            <w:gridSpan w:val="2"/>
            <w:shd w:val="clear" w:color="auto" w:fill="E2E2E2"/>
            <w:tcMar>
              <w:top w:w="40" w:type="dxa"/>
              <w:left w:w="20" w:type="dxa"/>
              <w:bottom w:w="40" w:type="dxa"/>
              <w:right w:w="0" w:type="dxa"/>
            </w:tcMar>
            <w:vAlign w:val="bottom"/>
          </w:tcPr>
          <w:p w14:paraId="64A88405" w14:textId="77777777" w:rsidR="008D6614" w:rsidRDefault="00866AF2">
            <w:pPr>
              <w:jc w:val="right"/>
              <w:textAlignment w:val="bottom"/>
            </w:pPr>
            <w:r>
              <w:rPr>
                <w:rFonts w:ascii="Arial" w:eastAsia="宋体" w:hAnsi="Arial" w:cs="Arial"/>
                <w:color w:val="000000"/>
                <w:sz w:val="18"/>
                <w:szCs w:val="18"/>
              </w:rPr>
              <w:t>2,175 </w:t>
            </w:r>
          </w:p>
        </w:tc>
        <w:tc>
          <w:tcPr>
            <w:tcW w:w="0" w:type="auto"/>
            <w:shd w:val="clear" w:color="auto" w:fill="E2E2E2"/>
            <w:tcMar>
              <w:top w:w="40" w:type="dxa"/>
              <w:bottom w:w="40" w:type="dxa"/>
              <w:right w:w="20" w:type="dxa"/>
            </w:tcMar>
            <w:vAlign w:val="bottom"/>
          </w:tcPr>
          <w:p w14:paraId="64A8840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40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408" w14:textId="77777777" w:rsidR="008D6614" w:rsidRDefault="00866AF2">
            <w:pPr>
              <w:jc w:val="right"/>
              <w:textAlignment w:val="bottom"/>
            </w:pPr>
            <w:r>
              <w:rPr>
                <w:rFonts w:ascii="Arial" w:eastAsia="宋体" w:hAnsi="Arial" w:cs="Arial"/>
                <w:color w:val="000000"/>
                <w:sz w:val="18"/>
                <w:szCs w:val="18"/>
              </w:rPr>
              <w:t>2,189 </w:t>
            </w:r>
          </w:p>
        </w:tc>
        <w:tc>
          <w:tcPr>
            <w:tcW w:w="0" w:type="auto"/>
            <w:shd w:val="clear" w:color="auto" w:fill="E2E2E2"/>
            <w:tcMar>
              <w:top w:w="40" w:type="dxa"/>
              <w:bottom w:w="40" w:type="dxa"/>
              <w:right w:w="20" w:type="dxa"/>
            </w:tcMar>
            <w:vAlign w:val="bottom"/>
          </w:tcPr>
          <w:p w14:paraId="64A8840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0A" w14:textId="77777777" w:rsidR="008D6614" w:rsidRDefault="008D6614">
            <w:pPr>
              <w:rPr>
                <w:rFonts w:ascii="宋体"/>
              </w:rPr>
            </w:pPr>
          </w:p>
        </w:tc>
        <w:tc>
          <w:tcPr>
            <w:tcW w:w="0" w:type="auto"/>
            <w:shd w:val="clear" w:color="auto" w:fill="auto"/>
            <w:vAlign w:val="center"/>
          </w:tcPr>
          <w:p w14:paraId="64A8840B" w14:textId="77777777" w:rsidR="008D6614" w:rsidRDefault="008D6614">
            <w:pPr>
              <w:rPr>
                <w:rFonts w:ascii="宋体"/>
              </w:rPr>
            </w:pPr>
          </w:p>
        </w:tc>
        <w:tc>
          <w:tcPr>
            <w:tcW w:w="0" w:type="auto"/>
            <w:shd w:val="clear" w:color="auto" w:fill="auto"/>
            <w:vAlign w:val="center"/>
          </w:tcPr>
          <w:p w14:paraId="64A8840C" w14:textId="77777777" w:rsidR="008D6614" w:rsidRDefault="008D6614">
            <w:pPr>
              <w:rPr>
                <w:rFonts w:ascii="宋体"/>
              </w:rPr>
            </w:pPr>
          </w:p>
        </w:tc>
        <w:tc>
          <w:tcPr>
            <w:tcW w:w="0" w:type="auto"/>
            <w:shd w:val="clear" w:color="auto" w:fill="auto"/>
            <w:vAlign w:val="center"/>
          </w:tcPr>
          <w:p w14:paraId="64A8840D" w14:textId="77777777" w:rsidR="008D6614" w:rsidRDefault="008D6614">
            <w:pPr>
              <w:rPr>
                <w:rFonts w:ascii="宋体"/>
              </w:rPr>
            </w:pPr>
          </w:p>
        </w:tc>
        <w:tc>
          <w:tcPr>
            <w:tcW w:w="0" w:type="auto"/>
            <w:shd w:val="clear" w:color="auto" w:fill="auto"/>
            <w:vAlign w:val="center"/>
          </w:tcPr>
          <w:p w14:paraId="64A8840E" w14:textId="77777777" w:rsidR="008D6614" w:rsidRDefault="008D6614">
            <w:pPr>
              <w:rPr>
                <w:rFonts w:ascii="宋体"/>
              </w:rPr>
            </w:pPr>
          </w:p>
        </w:tc>
        <w:tc>
          <w:tcPr>
            <w:tcW w:w="0" w:type="auto"/>
            <w:shd w:val="clear" w:color="auto" w:fill="auto"/>
            <w:vAlign w:val="center"/>
          </w:tcPr>
          <w:p w14:paraId="64A8840F" w14:textId="77777777" w:rsidR="008D6614" w:rsidRDefault="008D6614">
            <w:pPr>
              <w:rPr>
                <w:rFonts w:ascii="宋体"/>
              </w:rPr>
            </w:pPr>
          </w:p>
        </w:tc>
      </w:tr>
      <w:tr w:rsidR="008D6614" w14:paraId="64A8841D" w14:textId="77777777">
        <w:trPr>
          <w:jc w:val="center"/>
        </w:trPr>
        <w:tc>
          <w:tcPr>
            <w:tcW w:w="0" w:type="auto"/>
            <w:gridSpan w:val="3"/>
            <w:shd w:val="clear" w:color="auto" w:fill="FFFFFF"/>
            <w:tcMar>
              <w:top w:w="40" w:type="dxa"/>
              <w:left w:w="495" w:type="dxa"/>
              <w:bottom w:w="40" w:type="dxa"/>
              <w:right w:w="20" w:type="dxa"/>
            </w:tcMar>
            <w:vAlign w:val="bottom"/>
          </w:tcPr>
          <w:p w14:paraId="64A88411" w14:textId="77777777" w:rsidR="008D6614" w:rsidRDefault="00866AF2">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64A88412" w14:textId="77777777" w:rsidR="008D6614" w:rsidRDefault="00866AF2">
            <w:pPr>
              <w:jc w:val="right"/>
              <w:textAlignment w:val="bottom"/>
            </w:pPr>
            <w:r>
              <w:rPr>
                <w:rFonts w:ascii="Arial" w:eastAsia="宋体" w:hAnsi="Arial" w:cs="Arial"/>
                <w:color w:val="000000"/>
                <w:sz w:val="18"/>
                <w:szCs w:val="18"/>
              </w:rPr>
              <w:t>108 </w:t>
            </w:r>
          </w:p>
        </w:tc>
        <w:tc>
          <w:tcPr>
            <w:tcW w:w="0" w:type="auto"/>
            <w:shd w:val="clear" w:color="auto" w:fill="FFFFFF"/>
            <w:tcMar>
              <w:top w:w="40" w:type="dxa"/>
              <w:bottom w:w="40" w:type="dxa"/>
              <w:right w:w="20" w:type="dxa"/>
            </w:tcMar>
            <w:vAlign w:val="bottom"/>
          </w:tcPr>
          <w:p w14:paraId="64A8841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41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415" w14:textId="77777777" w:rsidR="008D6614" w:rsidRDefault="00866AF2">
            <w:pPr>
              <w:jc w:val="right"/>
              <w:textAlignment w:val="bottom"/>
            </w:pPr>
            <w:r>
              <w:rPr>
                <w:rFonts w:ascii="Arial" w:eastAsia="宋体" w:hAnsi="Arial" w:cs="Arial"/>
                <w:color w:val="000000"/>
                <w:sz w:val="18"/>
                <w:szCs w:val="18"/>
              </w:rPr>
              <w:t>135 </w:t>
            </w:r>
          </w:p>
        </w:tc>
        <w:tc>
          <w:tcPr>
            <w:tcW w:w="0" w:type="auto"/>
            <w:shd w:val="clear" w:color="auto" w:fill="FFFFFF"/>
            <w:tcMar>
              <w:top w:w="40" w:type="dxa"/>
              <w:bottom w:w="40" w:type="dxa"/>
              <w:right w:w="20" w:type="dxa"/>
            </w:tcMar>
            <w:vAlign w:val="bottom"/>
          </w:tcPr>
          <w:p w14:paraId="64A8841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17" w14:textId="77777777" w:rsidR="008D6614" w:rsidRDefault="008D6614">
            <w:pPr>
              <w:rPr>
                <w:rFonts w:ascii="宋体"/>
              </w:rPr>
            </w:pPr>
          </w:p>
        </w:tc>
        <w:tc>
          <w:tcPr>
            <w:tcW w:w="0" w:type="auto"/>
            <w:shd w:val="clear" w:color="auto" w:fill="auto"/>
            <w:vAlign w:val="center"/>
          </w:tcPr>
          <w:p w14:paraId="64A88418" w14:textId="77777777" w:rsidR="008D6614" w:rsidRDefault="008D6614">
            <w:pPr>
              <w:rPr>
                <w:rFonts w:ascii="宋体"/>
              </w:rPr>
            </w:pPr>
          </w:p>
        </w:tc>
        <w:tc>
          <w:tcPr>
            <w:tcW w:w="0" w:type="auto"/>
            <w:shd w:val="clear" w:color="auto" w:fill="auto"/>
            <w:vAlign w:val="center"/>
          </w:tcPr>
          <w:p w14:paraId="64A88419" w14:textId="77777777" w:rsidR="008D6614" w:rsidRDefault="008D6614">
            <w:pPr>
              <w:rPr>
                <w:rFonts w:ascii="宋体"/>
              </w:rPr>
            </w:pPr>
          </w:p>
        </w:tc>
        <w:tc>
          <w:tcPr>
            <w:tcW w:w="0" w:type="auto"/>
            <w:shd w:val="clear" w:color="auto" w:fill="auto"/>
            <w:vAlign w:val="center"/>
          </w:tcPr>
          <w:p w14:paraId="64A8841A" w14:textId="77777777" w:rsidR="008D6614" w:rsidRDefault="008D6614">
            <w:pPr>
              <w:rPr>
                <w:rFonts w:ascii="宋体"/>
              </w:rPr>
            </w:pPr>
          </w:p>
        </w:tc>
        <w:tc>
          <w:tcPr>
            <w:tcW w:w="0" w:type="auto"/>
            <w:shd w:val="clear" w:color="auto" w:fill="auto"/>
            <w:vAlign w:val="center"/>
          </w:tcPr>
          <w:p w14:paraId="64A8841B" w14:textId="77777777" w:rsidR="008D6614" w:rsidRDefault="008D6614">
            <w:pPr>
              <w:rPr>
                <w:rFonts w:ascii="宋体"/>
              </w:rPr>
            </w:pPr>
          </w:p>
        </w:tc>
        <w:tc>
          <w:tcPr>
            <w:tcW w:w="0" w:type="auto"/>
            <w:shd w:val="clear" w:color="auto" w:fill="auto"/>
            <w:vAlign w:val="center"/>
          </w:tcPr>
          <w:p w14:paraId="64A8841C" w14:textId="77777777" w:rsidR="008D6614" w:rsidRDefault="008D6614">
            <w:pPr>
              <w:rPr>
                <w:rFonts w:ascii="宋体"/>
              </w:rPr>
            </w:pPr>
          </w:p>
        </w:tc>
      </w:tr>
      <w:tr w:rsidR="008D6614" w14:paraId="64A8842A" w14:textId="77777777">
        <w:trPr>
          <w:jc w:val="center"/>
        </w:trPr>
        <w:tc>
          <w:tcPr>
            <w:tcW w:w="0" w:type="auto"/>
            <w:gridSpan w:val="3"/>
            <w:shd w:val="clear" w:color="auto" w:fill="E2E2E2"/>
            <w:tcMar>
              <w:top w:w="40" w:type="dxa"/>
              <w:left w:w="495" w:type="dxa"/>
              <w:bottom w:w="40" w:type="dxa"/>
              <w:right w:w="20" w:type="dxa"/>
            </w:tcMar>
            <w:vAlign w:val="bottom"/>
          </w:tcPr>
          <w:p w14:paraId="64A8841E" w14:textId="77777777" w:rsidR="008D6614" w:rsidRDefault="00866AF2">
            <w:pPr>
              <w:textAlignment w:val="bottom"/>
            </w:pPr>
            <w:r>
              <w:rPr>
                <w:rFonts w:ascii="Arial" w:eastAsia="宋体" w:hAnsi="Arial" w:cs="Arial"/>
                <w:color w:val="000000"/>
                <w:sz w:val="18"/>
                <w:szCs w:val="18"/>
              </w:rPr>
              <w:t>Income taxes payable</w:t>
            </w:r>
          </w:p>
        </w:tc>
        <w:tc>
          <w:tcPr>
            <w:tcW w:w="0" w:type="auto"/>
            <w:gridSpan w:val="2"/>
            <w:shd w:val="clear" w:color="auto" w:fill="E2E2E2"/>
            <w:tcMar>
              <w:top w:w="40" w:type="dxa"/>
              <w:left w:w="20" w:type="dxa"/>
              <w:bottom w:w="40" w:type="dxa"/>
              <w:right w:w="0" w:type="dxa"/>
            </w:tcMar>
            <w:vAlign w:val="bottom"/>
          </w:tcPr>
          <w:p w14:paraId="64A8841F" w14:textId="77777777" w:rsidR="008D6614" w:rsidRDefault="00866AF2">
            <w:pPr>
              <w:jc w:val="right"/>
              <w:textAlignment w:val="bottom"/>
            </w:pPr>
            <w:r>
              <w:rPr>
                <w:rFonts w:ascii="Arial" w:eastAsia="宋体" w:hAnsi="Arial" w:cs="Arial"/>
                <w:color w:val="000000"/>
                <w:sz w:val="18"/>
                <w:szCs w:val="18"/>
              </w:rPr>
              <w:t>1,107 </w:t>
            </w:r>
          </w:p>
        </w:tc>
        <w:tc>
          <w:tcPr>
            <w:tcW w:w="0" w:type="auto"/>
            <w:shd w:val="clear" w:color="auto" w:fill="E2E2E2"/>
            <w:tcMar>
              <w:top w:w="40" w:type="dxa"/>
              <w:bottom w:w="40" w:type="dxa"/>
              <w:right w:w="20" w:type="dxa"/>
            </w:tcMar>
            <w:vAlign w:val="bottom"/>
          </w:tcPr>
          <w:p w14:paraId="64A8842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421"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422" w14:textId="77777777" w:rsidR="008D6614" w:rsidRDefault="00866AF2">
            <w:pPr>
              <w:jc w:val="right"/>
              <w:textAlignment w:val="bottom"/>
            </w:pPr>
            <w:r>
              <w:rPr>
                <w:rFonts w:ascii="Arial" w:eastAsia="宋体" w:hAnsi="Arial" w:cs="Arial"/>
                <w:color w:val="000000"/>
                <w:sz w:val="18"/>
                <w:szCs w:val="18"/>
              </w:rPr>
              <w:t>210 </w:t>
            </w:r>
          </w:p>
        </w:tc>
        <w:tc>
          <w:tcPr>
            <w:tcW w:w="0" w:type="auto"/>
            <w:shd w:val="clear" w:color="auto" w:fill="E2E2E2"/>
            <w:tcMar>
              <w:top w:w="40" w:type="dxa"/>
              <w:bottom w:w="40" w:type="dxa"/>
              <w:right w:w="20" w:type="dxa"/>
            </w:tcMar>
            <w:vAlign w:val="bottom"/>
          </w:tcPr>
          <w:p w14:paraId="64A8842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24" w14:textId="77777777" w:rsidR="008D6614" w:rsidRDefault="008D6614">
            <w:pPr>
              <w:rPr>
                <w:rFonts w:ascii="宋体"/>
              </w:rPr>
            </w:pPr>
          </w:p>
        </w:tc>
        <w:tc>
          <w:tcPr>
            <w:tcW w:w="0" w:type="auto"/>
            <w:shd w:val="clear" w:color="auto" w:fill="auto"/>
            <w:vAlign w:val="center"/>
          </w:tcPr>
          <w:p w14:paraId="64A88425" w14:textId="77777777" w:rsidR="008D6614" w:rsidRDefault="008D6614">
            <w:pPr>
              <w:rPr>
                <w:rFonts w:ascii="宋体"/>
              </w:rPr>
            </w:pPr>
          </w:p>
        </w:tc>
        <w:tc>
          <w:tcPr>
            <w:tcW w:w="0" w:type="auto"/>
            <w:shd w:val="clear" w:color="auto" w:fill="auto"/>
            <w:vAlign w:val="center"/>
          </w:tcPr>
          <w:p w14:paraId="64A88426" w14:textId="77777777" w:rsidR="008D6614" w:rsidRDefault="008D6614">
            <w:pPr>
              <w:rPr>
                <w:rFonts w:ascii="宋体"/>
              </w:rPr>
            </w:pPr>
          </w:p>
        </w:tc>
        <w:tc>
          <w:tcPr>
            <w:tcW w:w="0" w:type="auto"/>
            <w:shd w:val="clear" w:color="auto" w:fill="auto"/>
            <w:vAlign w:val="center"/>
          </w:tcPr>
          <w:p w14:paraId="64A88427" w14:textId="77777777" w:rsidR="008D6614" w:rsidRDefault="008D6614">
            <w:pPr>
              <w:rPr>
                <w:rFonts w:ascii="宋体"/>
              </w:rPr>
            </w:pPr>
          </w:p>
        </w:tc>
        <w:tc>
          <w:tcPr>
            <w:tcW w:w="0" w:type="auto"/>
            <w:shd w:val="clear" w:color="auto" w:fill="auto"/>
            <w:vAlign w:val="center"/>
          </w:tcPr>
          <w:p w14:paraId="64A88428" w14:textId="77777777" w:rsidR="008D6614" w:rsidRDefault="008D6614">
            <w:pPr>
              <w:rPr>
                <w:rFonts w:ascii="宋体"/>
              </w:rPr>
            </w:pPr>
          </w:p>
        </w:tc>
        <w:tc>
          <w:tcPr>
            <w:tcW w:w="0" w:type="auto"/>
            <w:shd w:val="clear" w:color="auto" w:fill="auto"/>
            <w:vAlign w:val="center"/>
          </w:tcPr>
          <w:p w14:paraId="64A88429" w14:textId="77777777" w:rsidR="008D6614" w:rsidRDefault="008D6614">
            <w:pPr>
              <w:rPr>
                <w:rFonts w:ascii="宋体"/>
              </w:rPr>
            </w:pPr>
          </w:p>
        </w:tc>
      </w:tr>
      <w:tr w:rsidR="008D6614" w14:paraId="64A88437" w14:textId="77777777">
        <w:trPr>
          <w:jc w:val="center"/>
        </w:trPr>
        <w:tc>
          <w:tcPr>
            <w:tcW w:w="0" w:type="auto"/>
            <w:gridSpan w:val="3"/>
            <w:shd w:val="clear" w:color="auto" w:fill="FFFFFF"/>
            <w:tcMar>
              <w:top w:w="40" w:type="dxa"/>
              <w:left w:w="495" w:type="dxa"/>
              <w:bottom w:w="40" w:type="dxa"/>
              <w:right w:w="20" w:type="dxa"/>
            </w:tcMar>
            <w:vAlign w:val="bottom"/>
          </w:tcPr>
          <w:p w14:paraId="64A8842B" w14:textId="77777777" w:rsidR="008D6614" w:rsidRDefault="00866AF2">
            <w:pPr>
              <w:textAlignment w:val="bottom"/>
            </w:pPr>
            <w:r>
              <w:rPr>
                <w:rFonts w:ascii="Arial" w:eastAsia="宋体" w:hAnsi="Arial" w:cs="Arial"/>
                <w:color w:val="000000"/>
                <w:sz w:val="18"/>
                <w:szCs w:val="18"/>
              </w:rPr>
              <w:t>Current liabilities of discontinued operations</w:t>
            </w:r>
          </w:p>
        </w:tc>
        <w:tc>
          <w:tcPr>
            <w:tcW w:w="0" w:type="auto"/>
            <w:gridSpan w:val="2"/>
            <w:shd w:val="clear" w:color="auto" w:fill="FFFFFF"/>
            <w:tcMar>
              <w:top w:w="40" w:type="dxa"/>
              <w:left w:w="20" w:type="dxa"/>
              <w:bottom w:w="40" w:type="dxa"/>
              <w:right w:w="0" w:type="dxa"/>
            </w:tcMar>
            <w:vAlign w:val="bottom"/>
          </w:tcPr>
          <w:p w14:paraId="64A8842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842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42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42F" w14:textId="77777777" w:rsidR="008D6614" w:rsidRDefault="00866AF2">
            <w:pPr>
              <w:jc w:val="right"/>
              <w:textAlignment w:val="bottom"/>
            </w:pPr>
            <w:r>
              <w:rPr>
                <w:rFonts w:ascii="Arial" w:eastAsia="宋体" w:hAnsi="Arial" w:cs="Arial"/>
                <w:color w:val="000000"/>
                <w:sz w:val="18"/>
                <w:szCs w:val="18"/>
              </w:rPr>
              <w:t>259 </w:t>
            </w:r>
          </w:p>
        </w:tc>
        <w:tc>
          <w:tcPr>
            <w:tcW w:w="0" w:type="auto"/>
            <w:shd w:val="clear" w:color="auto" w:fill="FFFFFF"/>
            <w:tcMar>
              <w:top w:w="40" w:type="dxa"/>
              <w:bottom w:w="40" w:type="dxa"/>
              <w:right w:w="20" w:type="dxa"/>
            </w:tcMar>
            <w:vAlign w:val="bottom"/>
          </w:tcPr>
          <w:p w14:paraId="64A8843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31" w14:textId="77777777" w:rsidR="008D6614" w:rsidRDefault="008D6614">
            <w:pPr>
              <w:rPr>
                <w:rFonts w:ascii="宋体"/>
              </w:rPr>
            </w:pPr>
          </w:p>
        </w:tc>
        <w:tc>
          <w:tcPr>
            <w:tcW w:w="0" w:type="auto"/>
            <w:shd w:val="clear" w:color="auto" w:fill="auto"/>
            <w:vAlign w:val="center"/>
          </w:tcPr>
          <w:p w14:paraId="64A88432" w14:textId="77777777" w:rsidR="008D6614" w:rsidRDefault="008D6614">
            <w:pPr>
              <w:rPr>
                <w:rFonts w:ascii="宋体"/>
              </w:rPr>
            </w:pPr>
          </w:p>
        </w:tc>
        <w:tc>
          <w:tcPr>
            <w:tcW w:w="0" w:type="auto"/>
            <w:shd w:val="clear" w:color="auto" w:fill="auto"/>
            <w:vAlign w:val="center"/>
          </w:tcPr>
          <w:p w14:paraId="64A88433" w14:textId="77777777" w:rsidR="008D6614" w:rsidRDefault="008D6614">
            <w:pPr>
              <w:rPr>
                <w:rFonts w:ascii="宋体"/>
              </w:rPr>
            </w:pPr>
          </w:p>
        </w:tc>
        <w:tc>
          <w:tcPr>
            <w:tcW w:w="0" w:type="auto"/>
            <w:shd w:val="clear" w:color="auto" w:fill="auto"/>
            <w:vAlign w:val="center"/>
          </w:tcPr>
          <w:p w14:paraId="64A88434" w14:textId="77777777" w:rsidR="008D6614" w:rsidRDefault="008D6614">
            <w:pPr>
              <w:rPr>
                <w:rFonts w:ascii="宋体"/>
              </w:rPr>
            </w:pPr>
          </w:p>
        </w:tc>
        <w:tc>
          <w:tcPr>
            <w:tcW w:w="0" w:type="auto"/>
            <w:shd w:val="clear" w:color="auto" w:fill="auto"/>
            <w:vAlign w:val="center"/>
          </w:tcPr>
          <w:p w14:paraId="64A88435" w14:textId="77777777" w:rsidR="008D6614" w:rsidRDefault="008D6614">
            <w:pPr>
              <w:rPr>
                <w:rFonts w:ascii="宋体"/>
              </w:rPr>
            </w:pPr>
          </w:p>
        </w:tc>
        <w:tc>
          <w:tcPr>
            <w:tcW w:w="0" w:type="auto"/>
            <w:shd w:val="clear" w:color="auto" w:fill="auto"/>
            <w:vAlign w:val="center"/>
          </w:tcPr>
          <w:p w14:paraId="64A88436" w14:textId="77777777" w:rsidR="008D6614" w:rsidRDefault="008D6614">
            <w:pPr>
              <w:rPr>
                <w:rFonts w:ascii="宋体"/>
              </w:rPr>
            </w:pPr>
          </w:p>
        </w:tc>
      </w:tr>
      <w:tr w:rsidR="008D6614" w14:paraId="64A88442" w14:textId="77777777">
        <w:trPr>
          <w:jc w:val="center"/>
          <w:hidden/>
        </w:trPr>
        <w:tc>
          <w:tcPr>
            <w:tcW w:w="0" w:type="auto"/>
            <w:gridSpan w:val="3"/>
            <w:shd w:val="clear" w:color="auto" w:fill="auto"/>
            <w:vAlign w:val="center"/>
          </w:tcPr>
          <w:p w14:paraId="64A88438" w14:textId="77777777" w:rsidR="008D6614" w:rsidRDefault="008D6614">
            <w:pPr>
              <w:rPr>
                <w:rFonts w:ascii="宋体"/>
                <w:vanish/>
              </w:rPr>
            </w:pPr>
          </w:p>
        </w:tc>
        <w:tc>
          <w:tcPr>
            <w:tcW w:w="0" w:type="auto"/>
            <w:gridSpan w:val="3"/>
            <w:shd w:val="clear" w:color="auto" w:fill="auto"/>
            <w:vAlign w:val="center"/>
          </w:tcPr>
          <w:p w14:paraId="64A88439" w14:textId="77777777" w:rsidR="008D6614" w:rsidRDefault="008D6614">
            <w:pPr>
              <w:rPr>
                <w:rFonts w:ascii="宋体"/>
                <w:vanish/>
              </w:rPr>
            </w:pPr>
          </w:p>
        </w:tc>
        <w:tc>
          <w:tcPr>
            <w:tcW w:w="0" w:type="auto"/>
            <w:gridSpan w:val="3"/>
            <w:shd w:val="clear" w:color="auto" w:fill="auto"/>
            <w:vAlign w:val="center"/>
          </w:tcPr>
          <w:p w14:paraId="64A8843A" w14:textId="77777777" w:rsidR="008D6614" w:rsidRDefault="008D6614">
            <w:pPr>
              <w:rPr>
                <w:rFonts w:ascii="宋体"/>
                <w:vanish/>
              </w:rPr>
            </w:pPr>
          </w:p>
        </w:tc>
        <w:tc>
          <w:tcPr>
            <w:tcW w:w="0" w:type="auto"/>
            <w:gridSpan w:val="3"/>
            <w:shd w:val="clear" w:color="auto" w:fill="auto"/>
            <w:vAlign w:val="center"/>
          </w:tcPr>
          <w:p w14:paraId="64A8843B" w14:textId="77777777" w:rsidR="008D6614" w:rsidRDefault="008D6614">
            <w:pPr>
              <w:rPr>
                <w:rFonts w:ascii="宋体"/>
                <w:vanish/>
              </w:rPr>
            </w:pPr>
          </w:p>
        </w:tc>
        <w:tc>
          <w:tcPr>
            <w:tcW w:w="0" w:type="auto"/>
            <w:shd w:val="clear" w:color="auto" w:fill="auto"/>
            <w:vAlign w:val="center"/>
          </w:tcPr>
          <w:p w14:paraId="64A8843C" w14:textId="77777777" w:rsidR="008D6614" w:rsidRDefault="008D6614">
            <w:pPr>
              <w:rPr>
                <w:rFonts w:ascii="宋体"/>
              </w:rPr>
            </w:pPr>
          </w:p>
        </w:tc>
        <w:tc>
          <w:tcPr>
            <w:tcW w:w="0" w:type="auto"/>
            <w:shd w:val="clear" w:color="auto" w:fill="auto"/>
            <w:vAlign w:val="center"/>
          </w:tcPr>
          <w:p w14:paraId="64A8843D" w14:textId="77777777" w:rsidR="008D6614" w:rsidRDefault="008D6614">
            <w:pPr>
              <w:rPr>
                <w:rFonts w:ascii="宋体"/>
              </w:rPr>
            </w:pPr>
          </w:p>
        </w:tc>
        <w:tc>
          <w:tcPr>
            <w:tcW w:w="0" w:type="auto"/>
            <w:shd w:val="clear" w:color="auto" w:fill="auto"/>
            <w:vAlign w:val="center"/>
          </w:tcPr>
          <w:p w14:paraId="64A8843E" w14:textId="77777777" w:rsidR="008D6614" w:rsidRDefault="008D6614">
            <w:pPr>
              <w:rPr>
                <w:rFonts w:ascii="宋体"/>
              </w:rPr>
            </w:pPr>
          </w:p>
        </w:tc>
        <w:tc>
          <w:tcPr>
            <w:tcW w:w="0" w:type="auto"/>
            <w:shd w:val="clear" w:color="auto" w:fill="auto"/>
            <w:vAlign w:val="center"/>
          </w:tcPr>
          <w:p w14:paraId="64A8843F" w14:textId="77777777" w:rsidR="008D6614" w:rsidRDefault="008D6614">
            <w:pPr>
              <w:rPr>
                <w:rFonts w:ascii="宋体"/>
              </w:rPr>
            </w:pPr>
          </w:p>
        </w:tc>
        <w:tc>
          <w:tcPr>
            <w:tcW w:w="0" w:type="auto"/>
            <w:shd w:val="clear" w:color="auto" w:fill="auto"/>
            <w:vAlign w:val="center"/>
          </w:tcPr>
          <w:p w14:paraId="64A88440" w14:textId="77777777" w:rsidR="008D6614" w:rsidRDefault="008D6614">
            <w:pPr>
              <w:rPr>
                <w:rFonts w:ascii="宋体"/>
              </w:rPr>
            </w:pPr>
          </w:p>
        </w:tc>
        <w:tc>
          <w:tcPr>
            <w:tcW w:w="0" w:type="auto"/>
            <w:shd w:val="clear" w:color="auto" w:fill="auto"/>
            <w:vAlign w:val="center"/>
          </w:tcPr>
          <w:p w14:paraId="64A88441" w14:textId="77777777" w:rsidR="008D6614" w:rsidRDefault="008D6614">
            <w:pPr>
              <w:rPr>
                <w:rFonts w:ascii="宋体"/>
              </w:rPr>
            </w:pPr>
          </w:p>
        </w:tc>
      </w:tr>
      <w:tr w:rsidR="008D6614" w14:paraId="64A8844F" w14:textId="77777777">
        <w:trPr>
          <w:jc w:val="center"/>
        </w:trPr>
        <w:tc>
          <w:tcPr>
            <w:tcW w:w="0" w:type="auto"/>
            <w:gridSpan w:val="3"/>
            <w:shd w:val="clear" w:color="auto" w:fill="E2E2E2"/>
            <w:tcMar>
              <w:top w:w="40" w:type="dxa"/>
              <w:left w:w="945" w:type="dxa"/>
              <w:bottom w:w="40" w:type="dxa"/>
              <w:right w:w="20" w:type="dxa"/>
            </w:tcMar>
            <w:vAlign w:val="bottom"/>
          </w:tcPr>
          <w:p w14:paraId="64A88443" w14:textId="77777777" w:rsidR="008D6614" w:rsidRDefault="00866AF2">
            <w:pPr>
              <w:textAlignment w:val="bottom"/>
            </w:pPr>
            <w:r>
              <w:rPr>
                <w:rFonts w:ascii="Arial" w:eastAsia="宋体" w:hAnsi="Arial" w:cs="Arial"/>
                <w:color w:val="000000"/>
                <w:sz w:val="18"/>
                <w:szCs w:val="18"/>
              </w:rPr>
              <w:t>Total current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444" w14:textId="77777777" w:rsidR="008D6614" w:rsidRDefault="00866AF2">
            <w:pPr>
              <w:jc w:val="right"/>
              <w:textAlignment w:val="bottom"/>
            </w:pPr>
            <w:r>
              <w:rPr>
                <w:rFonts w:ascii="Arial" w:eastAsia="宋体" w:hAnsi="Arial" w:cs="Arial"/>
                <w:color w:val="000000"/>
                <w:sz w:val="18"/>
                <w:szCs w:val="18"/>
              </w:rPr>
              <w:t>4,673 </w:t>
            </w:r>
          </w:p>
        </w:tc>
        <w:tc>
          <w:tcPr>
            <w:tcW w:w="0" w:type="auto"/>
            <w:tcBorders>
              <w:top w:val="single" w:sz="8" w:space="0" w:color="000000"/>
            </w:tcBorders>
            <w:shd w:val="clear" w:color="auto" w:fill="E2E2E2"/>
            <w:tcMar>
              <w:top w:w="40" w:type="dxa"/>
              <w:bottom w:w="40" w:type="dxa"/>
              <w:right w:w="20" w:type="dxa"/>
            </w:tcMar>
            <w:vAlign w:val="bottom"/>
          </w:tcPr>
          <w:p w14:paraId="64A8844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446"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447" w14:textId="77777777" w:rsidR="008D6614" w:rsidRDefault="00866AF2">
            <w:pPr>
              <w:jc w:val="right"/>
              <w:textAlignment w:val="bottom"/>
            </w:pPr>
            <w:r>
              <w:rPr>
                <w:rFonts w:ascii="Arial" w:eastAsia="宋体" w:hAnsi="Arial" w:cs="Arial"/>
                <w:color w:val="000000"/>
                <w:sz w:val="18"/>
                <w:szCs w:val="18"/>
              </w:rPr>
              <w:t>4,066 </w:t>
            </w:r>
          </w:p>
        </w:tc>
        <w:tc>
          <w:tcPr>
            <w:tcW w:w="0" w:type="auto"/>
            <w:tcBorders>
              <w:top w:val="single" w:sz="8" w:space="0" w:color="000000"/>
            </w:tcBorders>
            <w:shd w:val="clear" w:color="auto" w:fill="E2E2E2"/>
            <w:tcMar>
              <w:top w:w="40" w:type="dxa"/>
              <w:bottom w:w="40" w:type="dxa"/>
              <w:right w:w="20" w:type="dxa"/>
            </w:tcMar>
            <w:vAlign w:val="bottom"/>
          </w:tcPr>
          <w:p w14:paraId="64A8844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49" w14:textId="77777777" w:rsidR="008D6614" w:rsidRDefault="008D6614">
            <w:pPr>
              <w:rPr>
                <w:rFonts w:ascii="宋体"/>
              </w:rPr>
            </w:pPr>
          </w:p>
        </w:tc>
        <w:tc>
          <w:tcPr>
            <w:tcW w:w="0" w:type="auto"/>
            <w:shd w:val="clear" w:color="auto" w:fill="auto"/>
            <w:vAlign w:val="center"/>
          </w:tcPr>
          <w:p w14:paraId="64A8844A" w14:textId="77777777" w:rsidR="008D6614" w:rsidRDefault="008D6614">
            <w:pPr>
              <w:rPr>
                <w:rFonts w:ascii="宋体"/>
              </w:rPr>
            </w:pPr>
          </w:p>
        </w:tc>
        <w:tc>
          <w:tcPr>
            <w:tcW w:w="0" w:type="auto"/>
            <w:shd w:val="clear" w:color="auto" w:fill="auto"/>
            <w:vAlign w:val="center"/>
          </w:tcPr>
          <w:p w14:paraId="64A8844B" w14:textId="77777777" w:rsidR="008D6614" w:rsidRDefault="008D6614">
            <w:pPr>
              <w:rPr>
                <w:rFonts w:ascii="宋体"/>
              </w:rPr>
            </w:pPr>
          </w:p>
        </w:tc>
        <w:tc>
          <w:tcPr>
            <w:tcW w:w="0" w:type="auto"/>
            <w:shd w:val="clear" w:color="auto" w:fill="auto"/>
            <w:vAlign w:val="center"/>
          </w:tcPr>
          <w:p w14:paraId="64A8844C" w14:textId="77777777" w:rsidR="008D6614" w:rsidRDefault="008D6614">
            <w:pPr>
              <w:rPr>
                <w:rFonts w:ascii="宋体"/>
              </w:rPr>
            </w:pPr>
          </w:p>
        </w:tc>
        <w:tc>
          <w:tcPr>
            <w:tcW w:w="0" w:type="auto"/>
            <w:shd w:val="clear" w:color="auto" w:fill="auto"/>
            <w:vAlign w:val="center"/>
          </w:tcPr>
          <w:p w14:paraId="64A8844D" w14:textId="77777777" w:rsidR="008D6614" w:rsidRDefault="008D6614">
            <w:pPr>
              <w:rPr>
                <w:rFonts w:ascii="宋体"/>
              </w:rPr>
            </w:pPr>
          </w:p>
        </w:tc>
        <w:tc>
          <w:tcPr>
            <w:tcW w:w="0" w:type="auto"/>
            <w:shd w:val="clear" w:color="auto" w:fill="auto"/>
            <w:vAlign w:val="center"/>
          </w:tcPr>
          <w:p w14:paraId="64A8844E" w14:textId="77777777" w:rsidR="008D6614" w:rsidRDefault="008D6614">
            <w:pPr>
              <w:rPr>
                <w:rFonts w:ascii="宋体"/>
              </w:rPr>
            </w:pPr>
          </w:p>
        </w:tc>
      </w:tr>
      <w:tr w:rsidR="008D6614" w14:paraId="64A8845C" w14:textId="77777777">
        <w:trPr>
          <w:jc w:val="center"/>
        </w:trPr>
        <w:tc>
          <w:tcPr>
            <w:tcW w:w="0" w:type="auto"/>
            <w:gridSpan w:val="3"/>
            <w:shd w:val="clear" w:color="auto" w:fill="FFFFFF"/>
            <w:tcMar>
              <w:top w:w="40" w:type="dxa"/>
              <w:left w:w="20" w:type="dxa"/>
              <w:bottom w:w="40" w:type="dxa"/>
              <w:right w:w="20" w:type="dxa"/>
            </w:tcMar>
            <w:vAlign w:val="bottom"/>
          </w:tcPr>
          <w:p w14:paraId="64A88450" w14:textId="77777777" w:rsidR="008D6614" w:rsidRDefault="00866AF2">
            <w:pPr>
              <w:textAlignment w:val="bottom"/>
            </w:pPr>
            <w:r>
              <w:rPr>
                <w:rFonts w:ascii="Arial" w:eastAsia="宋体" w:hAnsi="Arial" w:cs="Arial"/>
                <w:color w:val="000000"/>
                <w:sz w:val="18"/>
                <w:szCs w:val="18"/>
              </w:rPr>
              <w:t>Operating lease liabilities</w:t>
            </w:r>
          </w:p>
        </w:tc>
        <w:tc>
          <w:tcPr>
            <w:tcW w:w="0" w:type="auto"/>
            <w:gridSpan w:val="2"/>
            <w:shd w:val="clear" w:color="auto" w:fill="FFFFFF"/>
            <w:tcMar>
              <w:top w:w="40" w:type="dxa"/>
              <w:left w:w="20" w:type="dxa"/>
              <w:bottom w:w="40" w:type="dxa"/>
              <w:right w:w="0" w:type="dxa"/>
            </w:tcMar>
            <w:vAlign w:val="bottom"/>
          </w:tcPr>
          <w:p w14:paraId="64A88451" w14:textId="77777777" w:rsidR="008D6614" w:rsidRDefault="00866AF2">
            <w:pPr>
              <w:jc w:val="right"/>
              <w:textAlignment w:val="bottom"/>
            </w:pPr>
            <w:r>
              <w:rPr>
                <w:rFonts w:ascii="Arial" w:eastAsia="宋体" w:hAnsi="Arial" w:cs="Arial"/>
                <w:color w:val="000000"/>
                <w:sz w:val="18"/>
                <w:szCs w:val="18"/>
              </w:rPr>
              <w:t>456 </w:t>
            </w:r>
          </w:p>
        </w:tc>
        <w:tc>
          <w:tcPr>
            <w:tcW w:w="0" w:type="auto"/>
            <w:shd w:val="clear" w:color="auto" w:fill="FFFFFF"/>
            <w:tcMar>
              <w:top w:w="40" w:type="dxa"/>
              <w:bottom w:w="40" w:type="dxa"/>
              <w:right w:w="20" w:type="dxa"/>
            </w:tcMar>
            <w:vAlign w:val="bottom"/>
          </w:tcPr>
          <w:p w14:paraId="64A8845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45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454" w14:textId="77777777" w:rsidR="008D6614" w:rsidRDefault="00866AF2">
            <w:pPr>
              <w:jc w:val="right"/>
              <w:textAlignment w:val="bottom"/>
            </w:pPr>
            <w:r>
              <w:rPr>
                <w:rFonts w:ascii="Arial" w:eastAsia="宋体" w:hAnsi="Arial" w:cs="Arial"/>
                <w:color w:val="000000"/>
                <w:sz w:val="18"/>
                <w:szCs w:val="18"/>
              </w:rPr>
              <w:t>472 </w:t>
            </w:r>
          </w:p>
        </w:tc>
        <w:tc>
          <w:tcPr>
            <w:tcW w:w="0" w:type="auto"/>
            <w:shd w:val="clear" w:color="auto" w:fill="FFFFFF"/>
            <w:tcMar>
              <w:top w:w="40" w:type="dxa"/>
              <w:bottom w:w="40" w:type="dxa"/>
              <w:right w:w="20" w:type="dxa"/>
            </w:tcMar>
            <w:vAlign w:val="bottom"/>
          </w:tcPr>
          <w:p w14:paraId="64A8845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56" w14:textId="77777777" w:rsidR="008D6614" w:rsidRDefault="008D6614">
            <w:pPr>
              <w:rPr>
                <w:rFonts w:ascii="宋体"/>
              </w:rPr>
            </w:pPr>
          </w:p>
        </w:tc>
        <w:tc>
          <w:tcPr>
            <w:tcW w:w="0" w:type="auto"/>
            <w:shd w:val="clear" w:color="auto" w:fill="auto"/>
            <w:vAlign w:val="center"/>
          </w:tcPr>
          <w:p w14:paraId="64A88457" w14:textId="77777777" w:rsidR="008D6614" w:rsidRDefault="008D6614">
            <w:pPr>
              <w:rPr>
                <w:rFonts w:ascii="宋体"/>
              </w:rPr>
            </w:pPr>
          </w:p>
        </w:tc>
        <w:tc>
          <w:tcPr>
            <w:tcW w:w="0" w:type="auto"/>
            <w:shd w:val="clear" w:color="auto" w:fill="auto"/>
            <w:vAlign w:val="center"/>
          </w:tcPr>
          <w:p w14:paraId="64A88458" w14:textId="77777777" w:rsidR="008D6614" w:rsidRDefault="008D6614">
            <w:pPr>
              <w:rPr>
                <w:rFonts w:ascii="宋体"/>
              </w:rPr>
            </w:pPr>
          </w:p>
        </w:tc>
        <w:tc>
          <w:tcPr>
            <w:tcW w:w="0" w:type="auto"/>
            <w:shd w:val="clear" w:color="auto" w:fill="auto"/>
            <w:vAlign w:val="center"/>
          </w:tcPr>
          <w:p w14:paraId="64A88459" w14:textId="77777777" w:rsidR="008D6614" w:rsidRDefault="008D6614">
            <w:pPr>
              <w:rPr>
                <w:rFonts w:ascii="宋体"/>
              </w:rPr>
            </w:pPr>
          </w:p>
        </w:tc>
        <w:tc>
          <w:tcPr>
            <w:tcW w:w="0" w:type="auto"/>
            <w:shd w:val="clear" w:color="auto" w:fill="auto"/>
            <w:vAlign w:val="center"/>
          </w:tcPr>
          <w:p w14:paraId="64A8845A" w14:textId="77777777" w:rsidR="008D6614" w:rsidRDefault="008D6614">
            <w:pPr>
              <w:rPr>
                <w:rFonts w:ascii="宋体"/>
              </w:rPr>
            </w:pPr>
          </w:p>
        </w:tc>
        <w:tc>
          <w:tcPr>
            <w:tcW w:w="0" w:type="auto"/>
            <w:shd w:val="clear" w:color="auto" w:fill="auto"/>
            <w:vAlign w:val="center"/>
          </w:tcPr>
          <w:p w14:paraId="64A8845B" w14:textId="77777777" w:rsidR="008D6614" w:rsidRDefault="008D6614">
            <w:pPr>
              <w:rPr>
                <w:rFonts w:ascii="宋体"/>
              </w:rPr>
            </w:pPr>
          </w:p>
        </w:tc>
      </w:tr>
      <w:tr w:rsidR="008D6614" w14:paraId="64A88469" w14:textId="77777777">
        <w:trPr>
          <w:jc w:val="center"/>
        </w:trPr>
        <w:tc>
          <w:tcPr>
            <w:tcW w:w="0" w:type="auto"/>
            <w:gridSpan w:val="3"/>
            <w:shd w:val="clear" w:color="auto" w:fill="E2E2E2"/>
            <w:tcMar>
              <w:top w:w="40" w:type="dxa"/>
              <w:left w:w="20" w:type="dxa"/>
              <w:bottom w:w="40" w:type="dxa"/>
              <w:right w:w="20" w:type="dxa"/>
            </w:tcMar>
            <w:vAlign w:val="bottom"/>
          </w:tcPr>
          <w:p w14:paraId="64A8845D" w14:textId="77777777" w:rsidR="008D6614" w:rsidRDefault="00866AF2">
            <w:pPr>
              <w:textAlignment w:val="bottom"/>
            </w:pPr>
            <w:r>
              <w:rPr>
                <w:rFonts w:ascii="Arial" w:eastAsia="宋体" w:hAnsi="Arial" w:cs="Arial"/>
                <w:color w:val="000000"/>
                <w:sz w:val="18"/>
                <w:szCs w:val="18"/>
              </w:rPr>
              <w:t>Deferred tax liabilities</w:t>
            </w:r>
          </w:p>
        </w:tc>
        <w:tc>
          <w:tcPr>
            <w:tcW w:w="0" w:type="auto"/>
            <w:gridSpan w:val="2"/>
            <w:shd w:val="clear" w:color="auto" w:fill="E2E2E2"/>
            <w:tcMar>
              <w:top w:w="40" w:type="dxa"/>
              <w:left w:w="20" w:type="dxa"/>
              <w:bottom w:w="40" w:type="dxa"/>
              <w:right w:w="0" w:type="dxa"/>
            </w:tcMar>
            <w:vAlign w:val="bottom"/>
          </w:tcPr>
          <w:p w14:paraId="64A8845E" w14:textId="77777777" w:rsidR="008D6614" w:rsidRDefault="00866AF2">
            <w:pPr>
              <w:jc w:val="right"/>
              <w:textAlignment w:val="bottom"/>
            </w:pPr>
            <w:r>
              <w:rPr>
                <w:rFonts w:ascii="Arial" w:eastAsia="宋体" w:hAnsi="Arial" w:cs="Arial"/>
                <w:color w:val="000000"/>
                <w:sz w:val="18"/>
                <w:szCs w:val="18"/>
              </w:rPr>
              <w:t>2,619 </w:t>
            </w:r>
          </w:p>
        </w:tc>
        <w:tc>
          <w:tcPr>
            <w:tcW w:w="0" w:type="auto"/>
            <w:shd w:val="clear" w:color="auto" w:fill="E2E2E2"/>
            <w:tcMar>
              <w:top w:w="40" w:type="dxa"/>
              <w:bottom w:w="40" w:type="dxa"/>
              <w:right w:w="20" w:type="dxa"/>
            </w:tcMar>
            <w:vAlign w:val="bottom"/>
          </w:tcPr>
          <w:p w14:paraId="64A8845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46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461" w14:textId="77777777" w:rsidR="008D6614" w:rsidRDefault="00866AF2">
            <w:pPr>
              <w:jc w:val="right"/>
              <w:textAlignment w:val="bottom"/>
            </w:pPr>
            <w:r>
              <w:rPr>
                <w:rFonts w:ascii="Arial" w:eastAsia="宋体" w:hAnsi="Arial" w:cs="Arial"/>
                <w:color w:val="000000"/>
                <w:sz w:val="18"/>
                <w:szCs w:val="18"/>
              </w:rPr>
              <w:t>2,646 </w:t>
            </w:r>
          </w:p>
        </w:tc>
        <w:tc>
          <w:tcPr>
            <w:tcW w:w="0" w:type="auto"/>
            <w:shd w:val="clear" w:color="auto" w:fill="E2E2E2"/>
            <w:tcMar>
              <w:top w:w="40" w:type="dxa"/>
              <w:bottom w:w="40" w:type="dxa"/>
              <w:right w:w="20" w:type="dxa"/>
            </w:tcMar>
            <w:vAlign w:val="bottom"/>
          </w:tcPr>
          <w:p w14:paraId="64A8846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63" w14:textId="77777777" w:rsidR="008D6614" w:rsidRDefault="008D6614">
            <w:pPr>
              <w:rPr>
                <w:rFonts w:ascii="宋体"/>
              </w:rPr>
            </w:pPr>
          </w:p>
        </w:tc>
        <w:tc>
          <w:tcPr>
            <w:tcW w:w="0" w:type="auto"/>
            <w:shd w:val="clear" w:color="auto" w:fill="auto"/>
            <w:vAlign w:val="center"/>
          </w:tcPr>
          <w:p w14:paraId="64A88464" w14:textId="77777777" w:rsidR="008D6614" w:rsidRDefault="008D6614">
            <w:pPr>
              <w:rPr>
                <w:rFonts w:ascii="宋体"/>
              </w:rPr>
            </w:pPr>
          </w:p>
        </w:tc>
        <w:tc>
          <w:tcPr>
            <w:tcW w:w="0" w:type="auto"/>
            <w:shd w:val="clear" w:color="auto" w:fill="auto"/>
            <w:vAlign w:val="center"/>
          </w:tcPr>
          <w:p w14:paraId="64A88465" w14:textId="77777777" w:rsidR="008D6614" w:rsidRDefault="008D6614">
            <w:pPr>
              <w:rPr>
                <w:rFonts w:ascii="宋体"/>
              </w:rPr>
            </w:pPr>
          </w:p>
        </w:tc>
        <w:tc>
          <w:tcPr>
            <w:tcW w:w="0" w:type="auto"/>
            <w:shd w:val="clear" w:color="auto" w:fill="auto"/>
            <w:vAlign w:val="center"/>
          </w:tcPr>
          <w:p w14:paraId="64A88466" w14:textId="77777777" w:rsidR="008D6614" w:rsidRDefault="008D6614">
            <w:pPr>
              <w:rPr>
                <w:rFonts w:ascii="宋体"/>
              </w:rPr>
            </w:pPr>
          </w:p>
        </w:tc>
        <w:tc>
          <w:tcPr>
            <w:tcW w:w="0" w:type="auto"/>
            <w:shd w:val="clear" w:color="auto" w:fill="auto"/>
            <w:vAlign w:val="center"/>
          </w:tcPr>
          <w:p w14:paraId="64A88467" w14:textId="77777777" w:rsidR="008D6614" w:rsidRDefault="008D6614">
            <w:pPr>
              <w:rPr>
                <w:rFonts w:ascii="宋体"/>
              </w:rPr>
            </w:pPr>
          </w:p>
        </w:tc>
        <w:tc>
          <w:tcPr>
            <w:tcW w:w="0" w:type="auto"/>
            <w:shd w:val="clear" w:color="auto" w:fill="auto"/>
            <w:vAlign w:val="center"/>
          </w:tcPr>
          <w:p w14:paraId="64A88468" w14:textId="77777777" w:rsidR="008D6614" w:rsidRDefault="008D6614">
            <w:pPr>
              <w:rPr>
                <w:rFonts w:ascii="宋体"/>
              </w:rPr>
            </w:pPr>
          </w:p>
        </w:tc>
      </w:tr>
      <w:tr w:rsidR="008D6614" w14:paraId="64A88476" w14:textId="77777777">
        <w:trPr>
          <w:jc w:val="center"/>
        </w:trPr>
        <w:tc>
          <w:tcPr>
            <w:tcW w:w="0" w:type="auto"/>
            <w:gridSpan w:val="3"/>
            <w:shd w:val="clear" w:color="auto" w:fill="FFFFFF"/>
            <w:tcMar>
              <w:top w:w="40" w:type="dxa"/>
              <w:left w:w="20" w:type="dxa"/>
              <w:bottom w:w="40" w:type="dxa"/>
              <w:right w:w="20" w:type="dxa"/>
            </w:tcMar>
            <w:vAlign w:val="bottom"/>
          </w:tcPr>
          <w:p w14:paraId="64A8846A" w14:textId="77777777" w:rsidR="008D6614" w:rsidRDefault="00866AF2">
            <w:pPr>
              <w:textAlignment w:val="bottom"/>
            </w:pPr>
            <w:r>
              <w:rPr>
                <w:rFonts w:ascii="Arial" w:eastAsia="宋体" w:hAnsi="Arial" w:cs="Arial"/>
                <w:color w:val="000000"/>
                <w:sz w:val="18"/>
                <w:szCs w:val="18"/>
              </w:rPr>
              <w:t>Long-term debt</w:t>
            </w:r>
          </w:p>
        </w:tc>
        <w:tc>
          <w:tcPr>
            <w:tcW w:w="0" w:type="auto"/>
            <w:gridSpan w:val="2"/>
            <w:shd w:val="clear" w:color="auto" w:fill="FFFFFF"/>
            <w:tcMar>
              <w:top w:w="40" w:type="dxa"/>
              <w:left w:w="20" w:type="dxa"/>
              <w:bottom w:w="40" w:type="dxa"/>
              <w:right w:w="0" w:type="dxa"/>
            </w:tcMar>
            <w:vAlign w:val="bottom"/>
          </w:tcPr>
          <w:p w14:paraId="64A8846B" w14:textId="77777777" w:rsidR="008D6614" w:rsidRDefault="00866AF2">
            <w:pPr>
              <w:jc w:val="right"/>
              <w:textAlignment w:val="bottom"/>
            </w:pPr>
            <w:r>
              <w:rPr>
                <w:rFonts w:ascii="Arial" w:eastAsia="宋体" w:hAnsi="Arial" w:cs="Arial"/>
                <w:color w:val="000000"/>
                <w:sz w:val="18"/>
                <w:szCs w:val="18"/>
              </w:rPr>
              <w:t>7,724 </w:t>
            </w:r>
          </w:p>
        </w:tc>
        <w:tc>
          <w:tcPr>
            <w:tcW w:w="0" w:type="auto"/>
            <w:shd w:val="clear" w:color="auto" w:fill="FFFFFF"/>
            <w:tcMar>
              <w:top w:w="40" w:type="dxa"/>
              <w:bottom w:w="40" w:type="dxa"/>
              <w:right w:w="20" w:type="dxa"/>
            </w:tcMar>
            <w:vAlign w:val="bottom"/>
          </w:tcPr>
          <w:p w14:paraId="64A8846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46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46E" w14:textId="77777777" w:rsidR="008D6614" w:rsidRDefault="00866AF2">
            <w:pPr>
              <w:jc w:val="right"/>
              <w:textAlignment w:val="bottom"/>
            </w:pPr>
            <w:r>
              <w:rPr>
                <w:rFonts w:ascii="Arial" w:eastAsia="宋体" w:hAnsi="Arial" w:cs="Arial"/>
                <w:color w:val="000000"/>
                <w:sz w:val="18"/>
                <w:szCs w:val="18"/>
              </w:rPr>
              <w:t>6,738 </w:t>
            </w:r>
          </w:p>
        </w:tc>
        <w:tc>
          <w:tcPr>
            <w:tcW w:w="0" w:type="auto"/>
            <w:shd w:val="clear" w:color="auto" w:fill="FFFFFF"/>
            <w:tcMar>
              <w:top w:w="40" w:type="dxa"/>
              <w:bottom w:w="40" w:type="dxa"/>
              <w:right w:w="20" w:type="dxa"/>
            </w:tcMar>
            <w:vAlign w:val="bottom"/>
          </w:tcPr>
          <w:p w14:paraId="64A8846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70" w14:textId="77777777" w:rsidR="008D6614" w:rsidRDefault="008D6614">
            <w:pPr>
              <w:rPr>
                <w:rFonts w:ascii="宋体"/>
              </w:rPr>
            </w:pPr>
          </w:p>
        </w:tc>
        <w:tc>
          <w:tcPr>
            <w:tcW w:w="0" w:type="auto"/>
            <w:shd w:val="clear" w:color="auto" w:fill="auto"/>
            <w:vAlign w:val="center"/>
          </w:tcPr>
          <w:p w14:paraId="64A88471" w14:textId="77777777" w:rsidR="008D6614" w:rsidRDefault="008D6614">
            <w:pPr>
              <w:rPr>
                <w:rFonts w:ascii="宋体"/>
              </w:rPr>
            </w:pPr>
          </w:p>
        </w:tc>
        <w:tc>
          <w:tcPr>
            <w:tcW w:w="0" w:type="auto"/>
            <w:shd w:val="clear" w:color="auto" w:fill="auto"/>
            <w:vAlign w:val="center"/>
          </w:tcPr>
          <w:p w14:paraId="64A88472" w14:textId="77777777" w:rsidR="008D6614" w:rsidRDefault="008D6614">
            <w:pPr>
              <w:rPr>
                <w:rFonts w:ascii="宋体"/>
              </w:rPr>
            </w:pPr>
          </w:p>
        </w:tc>
        <w:tc>
          <w:tcPr>
            <w:tcW w:w="0" w:type="auto"/>
            <w:shd w:val="clear" w:color="auto" w:fill="auto"/>
            <w:vAlign w:val="center"/>
          </w:tcPr>
          <w:p w14:paraId="64A88473" w14:textId="77777777" w:rsidR="008D6614" w:rsidRDefault="008D6614">
            <w:pPr>
              <w:rPr>
                <w:rFonts w:ascii="宋体"/>
              </w:rPr>
            </w:pPr>
          </w:p>
        </w:tc>
        <w:tc>
          <w:tcPr>
            <w:tcW w:w="0" w:type="auto"/>
            <w:shd w:val="clear" w:color="auto" w:fill="auto"/>
            <w:vAlign w:val="center"/>
          </w:tcPr>
          <w:p w14:paraId="64A88474" w14:textId="77777777" w:rsidR="008D6614" w:rsidRDefault="008D6614">
            <w:pPr>
              <w:rPr>
                <w:rFonts w:ascii="宋体"/>
              </w:rPr>
            </w:pPr>
          </w:p>
        </w:tc>
        <w:tc>
          <w:tcPr>
            <w:tcW w:w="0" w:type="auto"/>
            <w:shd w:val="clear" w:color="auto" w:fill="auto"/>
            <w:vAlign w:val="center"/>
          </w:tcPr>
          <w:p w14:paraId="64A88475" w14:textId="77777777" w:rsidR="008D6614" w:rsidRDefault="008D6614">
            <w:pPr>
              <w:rPr>
                <w:rFonts w:ascii="宋体"/>
              </w:rPr>
            </w:pPr>
          </w:p>
        </w:tc>
      </w:tr>
      <w:tr w:rsidR="008D6614" w14:paraId="64A88483" w14:textId="77777777">
        <w:trPr>
          <w:jc w:val="center"/>
        </w:trPr>
        <w:tc>
          <w:tcPr>
            <w:tcW w:w="0" w:type="auto"/>
            <w:gridSpan w:val="3"/>
            <w:shd w:val="clear" w:color="auto" w:fill="E2E2E2"/>
            <w:tcMar>
              <w:top w:w="40" w:type="dxa"/>
              <w:left w:w="20" w:type="dxa"/>
              <w:bottom w:w="40" w:type="dxa"/>
              <w:right w:w="20" w:type="dxa"/>
            </w:tcMar>
            <w:vAlign w:val="bottom"/>
          </w:tcPr>
          <w:p w14:paraId="64A88477" w14:textId="77777777" w:rsidR="008D6614" w:rsidRDefault="00866AF2">
            <w:pPr>
              <w:textAlignment w:val="bottom"/>
            </w:pPr>
            <w:r>
              <w:rPr>
                <w:rFonts w:ascii="Arial" w:eastAsia="宋体" w:hAnsi="Arial" w:cs="Arial"/>
                <w:color w:val="000000"/>
                <w:sz w:val="18"/>
                <w:szCs w:val="18"/>
              </w:rPr>
              <w:t>Other liabilities</w:t>
            </w:r>
          </w:p>
        </w:tc>
        <w:tc>
          <w:tcPr>
            <w:tcW w:w="0" w:type="auto"/>
            <w:gridSpan w:val="2"/>
            <w:shd w:val="clear" w:color="auto" w:fill="E2E2E2"/>
            <w:tcMar>
              <w:top w:w="40" w:type="dxa"/>
              <w:left w:w="20" w:type="dxa"/>
              <w:bottom w:w="40" w:type="dxa"/>
              <w:right w:w="0" w:type="dxa"/>
            </w:tcMar>
            <w:vAlign w:val="bottom"/>
          </w:tcPr>
          <w:p w14:paraId="64A88478" w14:textId="77777777" w:rsidR="008D6614" w:rsidRDefault="00866AF2">
            <w:pPr>
              <w:jc w:val="right"/>
              <w:textAlignment w:val="bottom"/>
            </w:pPr>
            <w:r>
              <w:rPr>
                <w:rFonts w:ascii="Arial" w:eastAsia="宋体" w:hAnsi="Arial" w:cs="Arial"/>
                <w:color w:val="000000"/>
                <w:sz w:val="18"/>
                <w:szCs w:val="18"/>
              </w:rPr>
              <w:t>1,342 </w:t>
            </w:r>
          </w:p>
        </w:tc>
        <w:tc>
          <w:tcPr>
            <w:tcW w:w="0" w:type="auto"/>
            <w:shd w:val="clear" w:color="auto" w:fill="E2E2E2"/>
            <w:tcMar>
              <w:top w:w="40" w:type="dxa"/>
              <w:bottom w:w="40" w:type="dxa"/>
              <w:right w:w="20" w:type="dxa"/>
            </w:tcMar>
            <w:vAlign w:val="bottom"/>
          </w:tcPr>
          <w:p w14:paraId="64A8847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47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47B" w14:textId="77777777" w:rsidR="008D6614" w:rsidRDefault="00866AF2">
            <w:pPr>
              <w:jc w:val="right"/>
              <w:textAlignment w:val="bottom"/>
            </w:pPr>
            <w:r>
              <w:rPr>
                <w:rFonts w:ascii="Arial" w:eastAsia="宋体" w:hAnsi="Arial" w:cs="Arial"/>
                <w:color w:val="000000"/>
                <w:sz w:val="18"/>
                <w:szCs w:val="18"/>
              </w:rPr>
              <w:t>1,356 </w:t>
            </w:r>
          </w:p>
        </w:tc>
        <w:tc>
          <w:tcPr>
            <w:tcW w:w="0" w:type="auto"/>
            <w:shd w:val="clear" w:color="auto" w:fill="E2E2E2"/>
            <w:tcMar>
              <w:top w:w="40" w:type="dxa"/>
              <w:bottom w:w="40" w:type="dxa"/>
              <w:right w:w="20" w:type="dxa"/>
            </w:tcMar>
            <w:vAlign w:val="bottom"/>
          </w:tcPr>
          <w:p w14:paraId="64A8847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7D" w14:textId="77777777" w:rsidR="008D6614" w:rsidRDefault="008D6614">
            <w:pPr>
              <w:rPr>
                <w:rFonts w:ascii="宋体"/>
              </w:rPr>
            </w:pPr>
          </w:p>
        </w:tc>
        <w:tc>
          <w:tcPr>
            <w:tcW w:w="0" w:type="auto"/>
            <w:shd w:val="clear" w:color="auto" w:fill="auto"/>
            <w:vAlign w:val="center"/>
          </w:tcPr>
          <w:p w14:paraId="64A8847E" w14:textId="77777777" w:rsidR="008D6614" w:rsidRDefault="008D6614">
            <w:pPr>
              <w:rPr>
                <w:rFonts w:ascii="宋体"/>
              </w:rPr>
            </w:pPr>
          </w:p>
        </w:tc>
        <w:tc>
          <w:tcPr>
            <w:tcW w:w="0" w:type="auto"/>
            <w:shd w:val="clear" w:color="auto" w:fill="auto"/>
            <w:vAlign w:val="center"/>
          </w:tcPr>
          <w:p w14:paraId="64A8847F" w14:textId="77777777" w:rsidR="008D6614" w:rsidRDefault="008D6614">
            <w:pPr>
              <w:rPr>
                <w:rFonts w:ascii="宋体"/>
              </w:rPr>
            </w:pPr>
          </w:p>
        </w:tc>
        <w:tc>
          <w:tcPr>
            <w:tcW w:w="0" w:type="auto"/>
            <w:shd w:val="clear" w:color="auto" w:fill="auto"/>
            <w:vAlign w:val="center"/>
          </w:tcPr>
          <w:p w14:paraId="64A88480" w14:textId="77777777" w:rsidR="008D6614" w:rsidRDefault="008D6614">
            <w:pPr>
              <w:rPr>
                <w:rFonts w:ascii="宋体"/>
              </w:rPr>
            </w:pPr>
          </w:p>
        </w:tc>
        <w:tc>
          <w:tcPr>
            <w:tcW w:w="0" w:type="auto"/>
            <w:shd w:val="clear" w:color="auto" w:fill="auto"/>
            <w:vAlign w:val="center"/>
          </w:tcPr>
          <w:p w14:paraId="64A88481" w14:textId="77777777" w:rsidR="008D6614" w:rsidRDefault="008D6614">
            <w:pPr>
              <w:rPr>
                <w:rFonts w:ascii="宋体"/>
              </w:rPr>
            </w:pPr>
          </w:p>
        </w:tc>
        <w:tc>
          <w:tcPr>
            <w:tcW w:w="0" w:type="auto"/>
            <w:shd w:val="clear" w:color="auto" w:fill="auto"/>
            <w:vAlign w:val="center"/>
          </w:tcPr>
          <w:p w14:paraId="64A88482" w14:textId="77777777" w:rsidR="008D6614" w:rsidRDefault="008D6614">
            <w:pPr>
              <w:rPr>
                <w:rFonts w:ascii="宋体"/>
              </w:rPr>
            </w:pPr>
          </w:p>
        </w:tc>
      </w:tr>
      <w:tr w:rsidR="008D6614" w14:paraId="64A88490" w14:textId="77777777">
        <w:trPr>
          <w:jc w:val="center"/>
        </w:trPr>
        <w:tc>
          <w:tcPr>
            <w:tcW w:w="0" w:type="auto"/>
            <w:gridSpan w:val="3"/>
            <w:shd w:val="clear" w:color="auto" w:fill="FFFFFF"/>
            <w:tcMar>
              <w:top w:w="40" w:type="dxa"/>
              <w:left w:w="20" w:type="dxa"/>
              <w:bottom w:w="40" w:type="dxa"/>
              <w:right w:w="20" w:type="dxa"/>
            </w:tcMar>
            <w:vAlign w:val="bottom"/>
          </w:tcPr>
          <w:p w14:paraId="64A88484" w14:textId="77777777" w:rsidR="008D6614" w:rsidRDefault="00866AF2">
            <w:pPr>
              <w:textAlignment w:val="bottom"/>
            </w:pPr>
            <w:r>
              <w:rPr>
                <w:rFonts w:ascii="Arial" w:eastAsia="宋体" w:hAnsi="Arial" w:cs="Arial"/>
                <w:color w:val="000000"/>
                <w:sz w:val="18"/>
                <w:szCs w:val="18"/>
              </w:rPr>
              <w:t>Long-term liabilities of discontinued operations</w:t>
            </w:r>
          </w:p>
        </w:tc>
        <w:tc>
          <w:tcPr>
            <w:tcW w:w="0" w:type="auto"/>
            <w:gridSpan w:val="2"/>
            <w:shd w:val="clear" w:color="auto" w:fill="FFFFFF"/>
            <w:tcMar>
              <w:top w:w="40" w:type="dxa"/>
              <w:left w:w="20" w:type="dxa"/>
              <w:bottom w:w="40" w:type="dxa"/>
              <w:right w:w="0" w:type="dxa"/>
            </w:tcMar>
            <w:vAlign w:val="bottom"/>
          </w:tcPr>
          <w:p w14:paraId="64A8848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848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48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488" w14:textId="77777777" w:rsidR="008D6614" w:rsidRDefault="00866AF2">
            <w:pPr>
              <w:jc w:val="right"/>
              <w:textAlignment w:val="bottom"/>
            </w:pPr>
            <w:r>
              <w:rPr>
                <w:rFonts w:ascii="Arial" w:eastAsia="宋体" w:hAnsi="Arial" w:cs="Arial"/>
                <w:color w:val="000000"/>
                <w:sz w:val="18"/>
                <w:szCs w:val="18"/>
              </w:rPr>
              <w:t>26 </w:t>
            </w:r>
          </w:p>
        </w:tc>
        <w:tc>
          <w:tcPr>
            <w:tcW w:w="0" w:type="auto"/>
            <w:shd w:val="clear" w:color="auto" w:fill="FFFFFF"/>
            <w:tcMar>
              <w:top w:w="40" w:type="dxa"/>
              <w:bottom w:w="40" w:type="dxa"/>
              <w:right w:w="20" w:type="dxa"/>
            </w:tcMar>
            <w:vAlign w:val="bottom"/>
          </w:tcPr>
          <w:p w14:paraId="64A8848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8A" w14:textId="77777777" w:rsidR="008D6614" w:rsidRDefault="008D6614">
            <w:pPr>
              <w:rPr>
                <w:rFonts w:ascii="宋体"/>
              </w:rPr>
            </w:pPr>
          </w:p>
        </w:tc>
        <w:tc>
          <w:tcPr>
            <w:tcW w:w="0" w:type="auto"/>
            <w:shd w:val="clear" w:color="auto" w:fill="auto"/>
            <w:vAlign w:val="center"/>
          </w:tcPr>
          <w:p w14:paraId="64A8848B" w14:textId="77777777" w:rsidR="008D6614" w:rsidRDefault="008D6614">
            <w:pPr>
              <w:rPr>
                <w:rFonts w:ascii="宋体"/>
              </w:rPr>
            </w:pPr>
          </w:p>
        </w:tc>
        <w:tc>
          <w:tcPr>
            <w:tcW w:w="0" w:type="auto"/>
            <w:shd w:val="clear" w:color="auto" w:fill="auto"/>
            <w:vAlign w:val="center"/>
          </w:tcPr>
          <w:p w14:paraId="64A8848C" w14:textId="77777777" w:rsidR="008D6614" w:rsidRDefault="008D6614">
            <w:pPr>
              <w:rPr>
                <w:rFonts w:ascii="宋体"/>
              </w:rPr>
            </w:pPr>
          </w:p>
        </w:tc>
        <w:tc>
          <w:tcPr>
            <w:tcW w:w="0" w:type="auto"/>
            <w:shd w:val="clear" w:color="auto" w:fill="auto"/>
            <w:vAlign w:val="center"/>
          </w:tcPr>
          <w:p w14:paraId="64A8848D" w14:textId="77777777" w:rsidR="008D6614" w:rsidRDefault="008D6614">
            <w:pPr>
              <w:rPr>
                <w:rFonts w:ascii="宋体"/>
              </w:rPr>
            </w:pPr>
          </w:p>
        </w:tc>
        <w:tc>
          <w:tcPr>
            <w:tcW w:w="0" w:type="auto"/>
            <w:shd w:val="clear" w:color="auto" w:fill="auto"/>
            <w:vAlign w:val="center"/>
          </w:tcPr>
          <w:p w14:paraId="64A8848E" w14:textId="77777777" w:rsidR="008D6614" w:rsidRDefault="008D6614">
            <w:pPr>
              <w:rPr>
                <w:rFonts w:ascii="宋体"/>
              </w:rPr>
            </w:pPr>
          </w:p>
        </w:tc>
        <w:tc>
          <w:tcPr>
            <w:tcW w:w="0" w:type="auto"/>
            <w:shd w:val="clear" w:color="auto" w:fill="auto"/>
            <w:vAlign w:val="center"/>
          </w:tcPr>
          <w:p w14:paraId="64A8848F" w14:textId="77777777" w:rsidR="008D6614" w:rsidRDefault="008D6614">
            <w:pPr>
              <w:rPr>
                <w:rFonts w:ascii="宋体"/>
              </w:rPr>
            </w:pPr>
          </w:p>
        </w:tc>
      </w:tr>
      <w:tr w:rsidR="008D6614" w14:paraId="64A8849D" w14:textId="77777777">
        <w:trPr>
          <w:jc w:val="center"/>
        </w:trPr>
        <w:tc>
          <w:tcPr>
            <w:tcW w:w="0" w:type="auto"/>
            <w:gridSpan w:val="3"/>
            <w:shd w:val="clear" w:color="auto" w:fill="E2E2E2"/>
            <w:tcMar>
              <w:top w:w="40" w:type="dxa"/>
              <w:left w:w="945" w:type="dxa"/>
              <w:bottom w:w="40" w:type="dxa"/>
              <w:right w:w="20" w:type="dxa"/>
            </w:tcMar>
            <w:vAlign w:val="bottom"/>
          </w:tcPr>
          <w:p w14:paraId="64A88491" w14:textId="77777777" w:rsidR="008D6614" w:rsidRDefault="00866AF2">
            <w:pPr>
              <w:textAlignment w:val="bottom"/>
            </w:pPr>
            <w:r>
              <w:rPr>
                <w:rFonts w:ascii="Arial" w:eastAsia="宋体" w:hAnsi="Arial" w:cs="Arial"/>
                <w:color w:val="000000"/>
                <w:sz w:val="18"/>
                <w:szCs w:val="18"/>
              </w:rPr>
              <w:t>Total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492" w14:textId="77777777" w:rsidR="008D6614" w:rsidRDefault="00866AF2">
            <w:pPr>
              <w:jc w:val="right"/>
              <w:textAlignment w:val="bottom"/>
            </w:pPr>
            <w:r>
              <w:rPr>
                <w:rFonts w:ascii="Arial" w:eastAsia="宋体" w:hAnsi="Arial" w:cs="Arial"/>
                <w:color w:val="000000"/>
                <w:sz w:val="18"/>
                <w:szCs w:val="18"/>
              </w:rPr>
              <w:t>16,814 </w:t>
            </w:r>
          </w:p>
        </w:tc>
        <w:tc>
          <w:tcPr>
            <w:tcW w:w="0" w:type="auto"/>
            <w:tcBorders>
              <w:top w:val="single" w:sz="8" w:space="0" w:color="000000"/>
            </w:tcBorders>
            <w:shd w:val="clear" w:color="auto" w:fill="E2E2E2"/>
            <w:tcMar>
              <w:top w:w="40" w:type="dxa"/>
              <w:bottom w:w="40" w:type="dxa"/>
              <w:right w:w="20" w:type="dxa"/>
            </w:tcMar>
            <w:vAlign w:val="bottom"/>
          </w:tcPr>
          <w:p w14:paraId="64A8849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494"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495" w14:textId="77777777" w:rsidR="008D6614" w:rsidRDefault="00866AF2">
            <w:pPr>
              <w:jc w:val="right"/>
              <w:textAlignment w:val="bottom"/>
            </w:pPr>
            <w:r>
              <w:rPr>
                <w:rFonts w:ascii="Arial" w:eastAsia="宋体" w:hAnsi="Arial" w:cs="Arial"/>
                <w:color w:val="000000"/>
                <w:sz w:val="18"/>
                <w:szCs w:val="18"/>
              </w:rPr>
              <w:t>15,304 </w:t>
            </w:r>
          </w:p>
        </w:tc>
        <w:tc>
          <w:tcPr>
            <w:tcW w:w="0" w:type="auto"/>
            <w:tcBorders>
              <w:top w:val="single" w:sz="8" w:space="0" w:color="000000"/>
            </w:tcBorders>
            <w:shd w:val="clear" w:color="auto" w:fill="E2E2E2"/>
            <w:tcMar>
              <w:top w:w="40" w:type="dxa"/>
              <w:bottom w:w="40" w:type="dxa"/>
              <w:right w:w="20" w:type="dxa"/>
            </w:tcMar>
            <w:vAlign w:val="bottom"/>
          </w:tcPr>
          <w:p w14:paraId="64A8849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97" w14:textId="77777777" w:rsidR="008D6614" w:rsidRDefault="008D6614">
            <w:pPr>
              <w:rPr>
                <w:rFonts w:ascii="宋体"/>
              </w:rPr>
            </w:pPr>
          </w:p>
        </w:tc>
        <w:tc>
          <w:tcPr>
            <w:tcW w:w="0" w:type="auto"/>
            <w:shd w:val="clear" w:color="auto" w:fill="auto"/>
            <w:vAlign w:val="center"/>
          </w:tcPr>
          <w:p w14:paraId="64A88498" w14:textId="77777777" w:rsidR="008D6614" w:rsidRDefault="008D6614">
            <w:pPr>
              <w:rPr>
                <w:rFonts w:ascii="宋体"/>
              </w:rPr>
            </w:pPr>
          </w:p>
        </w:tc>
        <w:tc>
          <w:tcPr>
            <w:tcW w:w="0" w:type="auto"/>
            <w:shd w:val="clear" w:color="auto" w:fill="auto"/>
            <w:vAlign w:val="center"/>
          </w:tcPr>
          <w:p w14:paraId="64A88499" w14:textId="77777777" w:rsidR="008D6614" w:rsidRDefault="008D6614">
            <w:pPr>
              <w:rPr>
                <w:rFonts w:ascii="宋体"/>
              </w:rPr>
            </w:pPr>
          </w:p>
        </w:tc>
        <w:tc>
          <w:tcPr>
            <w:tcW w:w="0" w:type="auto"/>
            <w:shd w:val="clear" w:color="auto" w:fill="auto"/>
            <w:vAlign w:val="center"/>
          </w:tcPr>
          <w:p w14:paraId="64A8849A" w14:textId="77777777" w:rsidR="008D6614" w:rsidRDefault="008D6614">
            <w:pPr>
              <w:rPr>
                <w:rFonts w:ascii="宋体"/>
              </w:rPr>
            </w:pPr>
          </w:p>
        </w:tc>
        <w:tc>
          <w:tcPr>
            <w:tcW w:w="0" w:type="auto"/>
            <w:shd w:val="clear" w:color="auto" w:fill="auto"/>
            <w:vAlign w:val="center"/>
          </w:tcPr>
          <w:p w14:paraId="64A8849B" w14:textId="77777777" w:rsidR="008D6614" w:rsidRDefault="008D6614">
            <w:pPr>
              <w:rPr>
                <w:rFonts w:ascii="宋体"/>
              </w:rPr>
            </w:pPr>
          </w:p>
        </w:tc>
        <w:tc>
          <w:tcPr>
            <w:tcW w:w="0" w:type="auto"/>
            <w:shd w:val="clear" w:color="auto" w:fill="auto"/>
            <w:vAlign w:val="center"/>
          </w:tcPr>
          <w:p w14:paraId="64A8849C" w14:textId="77777777" w:rsidR="008D6614" w:rsidRDefault="008D6614">
            <w:pPr>
              <w:rPr>
                <w:rFonts w:ascii="宋体"/>
              </w:rPr>
            </w:pPr>
          </w:p>
        </w:tc>
      </w:tr>
      <w:tr w:rsidR="008D6614" w14:paraId="64A884A8" w14:textId="77777777">
        <w:trPr>
          <w:jc w:val="center"/>
        </w:trPr>
        <w:tc>
          <w:tcPr>
            <w:tcW w:w="0" w:type="auto"/>
            <w:gridSpan w:val="3"/>
            <w:shd w:val="clear" w:color="auto" w:fill="auto"/>
            <w:tcMar>
              <w:top w:w="40" w:type="dxa"/>
              <w:left w:w="20" w:type="dxa"/>
              <w:bottom w:w="40" w:type="dxa"/>
              <w:right w:w="20" w:type="dxa"/>
            </w:tcMar>
            <w:vAlign w:val="bottom"/>
          </w:tcPr>
          <w:p w14:paraId="64A8849E" w14:textId="77777777" w:rsidR="008D6614" w:rsidRDefault="00866AF2">
            <w:pPr>
              <w:textAlignment w:val="bottom"/>
            </w:pPr>
            <w:r>
              <w:rPr>
                <w:rFonts w:ascii="Arial" w:eastAsia="宋体" w:hAnsi="Arial" w:cs="Arial"/>
                <w:color w:val="000000"/>
                <w:sz w:val="18"/>
                <w:szCs w:val="18"/>
              </w:rPr>
              <w:t>Commitments and contingencies (Note 12)</w:t>
            </w:r>
          </w:p>
        </w:tc>
        <w:tc>
          <w:tcPr>
            <w:tcW w:w="0" w:type="auto"/>
            <w:gridSpan w:val="3"/>
            <w:shd w:val="clear" w:color="auto" w:fill="FFFFFF"/>
            <w:tcMar>
              <w:left w:w="20" w:type="dxa"/>
              <w:right w:w="20" w:type="dxa"/>
            </w:tcMar>
            <w:vAlign w:val="bottom"/>
          </w:tcPr>
          <w:p w14:paraId="64A8849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4A0"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4A1" w14:textId="77777777" w:rsidR="008D6614" w:rsidRDefault="008D6614">
            <w:pPr>
              <w:rPr>
                <w:rFonts w:ascii="宋体"/>
              </w:rPr>
            </w:pPr>
          </w:p>
        </w:tc>
        <w:tc>
          <w:tcPr>
            <w:tcW w:w="0" w:type="auto"/>
            <w:shd w:val="clear" w:color="auto" w:fill="auto"/>
            <w:vAlign w:val="center"/>
          </w:tcPr>
          <w:p w14:paraId="64A884A2" w14:textId="77777777" w:rsidR="008D6614" w:rsidRDefault="008D6614">
            <w:pPr>
              <w:rPr>
                <w:rFonts w:ascii="宋体"/>
              </w:rPr>
            </w:pPr>
          </w:p>
        </w:tc>
        <w:tc>
          <w:tcPr>
            <w:tcW w:w="0" w:type="auto"/>
            <w:shd w:val="clear" w:color="auto" w:fill="auto"/>
            <w:vAlign w:val="center"/>
          </w:tcPr>
          <w:p w14:paraId="64A884A3" w14:textId="77777777" w:rsidR="008D6614" w:rsidRDefault="008D6614">
            <w:pPr>
              <w:rPr>
                <w:rFonts w:ascii="宋体"/>
              </w:rPr>
            </w:pPr>
          </w:p>
        </w:tc>
        <w:tc>
          <w:tcPr>
            <w:tcW w:w="0" w:type="auto"/>
            <w:shd w:val="clear" w:color="auto" w:fill="auto"/>
            <w:vAlign w:val="center"/>
          </w:tcPr>
          <w:p w14:paraId="64A884A4" w14:textId="77777777" w:rsidR="008D6614" w:rsidRDefault="008D6614">
            <w:pPr>
              <w:rPr>
                <w:rFonts w:ascii="宋体"/>
              </w:rPr>
            </w:pPr>
          </w:p>
        </w:tc>
        <w:tc>
          <w:tcPr>
            <w:tcW w:w="0" w:type="auto"/>
            <w:shd w:val="clear" w:color="auto" w:fill="auto"/>
            <w:vAlign w:val="center"/>
          </w:tcPr>
          <w:p w14:paraId="64A884A5" w14:textId="77777777" w:rsidR="008D6614" w:rsidRDefault="008D6614">
            <w:pPr>
              <w:rPr>
                <w:rFonts w:ascii="宋体"/>
              </w:rPr>
            </w:pPr>
          </w:p>
        </w:tc>
        <w:tc>
          <w:tcPr>
            <w:tcW w:w="0" w:type="auto"/>
            <w:shd w:val="clear" w:color="auto" w:fill="auto"/>
            <w:vAlign w:val="center"/>
          </w:tcPr>
          <w:p w14:paraId="64A884A6" w14:textId="77777777" w:rsidR="008D6614" w:rsidRDefault="008D6614">
            <w:pPr>
              <w:rPr>
                <w:rFonts w:ascii="宋体"/>
              </w:rPr>
            </w:pPr>
          </w:p>
        </w:tc>
        <w:tc>
          <w:tcPr>
            <w:tcW w:w="0" w:type="auto"/>
            <w:shd w:val="clear" w:color="auto" w:fill="auto"/>
            <w:vAlign w:val="center"/>
          </w:tcPr>
          <w:p w14:paraId="64A884A7" w14:textId="77777777" w:rsidR="008D6614" w:rsidRDefault="008D6614">
            <w:pPr>
              <w:rPr>
                <w:rFonts w:ascii="宋体"/>
              </w:rPr>
            </w:pPr>
          </w:p>
        </w:tc>
      </w:tr>
      <w:tr w:rsidR="008D6614" w14:paraId="64A884B3" w14:textId="77777777">
        <w:trPr>
          <w:jc w:val="center"/>
        </w:trPr>
        <w:tc>
          <w:tcPr>
            <w:tcW w:w="0" w:type="auto"/>
            <w:gridSpan w:val="3"/>
            <w:shd w:val="clear" w:color="auto" w:fill="E2E2E2"/>
            <w:tcMar>
              <w:top w:w="40" w:type="dxa"/>
              <w:left w:w="20" w:type="dxa"/>
              <w:bottom w:w="40" w:type="dxa"/>
              <w:right w:w="20" w:type="dxa"/>
            </w:tcMar>
            <w:vAlign w:val="bottom"/>
          </w:tcPr>
          <w:p w14:paraId="64A884A9" w14:textId="77777777" w:rsidR="008D6614" w:rsidRDefault="00866AF2">
            <w:pPr>
              <w:textAlignment w:val="bottom"/>
            </w:pPr>
            <w:r>
              <w:rPr>
                <w:rFonts w:ascii="Arial" w:eastAsia="宋体" w:hAnsi="Arial" w:cs="Arial"/>
                <w:color w:val="000000"/>
                <w:sz w:val="18"/>
                <w:szCs w:val="18"/>
              </w:rPr>
              <w:t>Stockholders’ equity:</w:t>
            </w:r>
          </w:p>
        </w:tc>
        <w:tc>
          <w:tcPr>
            <w:tcW w:w="0" w:type="auto"/>
            <w:gridSpan w:val="3"/>
            <w:shd w:val="clear" w:color="auto" w:fill="E2E2E2"/>
            <w:tcMar>
              <w:left w:w="20" w:type="dxa"/>
              <w:right w:w="20" w:type="dxa"/>
            </w:tcMar>
            <w:vAlign w:val="bottom"/>
          </w:tcPr>
          <w:p w14:paraId="64A884AA"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84AB"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84AC" w14:textId="77777777" w:rsidR="008D6614" w:rsidRDefault="008D6614">
            <w:pPr>
              <w:rPr>
                <w:rFonts w:ascii="宋体"/>
              </w:rPr>
            </w:pPr>
          </w:p>
        </w:tc>
        <w:tc>
          <w:tcPr>
            <w:tcW w:w="0" w:type="auto"/>
            <w:shd w:val="clear" w:color="auto" w:fill="auto"/>
            <w:vAlign w:val="center"/>
          </w:tcPr>
          <w:p w14:paraId="64A884AD" w14:textId="77777777" w:rsidR="008D6614" w:rsidRDefault="008D6614">
            <w:pPr>
              <w:rPr>
                <w:rFonts w:ascii="宋体"/>
              </w:rPr>
            </w:pPr>
          </w:p>
        </w:tc>
        <w:tc>
          <w:tcPr>
            <w:tcW w:w="0" w:type="auto"/>
            <w:shd w:val="clear" w:color="auto" w:fill="auto"/>
            <w:vAlign w:val="center"/>
          </w:tcPr>
          <w:p w14:paraId="64A884AE" w14:textId="77777777" w:rsidR="008D6614" w:rsidRDefault="008D6614">
            <w:pPr>
              <w:rPr>
                <w:rFonts w:ascii="宋体"/>
              </w:rPr>
            </w:pPr>
          </w:p>
        </w:tc>
        <w:tc>
          <w:tcPr>
            <w:tcW w:w="0" w:type="auto"/>
            <w:shd w:val="clear" w:color="auto" w:fill="auto"/>
            <w:vAlign w:val="center"/>
          </w:tcPr>
          <w:p w14:paraId="64A884AF" w14:textId="77777777" w:rsidR="008D6614" w:rsidRDefault="008D6614">
            <w:pPr>
              <w:rPr>
                <w:rFonts w:ascii="宋体"/>
              </w:rPr>
            </w:pPr>
          </w:p>
        </w:tc>
        <w:tc>
          <w:tcPr>
            <w:tcW w:w="0" w:type="auto"/>
            <w:shd w:val="clear" w:color="auto" w:fill="auto"/>
            <w:vAlign w:val="center"/>
          </w:tcPr>
          <w:p w14:paraId="64A884B0" w14:textId="77777777" w:rsidR="008D6614" w:rsidRDefault="008D6614">
            <w:pPr>
              <w:rPr>
                <w:rFonts w:ascii="宋体"/>
              </w:rPr>
            </w:pPr>
          </w:p>
        </w:tc>
        <w:tc>
          <w:tcPr>
            <w:tcW w:w="0" w:type="auto"/>
            <w:shd w:val="clear" w:color="auto" w:fill="auto"/>
            <w:vAlign w:val="center"/>
          </w:tcPr>
          <w:p w14:paraId="64A884B1" w14:textId="77777777" w:rsidR="008D6614" w:rsidRDefault="008D6614">
            <w:pPr>
              <w:rPr>
                <w:rFonts w:ascii="宋体"/>
              </w:rPr>
            </w:pPr>
          </w:p>
        </w:tc>
        <w:tc>
          <w:tcPr>
            <w:tcW w:w="0" w:type="auto"/>
            <w:shd w:val="clear" w:color="auto" w:fill="auto"/>
            <w:vAlign w:val="center"/>
          </w:tcPr>
          <w:p w14:paraId="64A884B2" w14:textId="77777777" w:rsidR="008D6614" w:rsidRDefault="008D6614">
            <w:pPr>
              <w:rPr>
                <w:rFonts w:ascii="宋体"/>
              </w:rPr>
            </w:pPr>
          </w:p>
        </w:tc>
      </w:tr>
      <w:tr w:rsidR="008D6614" w14:paraId="64A884C0" w14:textId="77777777">
        <w:trPr>
          <w:jc w:val="center"/>
        </w:trPr>
        <w:tc>
          <w:tcPr>
            <w:tcW w:w="0" w:type="auto"/>
            <w:gridSpan w:val="3"/>
            <w:shd w:val="clear" w:color="auto" w:fill="FFFFFF"/>
            <w:tcMar>
              <w:top w:w="40" w:type="dxa"/>
              <w:left w:w="20" w:type="dxa"/>
              <w:bottom w:w="40" w:type="dxa"/>
              <w:right w:w="20" w:type="dxa"/>
            </w:tcMar>
            <w:vAlign w:val="bottom"/>
          </w:tcPr>
          <w:p w14:paraId="64A884B4" w14:textId="77777777" w:rsidR="008D6614" w:rsidRDefault="00866AF2">
            <w:pPr>
              <w:textAlignment w:val="bottom"/>
            </w:pPr>
            <w:r>
              <w:rPr>
                <w:rFonts w:ascii="Arial" w:eastAsia="宋体" w:hAnsi="Arial" w:cs="Arial"/>
                <w:color w:val="000000"/>
                <w:sz w:val="18"/>
                <w:szCs w:val="18"/>
              </w:rPr>
              <w:t>Common stock, $0.001 par value; 3,580 shares authorized; 701 and 796 shares outstanding</w:t>
            </w:r>
          </w:p>
        </w:tc>
        <w:tc>
          <w:tcPr>
            <w:tcW w:w="0" w:type="auto"/>
            <w:gridSpan w:val="2"/>
            <w:shd w:val="clear" w:color="auto" w:fill="FFFFFF"/>
            <w:tcMar>
              <w:top w:w="40" w:type="dxa"/>
              <w:left w:w="20" w:type="dxa"/>
              <w:bottom w:w="40" w:type="dxa"/>
              <w:right w:w="0" w:type="dxa"/>
            </w:tcMar>
            <w:vAlign w:val="bottom"/>
          </w:tcPr>
          <w:p w14:paraId="64A884B5"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84B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4B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4B8"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84B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BA" w14:textId="77777777" w:rsidR="008D6614" w:rsidRDefault="008D6614">
            <w:pPr>
              <w:rPr>
                <w:rFonts w:ascii="宋体"/>
              </w:rPr>
            </w:pPr>
          </w:p>
        </w:tc>
        <w:tc>
          <w:tcPr>
            <w:tcW w:w="0" w:type="auto"/>
            <w:shd w:val="clear" w:color="auto" w:fill="auto"/>
            <w:vAlign w:val="center"/>
          </w:tcPr>
          <w:p w14:paraId="64A884BB" w14:textId="77777777" w:rsidR="008D6614" w:rsidRDefault="008D6614">
            <w:pPr>
              <w:rPr>
                <w:rFonts w:ascii="宋体"/>
              </w:rPr>
            </w:pPr>
          </w:p>
        </w:tc>
        <w:tc>
          <w:tcPr>
            <w:tcW w:w="0" w:type="auto"/>
            <w:shd w:val="clear" w:color="auto" w:fill="auto"/>
            <w:vAlign w:val="center"/>
          </w:tcPr>
          <w:p w14:paraId="64A884BC" w14:textId="77777777" w:rsidR="008D6614" w:rsidRDefault="008D6614">
            <w:pPr>
              <w:rPr>
                <w:rFonts w:ascii="宋体"/>
              </w:rPr>
            </w:pPr>
          </w:p>
        </w:tc>
        <w:tc>
          <w:tcPr>
            <w:tcW w:w="0" w:type="auto"/>
            <w:shd w:val="clear" w:color="auto" w:fill="auto"/>
            <w:vAlign w:val="center"/>
          </w:tcPr>
          <w:p w14:paraId="64A884BD" w14:textId="77777777" w:rsidR="008D6614" w:rsidRDefault="008D6614">
            <w:pPr>
              <w:rPr>
                <w:rFonts w:ascii="宋体"/>
              </w:rPr>
            </w:pPr>
          </w:p>
        </w:tc>
        <w:tc>
          <w:tcPr>
            <w:tcW w:w="0" w:type="auto"/>
            <w:shd w:val="clear" w:color="auto" w:fill="auto"/>
            <w:vAlign w:val="center"/>
          </w:tcPr>
          <w:p w14:paraId="64A884BE" w14:textId="77777777" w:rsidR="008D6614" w:rsidRDefault="008D6614">
            <w:pPr>
              <w:rPr>
                <w:rFonts w:ascii="宋体"/>
              </w:rPr>
            </w:pPr>
          </w:p>
        </w:tc>
        <w:tc>
          <w:tcPr>
            <w:tcW w:w="0" w:type="auto"/>
            <w:shd w:val="clear" w:color="auto" w:fill="auto"/>
            <w:vAlign w:val="center"/>
          </w:tcPr>
          <w:p w14:paraId="64A884BF" w14:textId="77777777" w:rsidR="008D6614" w:rsidRDefault="008D6614">
            <w:pPr>
              <w:rPr>
                <w:rFonts w:ascii="宋体"/>
              </w:rPr>
            </w:pPr>
          </w:p>
        </w:tc>
      </w:tr>
      <w:tr w:rsidR="008D6614" w14:paraId="64A884CD" w14:textId="77777777">
        <w:trPr>
          <w:jc w:val="center"/>
        </w:trPr>
        <w:tc>
          <w:tcPr>
            <w:tcW w:w="0" w:type="auto"/>
            <w:gridSpan w:val="3"/>
            <w:shd w:val="clear" w:color="auto" w:fill="E2E2E2"/>
            <w:tcMar>
              <w:top w:w="40" w:type="dxa"/>
              <w:left w:w="20" w:type="dxa"/>
              <w:bottom w:w="40" w:type="dxa"/>
              <w:right w:w="20" w:type="dxa"/>
            </w:tcMar>
            <w:vAlign w:val="bottom"/>
          </w:tcPr>
          <w:p w14:paraId="64A884C1" w14:textId="77777777" w:rsidR="008D6614" w:rsidRDefault="00866AF2">
            <w:pPr>
              <w:textAlignment w:val="bottom"/>
            </w:pPr>
            <w:r>
              <w:rPr>
                <w:rFonts w:ascii="Arial" w:eastAsia="宋体" w:hAnsi="Arial" w:cs="Arial"/>
                <w:color w:val="000000"/>
                <w:sz w:val="18"/>
                <w:szCs w:val="18"/>
              </w:rPr>
              <w:t xml:space="preserve">Additional </w:t>
            </w:r>
            <w:r>
              <w:rPr>
                <w:rFonts w:ascii="Arial" w:eastAsia="宋体" w:hAnsi="Arial" w:cs="Arial"/>
                <w:color w:val="000000"/>
                <w:sz w:val="18"/>
                <w:szCs w:val="18"/>
              </w:rPr>
              <w:t>paid-in capital</w:t>
            </w:r>
          </w:p>
        </w:tc>
        <w:tc>
          <w:tcPr>
            <w:tcW w:w="0" w:type="auto"/>
            <w:gridSpan w:val="2"/>
            <w:shd w:val="clear" w:color="auto" w:fill="E2E2E2"/>
            <w:tcMar>
              <w:top w:w="40" w:type="dxa"/>
              <w:left w:w="20" w:type="dxa"/>
              <w:bottom w:w="40" w:type="dxa"/>
              <w:right w:w="0" w:type="dxa"/>
            </w:tcMar>
            <w:vAlign w:val="bottom"/>
          </w:tcPr>
          <w:p w14:paraId="64A884C2" w14:textId="77777777" w:rsidR="008D6614" w:rsidRDefault="00866AF2">
            <w:pPr>
              <w:jc w:val="right"/>
              <w:textAlignment w:val="bottom"/>
            </w:pPr>
            <w:r>
              <w:rPr>
                <w:rFonts w:ascii="Arial" w:eastAsia="宋体" w:hAnsi="Arial" w:cs="Arial"/>
                <w:color w:val="000000"/>
                <w:sz w:val="18"/>
                <w:szCs w:val="18"/>
              </w:rPr>
              <w:t>15,723 </w:t>
            </w:r>
          </w:p>
        </w:tc>
        <w:tc>
          <w:tcPr>
            <w:tcW w:w="0" w:type="auto"/>
            <w:shd w:val="clear" w:color="auto" w:fill="E2E2E2"/>
            <w:tcMar>
              <w:top w:w="40" w:type="dxa"/>
              <w:bottom w:w="40" w:type="dxa"/>
              <w:right w:w="20" w:type="dxa"/>
            </w:tcMar>
            <w:vAlign w:val="bottom"/>
          </w:tcPr>
          <w:p w14:paraId="64A884C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4C4"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4C5" w14:textId="77777777" w:rsidR="008D6614" w:rsidRDefault="00866AF2">
            <w:pPr>
              <w:jc w:val="right"/>
              <w:textAlignment w:val="bottom"/>
            </w:pPr>
            <w:r>
              <w:rPr>
                <w:rFonts w:ascii="Arial" w:eastAsia="宋体" w:hAnsi="Arial" w:cs="Arial"/>
                <w:color w:val="000000"/>
                <w:sz w:val="18"/>
                <w:szCs w:val="18"/>
              </w:rPr>
              <w:t>16,126 </w:t>
            </w:r>
          </w:p>
        </w:tc>
        <w:tc>
          <w:tcPr>
            <w:tcW w:w="0" w:type="auto"/>
            <w:shd w:val="clear" w:color="auto" w:fill="E2E2E2"/>
            <w:tcMar>
              <w:top w:w="40" w:type="dxa"/>
              <w:bottom w:w="40" w:type="dxa"/>
              <w:right w:w="20" w:type="dxa"/>
            </w:tcMar>
            <w:vAlign w:val="bottom"/>
          </w:tcPr>
          <w:p w14:paraId="64A884C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C7" w14:textId="77777777" w:rsidR="008D6614" w:rsidRDefault="008D6614">
            <w:pPr>
              <w:rPr>
                <w:rFonts w:ascii="宋体"/>
              </w:rPr>
            </w:pPr>
          </w:p>
        </w:tc>
        <w:tc>
          <w:tcPr>
            <w:tcW w:w="0" w:type="auto"/>
            <w:shd w:val="clear" w:color="auto" w:fill="auto"/>
            <w:vAlign w:val="center"/>
          </w:tcPr>
          <w:p w14:paraId="64A884C8" w14:textId="77777777" w:rsidR="008D6614" w:rsidRDefault="008D6614">
            <w:pPr>
              <w:rPr>
                <w:rFonts w:ascii="宋体"/>
              </w:rPr>
            </w:pPr>
          </w:p>
        </w:tc>
        <w:tc>
          <w:tcPr>
            <w:tcW w:w="0" w:type="auto"/>
            <w:shd w:val="clear" w:color="auto" w:fill="auto"/>
            <w:vAlign w:val="center"/>
          </w:tcPr>
          <w:p w14:paraId="64A884C9" w14:textId="77777777" w:rsidR="008D6614" w:rsidRDefault="008D6614">
            <w:pPr>
              <w:rPr>
                <w:rFonts w:ascii="宋体"/>
              </w:rPr>
            </w:pPr>
          </w:p>
        </w:tc>
        <w:tc>
          <w:tcPr>
            <w:tcW w:w="0" w:type="auto"/>
            <w:shd w:val="clear" w:color="auto" w:fill="auto"/>
            <w:vAlign w:val="center"/>
          </w:tcPr>
          <w:p w14:paraId="64A884CA" w14:textId="77777777" w:rsidR="008D6614" w:rsidRDefault="008D6614">
            <w:pPr>
              <w:rPr>
                <w:rFonts w:ascii="宋体"/>
              </w:rPr>
            </w:pPr>
          </w:p>
        </w:tc>
        <w:tc>
          <w:tcPr>
            <w:tcW w:w="0" w:type="auto"/>
            <w:shd w:val="clear" w:color="auto" w:fill="auto"/>
            <w:vAlign w:val="center"/>
          </w:tcPr>
          <w:p w14:paraId="64A884CB" w14:textId="77777777" w:rsidR="008D6614" w:rsidRDefault="008D6614">
            <w:pPr>
              <w:rPr>
                <w:rFonts w:ascii="宋体"/>
              </w:rPr>
            </w:pPr>
          </w:p>
        </w:tc>
        <w:tc>
          <w:tcPr>
            <w:tcW w:w="0" w:type="auto"/>
            <w:shd w:val="clear" w:color="auto" w:fill="auto"/>
            <w:vAlign w:val="center"/>
          </w:tcPr>
          <w:p w14:paraId="64A884CC" w14:textId="77777777" w:rsidR="008D6614" w:rsidRDefault="008D6614">
            <w:pPr>
              <w:rPr>
                <w:rFonts w:ascii="宋体"/>
              </w:rPr>
            </w:pPr>
          </w:p>
        </w:tc>
      </w:tr>
      <w:tr w:rsidR="008D6614" w14:paraId="64A884DA" w14:textId="77777777">
        <w:trPr>
          <w:jc w:val="center"/>
        </w:trPr>
        <w:tc>
          <w:tcPr>
            <w:tcW w:w="0" w:type="auto"/>
            <w:gridSpan w:val="3"/>
            <w:shd w:val="clear" w:color="auto" w:fill="FFFFFF"/>
            <w:tcMar>
              <w:top w:w="40" w:type="dxa"/>
              <w:left w:w="20" w:type="dxa"/>
              <w:bottom w:w="40" w:type="dxa"/>
              <w:right w:w="20" w:type="dxa"/>
            </w:tcMar>
            <w:vAlign w:val="bottom"/>
          </w:tcPr>
          <w:p w14:paraId="64A884CE" w14:textId="77777777" w:rsidR="008D6614" w:rsidRDefault="00866AF2">
            <w:pPr>
              <w:textAlignment w:val="bottom"/>
            </w:pPr>
            <w:r>
              <w:rPr>
                <w:rFonts w:ascii="Arial" w:eastAsia="宋体" w:hAnsi="Arial" w:cs="Arial"/>
                <w:color w:val="000000"/>
                <w:sz w:val="18"/>
                <w:szCs w:val="18"/>
              </w:rPr>
              <w:t>Treasury stock at cost, 995 and 897 shares</w:t>
            </w:r>
          </w:p>
        </w:tc>
        <w:tc>
          <w:tcPr>
            <w:tcW w:w="0" w:type="auto"/>
            <w:gridSpan w:val="2"/>
            <w:shd w:val="clear" w:color="auto" w:fill="FFFFFF"/>
            <w:tcMar>
              <w:top w:w="40" w:type="dxa"/>
              <w:left w:w="20" w:type="dxa"/>
              <w:bottom w:w="40" w:type="dxa"/>
              <w:right w:w="0" w:type="dxa"/>
            </w:tcMar>
            <w:vAlign w:val="bottom"/>
          </w:tcPr>
          <w:p w14:paraId="64A884CF" w14:textId="77777777" w:rsidR="008D6614" w:rsidRDefault="00866AF2">
            <w:pPr>
              <w:jc w:val="right"/>
              <w:textAlignment w:val="bottom"/>
            </w:pPr>
            <w:r>
              <w:rPr>
                <w:rFonts w:ascii="Arial" w:eastAsia="宋体" w:hAnsi="Arial" w:cs="Arial"/>
                <w:color w:val="000000"/>
                <w:sz w:val="18"/>
                <w:szCs w:val="18"/>
              </w:rPr>
              <w:t>(34,946)</w:t>
            </w:r>
          </w:p>
        </w:tc>
        <w:tc>
          <w:tcPr>
            <w:tcW w:w="0" w:type="auto"/>
            <w:shd w:val="clear" w:color="auto" w:fill="FFFFFF"/>
            <w:tcMar>
              <w:top w:w="40" w:type="dxa"/>
              <w:bottom w:w="40" w:type="dxa"/>
              <w:right w:w="20" w:type="dxa"/>
            </w:tcMar>
            <w:vAlign w:val="bottom"/>
          </w:tcPr>
          <w:p w14:paraId="64A884D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4D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4D2" w14:textId="77777777" w:rsidR="008D6614" w:rsidRDefault="00866AF2">
            <w:pPr>
              <w:jc w:val="right"/>
              <w:textAlignment w:val="bottom"/>
            </w:pPr>
            <w:r>
              <w:rPr>
                <w:rFonts w:ascii="Arial" w:eastAsia="宋体" w:hAnsi="Arial" w:cs="Arial"/>
                <w:color w:val="000000"/>
                <w:sz w:val="18"/>
                <w:szCs w:val="18"/>
              </w:rPr>
              <w:t>(31,396)</w:t>
            </w:r>
          </w:p>
        </w:tc>
        <w:tc>
          <w:tcPr>
            <w:tcW w:w="0" w:type="auto"/>
            <w:shd w:val="clear" w:color="auto" w:fill="FFFFFF"/>
            <w:tcMar>
              <w:top w:w="40" w:type="dxa"/>
              <w:bottom w:w="40" w:type="dxa"/>
              <w:right w:w="20" w:type="dxa"/>
            </w:tcMar>
            <w:vAlign w:val="bottom"/>
          </w:tcPr>
          <w:p w14:paraId="64A884D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D4" w14:textId="77777777" w:rsidR="008D6614" w:rsidRDefault="008D6614">
            <w:pPr>
              <w:rPr>
                <w:rFonts w:ascii="宋体"/>
              </w:rPr>
            </w:pPr>
          </w:p>
        </w:tc>
        <w:tc>
          <w:tcPr>
            <w:tcW w:w="0" w:type="auto"/>
            <w:shd w:val="clear" w:color="auto" w:fill="auto"/>
            <w:vAlign w:val="center"/>
          </w:tcPr>
          <w:p w14:paraId="64A884D5" w14:textId="77777777" w:rsidR="008D6614" w:rsidRDefault="008D6614">
            <w:pPr>
              <w:rPr>
                <w:rFonts w:ascii="宋体"/>
              </w:rPr>
            </w:pPr>
          </w:p>
        </w:tc>
        <w:tc>
          <w:tcPr>
            <w:tcW w:w="0" w:type="auto"/>
            <w:shd w:val="clear" w:color="auto" w:fill="auto"/>
            <w:vAlign w:val="center"/>
          </w:tcPr>
          <w:p w14:paraId="64A884D6" w14:textId="77777777" w:rsidR="008D6614" w:rsidRDefault="008D6614">
            <w:pPr>
              <w:rPr>
                <w:rFonts w:ascii="宋体"/>
              </w:rPr>
            </w:pPr>
          </w:p>
        </w:tc>
        <w:tc>
          <w:tcPr>
            <w:tcW w:w="0" w:type="auto"/>
            <w:shd w:val="clear" w:color="auto" w:fill="auto"/>
            <w:vAlign w:val="center"/>
          </w:tcPr>
          <w:p w14:paraId="64A884D7" w14:textId="77777777" w:rsidR="008D6614" w:rsidRDefault="008D6614">
            <w:pPr>
              <w:rPr>
                <w:rFonts w:ascii="宋体"/>
              </w:rPr>
            </w:pPr>
          </w:p>
        </w:tc>
        <w:tc>
          <w:tcPr>
            <w:tcW w:w="0" w:type="auto"/>
            <w:shd w:val="clear" w:color="auto" w:fill="auto"/>
            <w:vAlign w:val="center"/>
          </w:tcPr>
          <w:p w14:paraId="64A884D8" w14:textId="77777777" w:rsidR="008D6614" w:rsidRDefault="008D6614">
            <w:pPr>
              <w:rPr>
                <w:rFonts w:ascii="宋体"/>
              </w:rPr>
            </w:pPr>
          </w:p>
        </w:tc>
        <w:tc>
          <w:tcPr>
            <w:tcW w:w="0" w:type="auto"/>
            <w:shd w:val="clear" w:color="auto" w:fill="auto"/>
            <w:vAlign w:val="center"/>
          </w:tcPr>
          <w:p w14:paraId="64A884D9" w14:textId="77777777" w:rsidR="008D6614" w:rsidRDefault="008D6614">
            <w:pPr>
              <w:rPr>
                <w:rFonts w:ascii="宋体"/>
              </w:rPr>
            </w:pPr>
          </w:p>
        </w:tc>
      </w:tr>
      <w:tr w:rsidR="008D6614" w14:paraId="64A884E7" w14:textId="77777777">
        <w:trPr>
          <w:jc w:val="center"/>
        </w:trPr>
        <w:tc>
          <w:tcPr>
            <w:tcW w:w="0" w:type="auto"/>
            <w:gridSpan w:val="3"/>
            <w:shd w:val="clear" w:color="auto" w:fill="E2E2E2"/>
            <w:tcMar>
              <w:top w:w="40" w:type="dxa"/>
              <w:left w:w="20" w:type="dxa"/>
              <w:bottom w:w="40" w:type="dxa"/>
              <w:right w:w="20" w:type="dxa"/>
            </w:tcMar>
            <w:vAlign w:val="bottom"/>
          </w:tcPr>
          <w:p w14:paraId="64A884DB" w14:textId="77777777" w:rsidR="008D6614" w:rsidRDefault="00866AF2">
            <w:pPr>
              <w:textAlignment w:val="bottom"/>
            </w:pPr>
            <w:r>
              <w:rPr>
                <w:rFonts w:ascii="Arial" w:eastAsia="宋体" w:hAnsi="Arial" w:cs="Arial"/>
                <w:color w:val="000000"/>
                <w:sz w:val="18"/>
                <w:szCs w:val="18"/>
              </w:rPr>
              <w:t>Retained earnings</w:t>
            </w:r>
          </w:p>
        </w:tc>
        <w:tc>
          <w:tcPr>
            <w:tcW w:w="0" w:type="auto"/>
            <w:gridSpan w:val="2"/>
            <w:shd w:val="clear" w:color="auto" w:fill="E2E2E2"/>
            <w:tcMar>
              <w:top w:w="40" w:type="dxa"/>
              <w:left w:w="20" w:type="dxa"/>
              <w:bottom w:w="40" w:type="dxa"/>
              <w:right w:w="0" w:type="dxa"/>
            </w:tcMar>
            <w:vAlign w:val="bottom"/>
          </w:tcPr>
          <w:p w14:paraId="64A884DC" w14:textId="77777777" w:rsidR="008D6614" w:rsidRDefault="00866AF2">
            <w:pPr>
              <w:jc w:val="right"/>
              <w:textAlignment w:val="bottom"/>
            </w:pPr>
            <w:r>
              <w:rPr>
                <w:rFonts w:ascii="Arial" w:eastAsia="宋体" w:hAnsi="Arial" w:cs="Arial"/>
                <w:color w:val="000000"/>
                <w:sz w:val="18"/>
                <w:szCs w:val="18"/>
              </w:rPr>
              <w:t>21,051 </w:t>
            </w:r>
          </w:p>
        </w:tc>
        <w:tc>
          <w:tcPr>
            <w:tcW w:w="0" w:type="auto"/>
            <w:shd w:val="clear" w:color="auto" w:fill="E2E2E2"/>
            <w:tcMar>
              <w:top w:w="40" w:type="dxa"/>
              <w:bottom w:w="40" w:type="dxa"/>
              <w:right w:w="20" w:type="dxa"/>
            </w:tcMar>
            <w:vAlign w:val="bottom"/>
          </w:tcPr>
          <w:p w14:paraId="64A884D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4DE"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4DF" w14:textId="77777777" w:rsidR="008D6614" w:rsidRDefault="00866AF2">
            <w:pPr>
              <w:jc w:val="right"/>
              <w:textAlignment w:val="bottom"/>
            </w:pPr>
            <w:r>
              <w:rPr>
                <w:rFonts w:ascii="Arial" w:eastAsia="宋体" w:hAnsi="Arial" w:cs="Arial"/>
                <w:color w:val="000000"/>
                <w:sz w:val="18"/>
                <w:szCs w:val="18"/>
              </w:rPr>
              <w:t>17,754 </w:t>
            </w:r>
          </w:p>
        </w:tc>
        <w:tc>
          <w:tcPr>
            <w:tcW w:w="0" w:type="auto"/>
            <w:shd w:val="clear" w:color="auto" w:fill="E2E2E2"/>
            <w:tcMar>
              <w:top w:w="40" w:type="dxa"/>
              <w:bottom w:w="40" w:type="dxa"/>
              <w:right w:w="20" w:type="dxa"/>
            </w:tcMar>
            <w:vAlign w:val="bottom"/>
          </w:tcPr>
          <w:p w14:paraId="64A884E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E1" w14:textId="77777777" w:rsidR="008D6614" w:rsidRDefault="008D6614">
            <w:pPr>
              <w:rPr>
                <w:rFonts w:ascii="宋体"/>
              </w:rPr>
            </w:pPr>
          </w:p>
        </w:tc>
        <w:tc>
          <w:tcPr>
            <w:tcW w:w="0" w:type="auto"/>
            <w:shd w:val="clear" w:color="auto" w:fill="auto"/>
            <w:vAlign w:val="center"/>
          </w:tcPr>
          <w:p w14:paraId="64A884E2" w14:textId="77777777" w:rsidR="008D6614" w:rsidRDefault="008D6614">
            <w:pPr>
              <w:rPr>
                <w:rFonts w:ascii="宋体"/>
              </w:rPr>
            </w:pPr>
          </w:p>
        </w:tc>
        <w:tc>
          <w:tcPr>
            <w:tcW w:w="0" w:type="auto"/>
            <w:shd w:val="clear" w:color="auto" w:fill="auto"/>
            <w:vAlign w:val="center"/>
          </w:tcPr>
          <w:p w14:paraId="64A884E3" w14:textId="77777777" w:rsidR="008D6614" w:rsidRDefault="008D6614">
            <w:pPr>
              <w:rPr>
                <w:rFonts w:ascii="宋体"/>
              </w:rPr>
            </w:pPr>
          </w:p>
        </w:tc>
        <w:tc>
          <w:tcPr>
            <w:tcW w:w="0" w:type="auto"/>
            <w:shd w:val="clear" w:color="auto" w:fill="auto"/>
            <w:vAlign w:val="center"/>
          </w:tcPr>
          <w:p w14:paraId="64A884E4" w14:textId="77777777" w:rsidR="008D6614" w:rsidRDefault="008D6614">
            <w:pPr>
              <w:rPr>
                <w:rFonts w:ascii="宋体"/>
              </w:rPr>
            </w:pPr>
          </w:p>
        </w:tc>
        <w:tc>
          <w:tcPr>
            <w:tcW w:w="0" w:type="auto"/>
            <w:shd w:val="clear" w:color="auto" w:fill="auto"/>
            <w:vAlign w:val="center"/>
          </w:tcPr>
          <w:p w14:paraId="64A884E5" w14:textId="77777777" w:rsidR="008D6614" w:rsidRDefault="008D6614">
            <w:pPr>
              <w:rPr>
                <w:rFonts w:ascii="宋体"/>
              </w:rPr>
            </w:pPr>
          </w:p>
        </w:tc>
        <w:tc>
          <w:tcPr>
            <w:tcW w:w="0" w:type="auto"/>
            <w:shd w:val="clear" w:color="auto" w:fill="auto"/>
            <w:vAlign w:val="center"/>
          </w:tcPr>
          <w:p w14:paraId="64A884E6" w14:textId="77777777" w:rsidR="008D6614" w:rsidRDefault="008D6614">
            <w:pPr>
              <w:rPr>
                <w:rFonts w:ascii="宋体"/>
              </w:rPr>
            </w:pPr>
          </w:p>
        </w:tc>
      </w:tr>
      <w:tr w:rsidR="008D6614" w14:paraId="64A884F4" w14:textId="77777777">
        <w:trPr>
          <w:jc w:val="center"/>
        </w:trPr>
        <w:tc>
          <w:tcPr>
            <w:tcW w:w="0" w:type="auto"/>
            <w:gridSpan w:val="3"/>
            <w:shd w:val="clear" w:color="auto" w:fill="FFFFFF"/>
            <w:tcMar>
              <w:top w:w="40" w:type="dxa"/>
              <w:left w:w="20" w:type="dxa"/>
              <w:bottom w:w="40" w:type="dxa"/>
              <w:right w:w="20" w:type="dxa"/>
            </w:tcMar>
            <w:vAlign w:val="bottom"/>
          </w:tcPr>
          <w:p w14:paraId="64A884E8" w14:textId="77777777" w:rsidR="008D6614" w:rsidRDefault="00866AF2">
            <w:pPr>
              <w:textAlignment w:val="bottom"/>
            </w:pPr>
            <w:r>
              <w:rPr>
                <w:rFonts w:ascii="Arial" w:eastAsia="宋体" w:hAnsi="Arial" w:cs="Arial"/>
                <w:color w:val="000000"/>
                <w:sz w:val="18"/>
                <w:szCs w:val="18"/>
              </w:rPr>
              <w:t>Accumulated other comprehensive income</w:t>
            </w:r>
          </w:p>
        </w:tc>
        <w:tc>
          <w:tcPr>
            <w:tcW w:w="0" w:type="auto"/>
            <w:gridSpan w:val="2"/>
            <w:shd w:val="clear" w:color="auto" w:fill="FFFFFF"/>
            <w:tcMar>
              <w:top w:w="40" w:type="dxa"/>
              <w:left w:w="20" w:type="dxa"/>
              <w:bottom w:w="40" w:type="dxa"/>
              <w:right w:w="0" w:type="dxa"/>
            </w:tcMar>
            <w:vAlign w:val="bottom"/>
          </w:tcPr>
          <w:p w14:paraId="64A884E9" w14:textId="77777777" w:rsidR="008D6614" w:rsidRDefault="00866AF2">
            <w:pPr>
              <w:jc w:val="right"/>
              <w:textAlignment w:val="bottom"/>
            </w:pPr>
            <w:r>
              <w:rPr>
                <w:rFonts w:ascii="Arial" w:eastAsia="宋体" w:hAnsi="Arial" w:cs="Arial"/>
                <w:color w:val="000000"/>
                <w:sz w:val="18"/>
                <w:szCs w:val="18"/>
              </w:rPr>
              <w:t>285 </w:t>
            </w:r>
          </w:p>
        </w:tc>
        <w:tc>
          <w:tcPr>
            <w:tcW w:w="0" w:type="auto"/>
            <w:shd w:val="clear" w:color="auto" w:fill="FFFFFF"/>
            <w:tcMar>
              <w:top w:w="40" w:type="dxa"/>
              <w:bottom w:w="40" w:type="dxa"/>
              <w:right w:w="20" w:type="dxa"/>
            </w:tcMar>
            <w:vAlign w:val="bottom"/>
          </w:tcPr>
          <w:p w14:paraId="64A884E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4E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4EC" w14:textId="77777777" w:rsidR="008D6614" w:rsidRDefault="00866AF2">
            <w:pPr>
              <w:jc w:val="right"/>
              <w:textAlignment w:val="bottom"/>
            </w:pPr>
            <w:r>
              <w:rPr>
                <w:rFonts w:ascii="Arial" w:eastAsia="宋体" w:hAnsi="Arial" w:cs="Arial"/>
                <w:color w:val="000000"/>
                <w:sz w:val="18"/>
                <w:szCs w:val="18"/>
              </w:rPr>
              <w:t>384 </w:t>
            </w:r>
          </w:p>
        </w:tc>
        <w:tc>
          <w:tcPr>
            <w:tcW w:w="0" w:type="auto"/>
            <w:shd w:val="clear" w:color="auto" w:fill="FFFFFF"/>
            <w:tcMar>
              <w:top w:w="40" w:type="dxa"/>
              <w:bottom w:w="40" w:type="dxa"/>
              <w:right w:w="20" w:type="dxa"/>
            </w:tcMar>
            <w:vAlign w:val="bottom"/>
          </w:tcPr>
          <w:p w14:paraId="64A884E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EE" w14:textId="77777777" w:rsidR="008D6614" w:rsidRDefault="008D6614">
            <w:pPr>
              <w:rPr>
                <w:rFonts w:ascii="宋体"/>
              </w:rPr>
            </w:pPr>
          </w:p>
        </w:tc>
        <w:tc>
          <w:tcPr>
            <w:tcW w:w="0" w:type="auto"/>
            <w:shd w:val="clear" w:color="auto" w:fill="auto"/>
            <w:vAlign w:val="center"/>
          </w:tcPr>
          <w:p w14:paraId="64A884EF" w14:textId="77777777" w:rsidR="008D6614" w:rsidRDefault="008D6614">
            <w:pPr>
              <w:rPr>
                <w:rFonts w:ascii="宋体"/>
              </w:rPr>
            </w:pPr>
          </w:p>
        </w:tc>
        <w:tc>
          <w:tcPr>
            <w:tcW w:w="0" w:type="auto"/>
            <w:shd w:val="clear" w:color="auto" w:fill="auto"/>
            <w:vAlign w:val="center"/>
          </w:tcPr>
          <w:p w14:paraId="64A884F0" w14:textId="77777777" w:rsidR="008D6614" w:rsidRDefault="008D6614">
            <w:pPr>
              <w:rPr>
                <w:rFonts w:ascii="宋体"/>
              </w:rPr>
            </w:pPr>
          </w:p>
        </w:tc>
        <w:tc>
          <w:tcPr>
            <w:tcW w:w="0" w:type="auto"/>
            <w:shd w:val="clear" w:color="auto" w:fill="auto"/>
            <w:vAlign w:val="center"/>
          </w:tcPr>
          <w:p w14:paraId="64A884F1" w14:textId="77777777" w:rsidR="008D6614" w:rsidRDefault="008D6614">
            <w:pPr>
              <w:rPr>
                <w:rFonts w:ascii="宋体"/>
              </w:rPr>
            </w:pPr>
          </w:p>
        </w:tc>
        <w:tc>
          <w:tcPr>
            <w:tcW w:w="0" w:type="auto"/>
            <w:shd w:val="clear" w:color="auto" w:fill="auto"/>
            <w:vAlign w:val="center"/>
          </w:tcPr>
          <w:p w14:paraId="64A884F2" w14:textId="77777777" w:rsidR="008D6614" w:rsidRDefault="008D6614">
            <w:pPr>
              <w:rPr>
                <w:rFonts w:ascii="宋体"/>
              </w:rPr>
            </w:pPr>
          </w:p>
        </w:tc>
        <w:tc>
          <w:tcPr>
            <w:tcW w:w="0" w:type="auto"/>
            <w:shd w:val="clear" w:color="auto" w:fill="auto"/>
            <w:vAlign w:val="center"/>
          </w:tcPr>
          <w:p w14:paraId="64A884F3" w14:textId="77777777" w:rsidR="008D6614" w:rsidRDefault="008D6614">
            <w:pPr>
              <w:rPr>
                <w:rFonts w:ascii="宋体"/>
              </w:rPr>
            </w:pPr>
          </w:p>
        </w:tc>
      </w:tr>
      <w:tr w:rsidR="008D6614" w14:paraId="64A88501" w14:textId="77777777">
        <w:trPr>
          <w:jc w:val="center"/>
        </w:trPr>
        <w:tc>
          <w:tcPr>
            <w:tcW w:w="0" w:type="auto"/>
            <w:gridSpan w:val="3"/>
            <w:shd w:val="clear" w:color="auto" w:fill="E2E2E2"/>
            <w:tcMar>
              <w:top w:w="40" w:type="dxa"/>
              <w:left w:w="945" w:type="dxa"/>
              <w:bottom w:w="40" w:type="dxa"/>
              <w:right w:w="20" w:type="dxa"/>
            </w:tcMar>
            <w:vAlign w:val="bottom"/>
          </w:tcPr>
          <w:p w14:paraId="64A884F5" w14:textId="77777777" w:rsidR="008D6614" w:rsidRDefault="00866AF2">
            <w:pPr>
              <w:textAlignment w:val="bottom"/>
            </w:pPr>
            <w:r>
              <w:rPr>
                <w:rFonts w:ascii="Arial" w:eastAsia="宋体" w:hAnsi="Arial" w:cs="Arial"/>
                <w:color w:val="000000"/>
                <w:sz w:val="18"/>
                <w:szCs w:val="18"/>
              </w:rPr>
              <w:t>Total stockholders’ equity</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4F6" w14:textId="77777777" w:rsidR="008D6614" w:rsidRDefault="00866AF2">
            <w:pPr>
              <w:jc w:val="right"/>
              <w:textAlignment w:val="bottom"/>
            </w:pPr>
            <w:r>
              <w:rPr>
                <w:rFonts w:ascii="Arial" w:eastAsia="宋体" w:hAnsi="Arial" w:cs="Arial"/>
                <w:color w:val="000000"/>
                <w:sz w:val="18"/>
                <w:szCs w:val="18"/>
              </w:rPr>
              <w:t>2,115 </w:t>
            </w:r>
          </w:p>
        </w:tc>
        <w:tc>
          <w:tcPr>
            <w:tcW w:w="0" w:type="auto"/>
            <w:tcBorders>
              <w:top w:val="single" w:sz="8" w:space="0" w:color="000000"/>
            </w:tcBorders>
            <w:shd w:val="clear" w:color="auto" w:fill="E2E2E2"/>
            <w:tcMar>
              <w:top w:w="40" w:type="dxa"/>
              <w:bottom w:w="40" w:type="dxa"/>
              <w:right w:w="20" w:type="dxa"/>
            </w:tcMar>
            <w:vAlign w:val="bottom"/>
          </w:tcPr>
          <w:p w14:paraId="64A884F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4F8"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4F9" w14:textId="77777777" w:rsidR="008D6614" w:rsidRDefault="00866AF2">
            <w:pPr>
              <w:jc w:val="right"/>
              <w:textAlignment w:val="bottom"/>
            </w:pPr>
            <w:r>
              <w:rPr>
                <w:rFonts w:ascii="Arial" w:eastAsia="宋体" w:hAnsi="Arial" w:cs="Arial"/>
                <w:color w:val="000000"/>
                <w:sz w:val="18"/>
                <w:szCs w:val="18"/>
              </w:rPr>
              <w:t>2,870 </w:t>
            </w:r>
          </w:p>
        </w:tc>
        <w:tc>
          <w:tcPr>
            <w:tcW w:w="0" w:type="auto"/>
            <w:tcBorders>
              <w:top w:val="single" w:sz="8" w:space="0" w:color="000000"/>
            </w:tcBorders>
            <w:shd w:val="clear" w:color="auto" w:fill="E2E2E2"/>
            <w:tcMar>
              <w:top w:w="40" w:type="dxa"/>
              <w:bottom w:w="40" w:type="dxa"/>
              <w:right w:w="20" w:type="dxa"/>
            </w:tcMar>
            <w:vAlign w:val="bottom"/>
          </w:tcPr>
          <w:p w14:paraId="64A884F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4FB" w14:textId="77777777" w:rsidR="008D6614" w:rsidRDefault="008D6614">
            <w:pPr>
              <w:rPr>
                <w:rFonts w:ascii="宋体"/>
              </w:rPr>
            </w:pPr>
          </w:p>
        </w:tc>
        <w:tc>
          <w:tcPr>
            <w:tcW w:w="0" w:type="auto"/>
            <w:shd w:val="clear" w:color="auto" w:fill="auto"/>
            <w:vAlign w:val="center"/>
          </w:tcPr>
          <w:p w14:paraId="64A884FC" w14:textId="77777777" w:rsidR="008D6614" w:rsidRDefault="008D6614">
            <w:pPr>
              <w:rPr>
                <w:rFonts w:ascii="宋体"/>
              </w:rPr>
            </w:pPr>
          </w:p>
        </w:tc>
        <w:tc>
          <w:tcPr>
            <w:tcW w:w="0" w:type="auto"/>
            <w:shd w:val="clear" w:color="auto" w:fill="auto"/>
            <w:vAlign w:val="center"/>
          </w:tcPr>
          <w:p w14:paraId="64A884FD" w14:textId="77777777" w:rsidR="008D6614" w:rsidRDefault="008D6614">
            <w:pPr>
              <w:rPr>
                <w:rFonts w:ascii="宋体"/>
              </w:rPr>
            </w:pPr>
          </w:p>
        </w:tc>
        <w:tc>
          <w:tcPr>
            <w:tcW w:w="0" w:type="auto"/>
            <w:shd w:val="clear" w:color="auto" w:fill="auto"/>
            <w:vAlign w:val="center"/>
          </w:tcPr>
          <w:p w14:paraId="64A884FE" w14:textId="77777777" w:rsidR="008D6614" w:rsidRDefault="008D6614">
            <w:pPr>
              <w:rPr>
                <w:rFonts w:ascii="宋体"/>
              </w:rPr>
            </w:pPr>
          </w:p>
        </w:tc>
        <w:tc>
          <w:tcPr>
            <w:tcW w:w="0" w:type="auto"/>
            <w:shd w:val="clear" w:color="auto" w:fill="auto"/>
            <w:vAlign w:val="center"/>
          </w:tcPr>
          <w:p w14:paraId="64A884FF" w14:textId="77777777" w:rsidR="008D6614" w:rsidRDefault="008D6614">
            <w:pPr>
              <w:rPr>
                <w:rFonts w:ascii="宋体"/>
              </w:rPr>
            </w:pPr>
          </w:p>
        </w:tc>
        <w:tc>
          <w:tcPr>
            <w:tcW w:w="0" w:type="auto"/>
            <w:shd w:val="clear" w:color="auto" w:fill="auto"/>
            <w:vAlign w:val="center"/>
          </w:tcPr>
          <w:p w14:paraId="64A88500" w14:textId="77777777" w:rsidR="008D6614" w:rsidRDefault="008D6614">
            <w:pPr>
              <w:rPr>
                <w:rFonts w:ascii="宋体"/>
              </w:rPr>
            </w:pPr>
          </w:p>
        </w:tc>
      </w:tr>
      <w:tr w:rsidR="008D6614" w14:paraId="64A88510" w14:textId="77777777">
        <w:trPr>
          <w:jc w:val="center"/>
        </w:trPr>
        <w:tc>
          <w:tcPr>
            <w:tcW w:w="0" w:type="auto"/>
            <w:gridSpan w:val="3"/>
            <w:shd w:val="clear" w:color="auto" w:fill="FFFFFF"/>
            <w:tcMar>
              <w:top w:w="40" w:type="dxa"/>
              <w:left w:w="495" w:type="dxa"/>
              <w:bottom w:w="40" w:type="dxa"/>
              <w:right w:w="20" w:type="dxa"/>
            </w:tcMar>
            <w:vAlign w:val="bottom"/>
          </w:tcPr>
          <w:p w14:paraId="64A88502" w14:textId="77777777" w:rsidR="008D6614" w:rsidRDefault="00866AF2">
            <w:pPr>
              <w:textAlignment w:val="bottom"/>
            </w:pPr>
            <w:r>
              <w:rPr>
                <w:rFonts w:ascii="Arial" w:eastAsia="宋体" w:hAnsi="Arial" w:cs="Arial"/>
                <w:color w:val="000000"/>
                <w:sz w:val="18"/>
                <w:szCs w:val="18"/>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8503"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8504" w14:textId="77777777" w:rsidR="008D6614" w:rsidRDefault="00866AF2">
            <w:pPr>
              <w:jc w:val="right"/>
              <w:textAlignment w:val="bottom"/>
            </w:pPr>
            <w:r>
              <w:rPr>
                <w:rFonts w:ascii="Arial" w:eastAsia="宋体" w:hAnsi="Arial" w:cs="Arial"/>
                <w:color w:val="000000"/>
                <w:sz w:val="18"/>
                <w:szCs w:val="18"/>
              </w:rPr>
              <w:t>18,929 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850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506"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8507"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8508" w14:textId="77777777" w:rsidR="008D6614" w:rsidRDefault="00866AF2">
            <w:pPr>
              <w:jc w:val="right"/>
              <w:textAlignment w:val="bottom"/>
            </w:pPr>
            <w:r>
              <w:rPr>
                <w:rFonts w:ascii="Arial" w:eastAsia="宋体" w:hAnsi="Arial" w:cs="Arial"/>
                <w:color w:val="000000"/>
                <w:sz w:val="18"/>
                <w:szCs w:val="18"/>
              </w:rPr>
              <w:t>18,174 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850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50A" w14:textId="77777777" w:rsidR="008D6614" w:rsidRDefault="008D6614">
            <w:pPr>
              <w:rPr>
                <w:rFonts w:ascii="宋体"/>
              </w:rPr>
            </w:pPr>
          </w:p>
        </w:tc>
        <w:tc>
          <w:tcPr>
            <w:tcW w:w="0" w:type="auto"/>
            <w:shd w:val="clear" w:color="auto" w:fill="auto"/>
            <w:vAlign w:val="center"/>
          </w:tcPr>
          <w:p w14:paraId="64A8850B" w14:textId="77777777" w:rsidR="008D6614" w:rsidRDefault="008D6614">
            <w:pPr>
              <w:rPr>
                <w:rFonts w:ascii="宋体"/>
              </w:rPr>
            </w:pPr>
          </w:p>
        </w:tc>
        <w:tc>
          <w:tcPr>
            <w:tcW w:w="0" w:type="auto"/>
            <w:shd w:val="clear" w:color="auto" w:fill="auto"/>
            <w:vAlign w:val="center"/>
          </w:tcPr>
          <w:p w14:paraId="64A8850C" w14:textId="77777777" w:rsidR="008D6614" w:rsidRDefault="008D6614">
            <w:pPr>
              <w:rPr>
                <w:rFonts w:ascii="宋体"/>
              </w:rPr>
            </w:pPr>
          </w:p>
        </w:tc>
        <w:tc>
          <w:tcPr>
            <w:tcW w:w="0" w:type="auto"/>
            <w:shd w:val="clear" w:color="auto" w:fill="auto"/>
            <w:vAlign w:val="center"/>
          </w:tcPr>
          <w:p w14:paraId="64A8850D" w14:textId="77777777" w:rsidR="008D6614" w:rsidRDefault="008D6614">
            <w:pPr>
              <w:rPr>
                <w:rFonts w:ascii="宋体"/>
              </w:rPr>
            </w:pPr>
          </w:p>
        </w:tc>
        <w:tc>
          <w:tcPr>
            <w:tcW w:w="0" w:type="auto"/>
            <w:shd w:val="clear" w:color="auto" w:fill="auto"/>
            <w:vAlign w:val="center"/>
          </w:tcPr>
          <w:p w14:paraId="64A8850E" w14:textId="77777777" w:rsidR="008D6614" w:rsidRDefault="008D6614">
            <w:pPr>
              <w:rPr>
                <w:rFonts w:ascii="宋体"/>
              </w:rPr>
            </w:pPr>
          </w:p>
        </w:tc>
        <w:tc>
          <w:tcPr>
            <w:tcW w:w="0" w:type="auto"/>
            <w:shd w:val="clear" w:color="auto" w:fill="auto"/>
            <w:vAlign w:val="center"/>
          </w:tcPr>
          <w:p w14:paraId="64A8850F" w14:textId="77777777" w:rsidR="008D6614" w:rsidRDefault="008D6614">
            <w:pPr>
              <w:rPr>
                <w:rFonts w:ascii="宋体"/>
              </w:rPr>
            </w:pPr>
          </w:p>
        </w:tc>
      </w:tr>
    </w:tbl>
    <w:p w14:paraId="64A88511" w14:textId="77777777" w:rsidR="008D6614" w:rsidRDefault="008D6614">
      <w:pPr>
        <w:jc w:val="center"/>
      </w:pPr>
    </w:p>
    <w:p w14:paraId="64A88512" w14:textId="77777777" w:rsidR="008D6614" w:rsidRDefault="00866AF2">
      <w:pPr>
        <w:jc w:val="center"/>
      </w:pPr>
      <w:r>
        <w:rPr>
          <w:rFonts w:ascii="Arial" w:eastAsia="宋体" w:hAnsi="Arial" w:cs="Arial"/>
          <w:color w:val="000000"/>
          <w:sz w:val="18"/>
          <w:szCs w:val="18"/>
        </w:rPr>
        <w:t>The accompanying notes are an integral part of these condensed consolidated financial statements.</w:t>
      </w:r>
    </w:p>
    <w:p w14:paraId="64A88513" w14:textId="77777777" w:rsidR="008D6614" w:rsidRDefault="008D6614">
      <w:pPr>
        <w:jc w:val="center"/>
      </w:pPr>
    </w:p>
    <w:p w14:paraId="64A88514" w14:textId="77777777" w:rsidR="008D6614" w:rsidRDefault="00866AF2">
      <w:pPr>
        <w:jc w:val="center"/>
      </w:pPr>
      <w:r>
        <w:rPr>
          <w:rFonts w:ascii="Arial" w:eastAsia="宋体" w:hAnsi="Arial" w:cs="Arial"/>
          <w:color w:val="000000"/>
          <w:sz w:val="20"/>
          <w:szCs w:val="20"/>
        </w:rPr>
        <w:t>2</w:t>
      </w:r>
    </w:p>
    <w:p w14:paraId="64A88515" w14:textId="77777777" w:rsidR="008D6614" w:rsidRDefault="00866AF2">
      <w:r>
        <w:pict w14:anchorId="64A8B9DF">
          <v:rect id="_x0000_i1026" style="width:415.3pt;height:1.5pt" o:hralign="center" o:hrstd="t" o:hr="t" fillcolor="#a0a0a0" stroked="f"/>
        </w:pict>
      </w:r>
    </w:p>
    <w:p w14:paraId="64A88516" w14:textId="77777777" w:rsidR="008D6614" w:rsidRDefault="008D6614"/>
    <w:p w14:paraId="64A88517" w14:textId="77777777" w:rsidR="008D6614" w:rsidRDefault="00866AF2">
      <w:pPr>
        <w:jc w:val="center"/>
      </w:pPr>
      <w:r>
        <w:rPr>
          <w:rFonts w:ascii="Arial" w:eastAsia="宋体" w:hAnsi="Arial" w:cs="Arial"/>
          <w:b/>
          <w:bCs/>
          <w:color w:val="000000"/>
          <w:sz w:val="20"/>
          <w:szCs w:val="20"/>
        </w:rPr>
        <w:t xml:space="preserve">eBay Inc. </w:t>
      </w:r>
    </w:p>
    <w:p w14:paraId="64A88518" w14:textId="77777777" w:rsidR="008D6614" w:rsidRDefault="00866AF2">
      <w:pPr>
        <w:spacing w:before="80"/>
        <w:jc w:val="center"/>
      </w:pPr>
      <w:r>
        <w:rPr>
          <w:rFonts w:ascii="Arial" w:eastAsia="宋体" w:hAnsi="Arial" w:cs="Arial"/>
          <w:b/>
          <w:bCs/>
          <w:color w:val="000000"/>
          <w:sz w:val="20"/>
          <w:szCs w:val="20"/>
        </w:rPr>
        <w:t xml:space="preserve">CONDENSED CONSOLIDATED </w:t>
      </w:r>
      <w:r>
        <w:rPr>
          <w:rFonts w:ascii="Arial" w:eastAsia="宋体" w:hAnsi="Arial" w:cs="Arial"/>
          <w:b/>
          <w:bCs/>
          <w:color w:val="000000"/>
          <w:sz w:val="20"/>
          <w:szCs w:val="20"/>
        </w:rPr>
        <w:t>STATEMENT OF INCOME</w:t>
      </w:r>
    </w:p>
    <w:tbl>
      <w:tblPr>
        <w:tblW w:w="4993" w:type="pct"/>
        <w:jc w:val="center"/>
        <w:tblCellMar>
          <w:top w:w="15" w:type="dxa"/>
          <w:left w:w="15" w:type="dxa"/>
          <w:bottom w:w="15" w:type="dxa"/>
          <w:right w:w="15" w:type="dxa"/>
        </w:tblCellMar>
        <w:tblLook w:val="04A0" w:firstRow="1" w:lastRow="0" w:firstColumn="1" w:lastColumn="0" w:noHBand="0" w:noVBand="1"/>
      </w:tblPr>
      <w:tblGrid>
        <w:gridCol w:w="43"/>
        <w:gridCol w:w="5577"/>
        <w:gridCol w:w="43"/>
        <w:gridCol w:w="36"/>
        <w:gridCol w:w="36"/>
        <w:gridCol w:w="36"/>
        <w:gridCol w:w="36"/>
        <w:gridCol w:w="36"/>
        <w:gridCol w:w="36"/>
        <w:gridCol w:w="136"/>
        <w:gridCol w:w="784"/>
        <w:gridCol w:w="86"/>
        <w:gridCol w:w="36"/>
        <w:gridCol w:w="36"/>
        <w:gridCol w:w="36"/>
        <w:gridCol w:w="136"/>
        <w:gridCol w:w="785"/>
        <w:gridCol w:w="86"/>
        <w:gridCol w:w="36"/>
        <w:gridCol w:w="36"/>
        <w:gridCol w:w="36"/>
        <w:gridCol w:w="36"/>
        <w:gridCol w:w="36"/>
        <w:gridCol w:w="36"/>
        <w:gridCol w:w="36"/>
        <w:gridCol w:w="36"/>
        <w:gridCol w:w="36"/>
      </w:tblGrid>
      <w:tr w:rsidR="008D6614" w14:paraId="64A8852B" w14:textId="77777777">
        <w:trPr>
          <w:gridAfter w:val="9"/>
          <w:jc w:val="center"/>
        </w:trPr>
        <w:tc>
          <w:tcPr>
            <w:tcW w:w="50" w:type="pct"/>
            <w:shd w:val="clear" w:color="auto" w:fill="auto"/>
            <w:vAlign w:val="center"/>
          </w:tcPr>
          <w:p w14:paraId="64A88519" w14:textId="77777777" w:rsidR="008D6614" w:rsidRDefault="008D6614">
            <w:pPr>
              <w:rPr>
                <w:rFonts w:ascii="宋体"/>
              </w:rPr>
            </w:pPr>
          </w:p>
        </w:tc>
        <w:tc>
          <w:tcPr>
            <w:tcW w:w="3553" w:type="pct"/>
            <w:shd w:val="clear" w:color="auto" w:fill="auto"/>
            <w:vAlign w:val="center"/>
          </w:tcPr>
          <w:p w14:paraId="64A8851A" w14:textId="77777777" w:rsidR="008D6614" w:rsidRDefault="008D6614">
            <w:pPr>
              <w:rPr>
                <w:rFonts w:ascii="宋体"/>
              </w:rPr>
            </w:pPr>
          </w:p>
        </w:tc>
        <w:tc>
          <w:tcPr>
            <w:tcW w:w="50" w:type="pct"/>
            <w:shd w:val="clear" w:color="auto" w:fill="auto"/>
            <w:vAlign w:val="center"/>
          </w:tcPr>
          <w:p w14:paraId="64A8851B" w14:textId="77777777" w:rsidR="008D6614" w:rsidRDefault="008D6614">
            <w:pPr>
              <w:rPr>
                <w:rFonts w:ascii="宋体"/>
              </w:rPr>
            </w:pPr>
          </w:p>
        </w:tc>
        <w:tc>
          <w:tcPr>
            <w:tcW w:w="0" w:type="auto"/>
            <w:shd w:val="clear" w:color="auto" w:fill="auto"/>
            <w:vAlign w:val="center"/>
          </w:tcPr>
          <w:p w14:paraId="64A8851C" w14:textId="77777777" w:rsidR="008D6614" w:rsidRDefault="008D6614">
            <w:pPr>
              <w:rPr>
                <w:rFonts w:ascii="宋体"/>
                <w:vanish/>
              </w:rPr>
            </w:pPr>
          </w:p>
        </w:tc>
        <w:tc>
          <w:tcPr>
            <w:tcW w:w="0" w:type="auto"/>
            <w:shd w:val="clear" w:color="auto" w:fill="auto"/>
            <w:vAlign w:val="center"/>
          </w:tcPr>
          <w:p w14:paraId="64A8851D" w14:textId="77777777" w:rsidR="008D6614" w:rsidRDefault="008D6614">
            <w:pPr>
              <w:rPr>
                <w:rFonts w:ascii="宋体"/>
                <w:vanish/>
              </w:rPr>
            </w:pPr>
          </w:p>
        </w:tc>
        <w:tc>
          <w:tcPr>
            <w:tcW w:w="0" w:type="auto"/>
            <w:shd w:val="clear" w:color="auto" w:fill="auto"/>
            <w:vAlign w:val="center"/>
          </w:tcPr>
          <w:p w14:paraId="64A8851E" w14:textId="77777777" w:rsidR="008D6614" w:rsidRDefault="008D6614">
            <w:pPr>
              <w:rPr>
                <w:rFonts w:ascii="宋体"/>
                <w:vanish/>
              </w:rPr>
            </w:pPr>
          </w:p>
        </w:tc>
        <w:tc>
          <w:tcPr>
            <w:tcW w:w="5" w:type="pct"/>
            <w:shd w:val="clear" w:color="auto" w:fill="auto"/>
            <w:vAlign w:val="center"/>
          </w:tcPr>
          <w:p w14:paraId="64A8851F" w14:textId="77777777" w:rsidR="008D6614" w:rsidRDefault="008D6614">
            <w:pPr>
              <w:rPr>
                <w:rFonts w:ascii="宋体"/>
              </w:rPr>
            </w:pPr>
          </w:p>
        </w:tc>
        <w:tc>
          <w:tcPr>
            <w:tcW w:w="26" w:type="pct"/>
            <w:shd w:val="clear" w:color="auto" w:fill="auto"/>
            <w:vAlign w:val="center"/>
          </w:tcPr>
          <w:p w14:paraId="64A88520" w14:textId="77777777" w:rsidR="008D6614" w:rsidRDefault="008D6614">
            <w:pPr>
              <w:rPr>
                <w:rFonts w:ascii="宋体"/>
              </w:rPr>
            </w:pPr>
          </w:p>
        </w:tc>
        <w:tc>
          <w:tcPr>
            <w:tcW w:w="5" w:type="pct"/>
            <w:shd w:val="clear" w:color="auto" w:fill="auto"/>
            <w:vAlign w:val="center"/>
          </w:tcPr>
          <w:p w14:paraId="64A88521" w14:textId="77777777" w:rsidR="008D6614" w:rsidRDefault="008D6614">
            <w:pPr>
              <w:rPr>
                <w:rFonts w:ascii="宋体"/>
              </w:rPr>
            </w:pPr>
          </w:p>
        </w:tc>
        <w:tc>
          <w:tcPr>
            <w:tcW w:w="50" w:type="pct"/>
            <w:shd w:val="clear" w:color="auto" w:fill="auto"/>
            <w:vAlign w:val="center"/>
          </w:tcPr>
          <w:p w14:paraId="64A88522" w14:textId="77777777" w:rsidR="008D6614" w:rsidRDefault="008D6614">
            <w:pPr>
              <w:rPr>
                <w:rFonts w:ascii="宋体"/>
              </w:rPr>
            </w:pPr>
          </w:p>
        </w:tc>
        <w:tc>
          <w:tcPr>
            <w:tcW w:w="536" w:type="pct"/>
            <w:shd w:val="clear" w:color="auto" w:fill="auto"/>
            <w:vAlign w:val="center"/>
          </w:tcPr>
          <w:p w14:paraId="64A88523" w14:textId="77777777" w:rsidR="008D6614" w:rsidRDefault="008D6614">
            <w:pPr>
              <w:rPr>
                <w:rFonts w:ascii="宋体"/>
              </w:rPr>
            </w:pPr>
          </w:p>
        </w:tc>
        <w:tc>
          <w:tcPr>
            <w:tcW w:w="50" w:type="pct"/>
            <w:shd w:val="clear" w:color="auto" w:fill="auto"/>
            <w:vAlign w:val="center"/>
          </w:tcPr>
          <w:p w14:paraId="64A88524" w14:textId="77777777" w:rsidR="008D6614" w:rsidRDefault="008D6614">
            <w:pPr>
              <w:rPr>
                <w:rFonts w:ascii="宋体"/>
              </w:rPr>
            </w:pPr>
          </w:p>
        </w:tc>
        <w:tc>
          <w:tcPr>
            <w:tcW w:w="5" w:type="pct"/>
            <w:shd w:val="clear" w:color="auto" w:fill="auto"/>
            <w:vAlign w:val="center"/>
          </w:tcPr>
          <w:p w14:paraId="64A88525" w14:textId="77777777" w:rsidR="008D6614" w:rsidRDefault="008D6614">
            <w:pPr>
              <w:rPr>
                <w:rFonts w:ascii="宋体"/>
              </w:rPr>
            </w:pPr>
          </w:p>
        </w:tc>
        <w:tc>
          <w:tcPr>
            <w:tcW w:w="26" w:type="pct"/>
            <w:shd w:val="clear" w:color="auto" w:fill="auto"/>
            <w:vAlign w:val="center"/>
          </w:tcPr>
          <w:p w14:paraId="64A88526" w14:textId="77777777" w:rsidR="008D6614" w:rsidRDefault="008D6614">
            <w:pPr>
              <w:rPr>
                <w:rFonts w:ascii="宋体"/>
              </w:rPr>
            </w:pPr>
          </w:p>
        </w:tc>
        <w:tc>
          <w:tcPr>
            <w:tcW w:w="5" w:type="pct"/>
            <w:shd w:val="clear" w:color="auto" w:fill="auto"/>
            <w:vAlign w:val="center"/>
          </w:tcPr>
          <w:p w14:paraId="64A88527" w14:textId="77777777" w:rsidR="008D6614" w:rsidRDefault="008D6614">
            <w:pPr>
              <w:rPr>
                <w:rFonts w:ascii="宋体"/>
              </w:rPr>
            </w:pPr>
          </w:p>
        </w:tc>
        <w:tc>
          <w:tcPr>
            <w:tcW w:w="50" w:type="pct"/>
            <w:shd w:val="clear" w:color="auto" w:fill="auto"/>
            <w:vAlign w:val="center"/>
          </w:tcPr>
          <w:p w14:paraId="64A88528" w14:textId="77777777" w:rsidR="008D6614" w:rsidRDefault="008D6614">
            <w:pPr>
              <w:rPr>
                <w:rFonts w:ascii="宋体"/>
              </w:rPr>
            </w:pPr>
          </w:p>
        </w:tc>
        <w:tc>
          <w:tcPr>
            <w:tcW w:w="536" w:type="pct"/>
            <w:shd w:val="clear" w:color="auto" w:fill="auto"/>
            <w:vAlign w:val="center"/>
          </w:tcPr>
          <w:p w14:paraId="64A88529" w14:textId="77777777" w:rsidR="008D6614" w:rsidRDefault="008D6614">
            <w:pPr>
              <w:rPr>
                <w:rFonts w:ascii="宋体"/>
              </w:rPr>
            </w:pPr>
          </w:p>
        </w:tc>
        <w:tc>
          <w:tcPr>
            <w:tcW w:w="50" w:type="pct"/>
            <w:shd w:val="clear" w:color="auto" w:fill="auto"/>
            <w:vAlign w:val="center"/>
          </w:tcPr>
          <w:p w14:paraId="64A8852A" w14:textId="77777777" w:rsidR="008D6614" w:rsidRDefault="008D6614">
            <w:pPr>
              <w:rPr>
                <w:rFonts w:ascii="宋体"/>
              </w:rPr>
            </w:pPr>
          </w:p>
        </w:tc>
      </w:tr>
      <w:tr w:rsidR="008D6614" w14:paraId="64A88534" w14:textId="77777777">
        <w:trPr>
          <w:gridAfter w:val="3"/>
          <w:jc w:val="center"/>
        </w:trPr>
        <w:tc>
          <w:tcPr>
            <w:tcW w:w="0" w:type="auto"/>
            <w:gridSpan w:val="3"/>
            <w:shd w:val="clear" w:color="auto" w:fill="auto"/>
            <w:tcMar>
              <w:top w:w="40" w:type="dxa"/>
              <w:left w:w="20" w:type="dxa"/>
              <w:bottom w:w="40" w:type="dxa"/>
              <w:right w:w="20" w:type="dxa"/>
            </w:tcMar>
            <w:vAlign w:val="bottom"/>
          </w:tcPr>
          <w:p w14:paraId="64A8852C" w14:textId="77777777" w:rsidR="008D6614" w:rsidRDefault="00866AF2">
            <w:pPr>
              <w:textAlignment w:val="bottom"/>
            </w:pPr>
            <w:r>
              <w:rPr>
                <w:rFonts w:ascii="Arial" w:eastAsia="宋体" w:hAnsi="Arial" w:cs="Arial"/>
                <w:b/>
                <w:bCs/>
                <w:color w:val="000000"/>
                <w:sz w:val="16"/>
                <w:szCs w:val="16"/>
              </w:rPr>
              <w:t> </w:t>
            </w:r>
          </w:p>
        </w:tc>
        <w:tc>
          <w:tcPr>
            <w:tcW w:w="0" w:type="auto"/>
            <w:shd w:val="clear" w:color="auto" w:fill="auto"/>
            <w:vAlign w:val="center"/>
          </w:tcPr>
          <w:p w14:paraId="64A8852D" w14:textId="77777777" w:rsidR="008D6614" w:rsidRDefault="008D6614">
            <w:pPr>
              <w:rPr>
                <w:rFonts w:ascii="宋体"/>
                <w:vanish/>
              </w:rPr>
            </w:pPr>
          </w:p>
        </w:tc>
        <w:tc>
          <w:tcPr>
            <w:tcW w:w="0" w:type="auto"/>
            <w:shd w:val="clear" w:color="auto" w:fill="auto"/>
            <w:vAlign w:val="center"/>
          </w:tcPr>
          <w:p w14:paraId="64A8852E" w14:textId="77777777" w:rsidR="008D6614" w:rsidRDefault="008D6614">
            <w:pPr>
              <w:rPr>
                <w:rFonts w:ascii="宋体"/>
                <w:vanish/>
              </w:rPr>
            </w:pPr>
          </w:p>
        </w:tc>
        <w:tc>
          <w:tcPr>
            <w:tcW w:w="0" w:type="auto"/>
            <w:shd w:val="clear" w:color="auto" w:fill="auto"/>
            <w:vAlign w:val="center"/>
          </w:tcPr>
          <w:p w14:paraId="64A8852F"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530"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8531"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vAlign w:val="center"/>
          </w:tcPr>
          <w:p w14:paraId="64A88532" w14:textId="77777777" w:rsidR="008D6614" w:rsidRDefault="008D6614">
            <w:pPr>
              <w:rPr>
                <w:rFonts w:ascii="宋体"/>
                <w:vanish/>
              </w:rPr>
            </w:pPr>
          </w:p>
        </w:tc>
        <w:tc>
          <w:tcPr>
            <w:tcW w:w="0" w:type="auto"/>
            <w:gridSpan w:val="3"/>
            <w:shd w:val="clear" w:color="auto" w:fill="auto"/>
            <w:vAlign w:val="center"/>
          </w:tcPr>
          <w:p w14:paraId="64A88533" w14:textId="77777777" w:rsidR="008D6614" w:rsidRDefault="008D6614">
            <w:pPr>
              <w:rPr>
                <w:rFonts w:ascii="宋体"/>
                <w:vanish/>
              </w:rPr>
            </w:pPr>
          </w:p>
        </w:tc>
      </w:tr>
      <w:tr w:rsidR="008D6614" w14:paraId="64A88543" w14:textId="77777777">
        <w:trPr>
          <w:gridAfter w:val="3"/>
          <w:jc w:val="center"/>
        </w:trPr>
        <w:tc>
          <w:tcPr>
            <w:tcW w:w="0" w:type="auto"/>
            <w:gridSpan w:val="3"/>
            <w:shd w:val="clear" w:color="auto" w:fill="auto"/>
            <w:tcMar>
              <w:top w:w="40" w:type="dxa"/>
              <w:left w:w="20" w:type="dxa"/>
              <w:bottom w:w="40" w:type="dxa"/>
              <w:right w:w="20" w:type="dxa"/>
            </w:tcMar>
            <w:vAlign w:val="bottom"/>
          </w:tcPr>
          <w:p w14:paraId="64A88535" w14:textId="77777777" w:rsidR="008D6614" w:rsidRDefault="00866AF2">
            <w:pPr>
              <w:textAlignment w:val="bottom"/>
            </w:pPr>
            <w:r>
              <w:rPr>
                <w:rFonts w:ascii="Arial" w:eastAsia="宋体" w:hAnsi="Arial" w:cs="Arial"/>
                <w:b/>
                <w:bCs/>
                <w:color w:val="000000"/>
                <w:sz w:val="16"/>
                <w:szCs w:val="16"/>
              </w:rPr>
              <w:t> </w:t>
            </w:r>
          </w:p>
        </w:tc>
        <w:tc>
          <w:tcPr>
            <w:tcW w:w="0" w:type="auto"/>
            <w:shd w:val="clear" w:color="auto" w:fill="auto"/>
            <w:vAlign w:val="center"/>
          </w:tcPr>
          <w:p w14:paraId="64A88536" w14:textId="77777777" w:rsidR="008D6614" w:rsidRDefault="008D6614">
            <w:pPr>
              <w:rPr>
                <w:rFonts w:ascii="宋体"/>
                <w:vanish/>
              </w:rPr>
            </w:pPr>
          </w:p>
        </w:tc>
        <w:tc>
          <w:tcPr>
            <w:tcW w:w="0" w:type="auto"/>
            <w:shd w:val="clear" w:color="auto" w:fill="auto"/>
            <w:vAlign w:val="center"/>
          </w:tcPr>
          <w:p w14:paraId="64A88537" w14:textId="77777777" w:rsidR="008D6614" w:rsidRDefault="008D6614">
            <w:pPr>
              <w:rPr>
                <w:rFonts w:ascii="宋体"/>
                <w:vanish/>
              </w:rPr>
            </w:pPr>
          </w:p>
        </w:tc>
        <w:tc>
          <w:tcPr>
            <w:tcW w:w="0" w:type="auto"/>
            <w:shd w:val="clear" w:color="auto" w:fill="auto"/>
            <w:vAlign w:val="center"/>
          </w:tcPr>
          <w:p w14:paraId="64A88538"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539"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853A"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64A8853B"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853C"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853D" w14:textId="77777777" w:rsidR="008D6614" w:rsidRDefault="008D6614">
            <w:pPr>
              <w:rPr>
                <w:rFonts w:ascii="宋体"/>
              </w:rPr>
            </w:pPr>
          </w:p>
        </w:tc>
        <w:tc>
          <w:tcPr>
            <w:tcW w:w="0" w:type="auto"/>
            <w:shd w:val="clear" w:color="auto" w:fill="auto"/>
            <w:vAlign w:val="center"/>
          </w:tcPr>
          <w:p w14:paraId="64A8853E" w14:textId="77777777" w:rsidR="008D6614" w:rsidRDefault="008D6614">
            <w:pPr>
              <w:rPr>
                <w:rFonts w:ascii="宋体"/>
              </w:rPr>
            </w:pPr>
          </w:p>
        </w:tc>
        <w:tc>
          <w:tcPr>
            <w:tcW w:w="0" w:type="auto"/>
            <w:shd w:val="clear" w:color="auto" w:fill="auto"/>
            <w:vAlign w:val="center"/>
          </w:tcPr>
          <w:p w14:paraId="64A8853F" w14:textId="77777777" w:rsidR="008D6614" w:rsidRDefault="008D6614">
            <w:pPr>
              <w:rPr>
                <w:rFonts w:ascii="宋体"/>
              </w:rPr>
            </w:pPr>
          </w:p>
        </w:tc>
        <w:tc>
          <w:tcPr>
            <w:tcW w:w="0" w:type="auto"/>
            <w:shd w:val="clear" w:color="auto" w:fill="auto"/>
            <w:vAlign w:val="center"/>
          </w:tcPr>
          <w:p w14:paraId="64A88540" w14:textId="77777777" w:rsidR="008D6614" w:rsidRDefault="008D6614">
            <w:pPr>
              <w:rPr>
                <w:rFonts w:ascii="宋体"/>
              </w:rPr>
            </w:pPr>
          </w:p>
        </w:tc>
        <w:tc>
          <w:tcPr>
            <w:tcW w:w="0" w:type="auto"/>
            <w:shd w:val="clear" w:color="auto" w:fill="auto"/>
            <w:vAlign w:val="center"/>
          </w:tcPr>
          <w:p w14:paraId="64A88541" w14:textId="77777777" w:rsidR="008D6614" w:rsidRDefault="008D6614">
            <w:pPr>
              <w:rPr>
                <w:rFonts w:ascii="宋体"/>
              </w:rPr>
            </w:pPr>
          </w:p>
        </w:tc>
        <w:tc>
          <w:tcPr>
            <w:tcW w:w="0" w:type="auto"/>
            <w:shd w:val="clear" w:color="auto" w:fill="auto"/>
            <w:vAlign w:val="center"/>
          </w:tcPr>
          <w:p w14:paraId="64A88542" w14:textId="77777777" w:rsidR="008D6614" w:rsidRDefault="008D6614">
            <w:pPr>
              <w:rPr>
                <w:rFonts w:ascii="宋体"/>
              </w:rPr>
            </w:pPr>
          </w:p>
        </w:tc>
      </w:tr>
      <w:tr w:rsidR="008D6614" w14:paraId="64A8854C" w14:textId="77777777">
        <w:trPr>
          <w:jc w:val="center"/>
        </w:trPr>
        <w:tc>
          <w:tcPr>
            <w:tcW w:w="0" w:type="auto"/>
            <w:gridSpan w:val="3"/>
            <w:shd w:val="clear" w:color="auto" w:fill="auto"/>
            <w:tcMar>
              <w:top w:w="40" w:type="dxa"/>
              <w:left w:w="20" w:type="dxa"/>
              <w:bottom w:w="40" w:type="dxa"/>
              <w:right w:w="20" w:type="dxa"/>
            </w:tcMar>
            <w:vAlign w:val="bottom"/>
          </w:tcPr>
          <w:p w14:paraId="64A88544" w14:textId="77777777" w:rsidR="008D6614" w:rsidRDefault="00866AF2">
            <w:pPr>
              <w:textAlignment w:val="bottom"/>
            </w:pPr>
            <w:r>
              <w:rPr>
                <w:rFonts w:ascii="Arial" w:eastAsia="宋体" w:hAnsi="Arial" w:cs="Arial"/>
                <w:b/>
                <w:bCs/>
                <w:color w:val="000000"/>
                <w:sz w:val="16"/>
                <w:szCs w:val="16"/>
              </w:rPr>
              <w:t> </w:t>
            </w:r>
          </w:p>
        </w:tc>
        <w:tc>
          <w:tcPr>
            <w:tcW w:w="0" w:type="auto"/>
            <w:shd w:val="clear" w:color="auto" w:fill="auto"/>
            <w:vAlign w:val="center"/>
          </w:tcPr>
          <w:p w14:paraId="64A88545" w14:textId="77777777" w:rsidR="008D6614" w:rsidRDefault="008D6614">
            <w:pPr>
              <w:rPr>
                <w:rFonts w:ascii="宋体"/>
                <w:vanish/>
              </w:rPr>
            </w:pPr>
          </w:p>
        </w:tc>
        <w:tc>
          <w:tcPr>
            <w:tcW w:w="0" w:type="auto"/>
            <w:shd w:val="clear" w:color="auto" w:fill="auto"/>
            <w:vAlign w:val="center"/>
          </w:tcPr>
          <w:p w14:paraId="64A88546" w14:textId="77777777" w:rsidR="008D6614" w:rsidRDefault="008D6614">
            <w:pPr>
              <w:rPr>
                <w:rFonts w:ascii="宋体"/>
                <w:vanish/>
              </w:rPr>
            </w:pPr>
          </w:p>
        </w:tc>
        <w:tc>
          <w:tcPr>
            <w:tcW w:w="0" w:type="auto"/>
            <w:shd w:val="clear" w:color="auto" w:fill="auto"/>
            <w:vAlign w:val="center"/>
          </w:tcPr>
          <w:p w14:paraId="64A88547" w14:textId="77777777" w:rsidR="008D6614" w:rsidRDefault="008D6614">
            <w:pPr>
              <w:rPr>
                <w:rFonts w:ascii="宋体"/>
                <w:vanish/>
              </w:rPr>
            </w:pPr>
          </w:p>
        </w:tc>
        <w:tc>
          <w:tcPr>
            <w:tcW w:w="0" w:type="auto"/>
            <w:gridSpan w:val="12"/>
            <w:shd w:val="clear" w:color="auto" w:fill="auto"/>
            <w:tcMar>
              <w:top w:w="40" w:type="dxa"/>
              <w:left w:w="20" w:type="dxa"/>
              <w:bottom w:w="40" w:type="dxa"/>
              <w:right w:w="20" w:type="dxa"/>
            </w:tcMar>
            <w:vAlign w:val="bottom"/>
          </w:tcPr>
          <w:p w14:paraId="64A88548" w14:textId="77777777" w:rsidR="008D6614" w:rsidRDefault="00866AF2">
            <w:pPr>
              <w:jc w:val="center"/>
              <w:textAlignment w:val="bottom"/>
            </w:pPr>
            <w:r>
              <w:rPr>
                <w:rFonts w:ascii="Arial" w:eastAsia="宋体" w:hAnsi="Arial" w:cs="Arial"/>
                <w:b/>
                <w:bCs/>
                <w:color w:val="000000"/>
                <w:sz w:val="16"/>
                <w:szCs w:val="16"/>
              </w:rPr>
              <w:t>(In millions, except per share amounts)</w:t>
            </w:r>
          </w:p>
        </w:tc>
        <w:tc>
          <w:tcPr>
            <w:tcW w:w="0" w:type="auto"/>
            <w:gridSpan w:val="3"/>
            <w:shd w:val="clear" w:color="auto" w:fill="auto"/>
            <w:vAlign w:val="center"/>
          </w:tcPr>
          <w:p w14:paraId="64A88549" w14:textId="77777777" w:rsidR="008D6614" w:rsidRDefault="008D6614">
            <w:pPr>
              <w:rPr>
                <w:rFonts w:ascii="宋体"/>
                <w:vanish/>
              </w:rPr>
            </w:pPr>
          </w:p>
        </w:tc>
        <w:tc>
          <w:tcPr>
            <w:tcW w:w="0" w:type="auto"/>
            <w:gridSpan w:val="3"/>
            <w:shd w:val="clear" w:color="auto" w:fill="auto"/>
            <w:vAlign w:val="center"/>
          </w:tcPr>
          <w:p w14:paraId="64A8854A" w14:textId="77777777" w:rsidR="008D6614" w:rsidRDefault="008D6614">
            <w:pPr>
              <w:rPr>
                <w:rFonts w:ascii="宋体"/>
                <w:vanish/>
              </w:rPr>
            </w:pPr>
          </w:p>
        </w:tc>
        <w:tc>
          <w:tcPr>
            <w:tcW w:w="0" w:type="auto"/>
            <w:gridSpan w:val="3"/>
            <w:shd w:val="clear" w:color="auto" w:fill="auto"/>
            <w:vAlign w:val="center"/>
          </w:tcPr>
          <w:p w14:paraId="64A8854B" w14:textId="77777777" w:rsidR="008D6614" w:rsidRDefault="008D6614">
            <w:pPr>
              <w:rPr>
                <w:rFonts w:ascii="宋体"/>
                <w:vanish/>
              </w:rPr>
            </w:pPr>
          </w:p>
        </w:tc>
      </w:tr>
      <w:tr w:rsidR="008D6614" w14:paraId="64A88555" w14:textId="77777777">
        <w:trPr>
          <w:jc w:val="center"/>
        </w:trPr>
        <w:tc>
          <w:tcPr>
            <w:tcW w:w="0" w:type="auto"/>
            <w:gridSpan w:val="3"/>
            <w:shd w:val="clear" w:color="auto" w:fill="auto"/>
            <w:tcMar>
              <w:top w:w="40" w:type="dxa"/>
              <w:left w:w="20" w:type="dxa"/>
              <w:bottom w:w="40" w:type="dxa"/>
              <w:right w:w="20" w:type="dxa"/>
            </w:tcMar>
            <w:vAlign w:val="bottom"/>
          </w:tcPr>
          <w:p w14:paraId="64A8854D" w14:textId="77777777" w:rsidR="008D6614" w:rsidRDefault="00866AF2">
            <w:pPr>
              <w:textAlignment w:val="bottom"/>
            </w:pPr>
            <w:r>
              <w:rPr>
                <w:rFonts w:ascii="Arial" w:eastAsia="宋体" w:hAnsi="Arial" w:cs="Arial"/>
                <w:b/>
                <w:bCs/>
                <w:color w:val="000000"/>
                <w:sz w:val="16"/>
                <w:szCs w:val="16"/>
              </w:rPr>
              <w:t> </w:t>
            </w:r>
          </w:p>
        </w:tc>
        <w:tc>
          <w:tcPr>
            <w:tcW w:w="0" w:type="auto"/>
            <w:shd w:val="clear" w:color="auto" w:fill="auto"/>
            <w:vAlign w:val="center"/>
          </w:tcPr>
          <w:p w14:paraId="64A8854E" w14:textId="77777777" w:rsidR="008D6614" w:rsidRDefault="008D6614">
            <w:pPr>
              <w:rPr>
                <w:rFonts w:ascii="宋体"/>
                <w:vanish/>
              </w:rPr>
            </w:pPr>
          </w:p>
        </w:tc>
        <w:tc>
          <w:tcPr>
            <w:tcW w:w="0" w:type="auto"/>
            <w:shd w:val="clear" w:color="auto" w:fill="auto"/>
            <w:vAlign w:val="center"/>
          </w:tcPr>
          <w:p w14:paraId="64A8854F" w14:textId="77777777" w:rsidR="008D6614" w:rsidRDefault="008D6614">
            <w:pPr>
              <w:rPr>
                <w:rFonts w:ascii="宋体"/>
                <w:vanish/>
              </w:rPr>
            </w:pPr>
          </w:p>
        </w:tc>
        <w:tc>
          <w:tcPr>
            <w:tcW w:w="0" w:type="auto"/>
            <w:shd w:val="clear" w:color="auto" w:fill="auto"/>
            <w:vAlign w:val="center"/>
          </w:tcPr>
          <w:p w14:paraId="64A88550" w14:textId="77777777" w:rsidR="008D6614" w:rsidRDefault="008D6614">
            <w:pPr>
              <w:rPr>
                <w:rFonts w:ascii="宋体"/>
                <w:vanish/>
              </w:rPr>
            </w:pPr>
          </w:p>
        </w:tc>
        <w:tc>
          <w:tcPr>
            <w:tcW w:w="0" w:type="auto"/>
            <w:gridSpan w:val="12"/>
            <w:shd w:val="clear" w:color="auto" w:fill="auto"/>
            <w:tcMar>
              <w:top w:w="40" w:type="dxa"/>
              <w:left w:w="20" w:type="dxa"/>
              <w:bottom w:w="40" w:type="dxa"/>
              <w:right w:w="20" w:type="dxa"/>
            </w:tcMar>
            <w:vAlign w:val="bottom"/>
          </w:tcPr>
          <w:p w14:paraId="64A88551" w14:textId="77777777" w:rsidR="008D6614" w:rsidRDefault="00866AF2">
            <w:pPr>
              <w:jc w:val="center"/>
              <w:textAlignment w:val="bottom"/>
            </w:pPr>
            <w:r>
              <w:rPr>
                <w:rFonts w:ascii="Arial" w:eastAsia="宋体" w:hAnsi="Arial" w:cs="Arial"/>
                <w:b/>
                <w:bCs/>
                <w:color w:val="000000"/>
                <w:sz w:val="16"/>
                <w:szCs w:val="16"/>
              </w:rPr>
              <w:t>(Unaudited)</w:t>
            </w:r>
          </w:p>
        </w:tc>
        <w:tc>
          <w:tcPr>
            <w:tcW w:w="0" w:type="auto"/>
            <w:gridSpan w:val="3"/>
            <w:shd w:val="clear" w:color="auto" w:fill="auto"/>
            <w:vAlign w:val="center"/>
          </w:tcPr>
          <w:p w14:paraId="64A88552" w14:textId="77777777" w:rsidR="008D6614" w:rsidRDefault="008D6614">
            <w:pPr>
              <w:rPr>
                <w:rFonts w:ascii="宋体"/>
                <w:vanish/>
              </w:rPr>
            </w:pPr>
          </w:p>
        </w:tc>
        <w:tc>
          <w:tcPr>
            <w:tcW w:w="0" w:type="auto"/>
            <w:gridSpan w:val="3"/>
            <w:shd w:val="clear" w:color="auto" w:fill="auto"/>
            <w:vAlign w:val="center"/>
          </w:tcPr>
          <w:p w14:paraId="64A88553" w14:textId="77777777" w:rsidR="008D6614" w:rsidRDefault="008D6614">
            <w:pPr>
              <w:rPr>
                <w:rFonts w:ascii="宋体"/>
                <w:vanish/>
              </w:rPr>
            </w:pPr>
          </w:p>
        </w:tc>
        <w:tc>
          <w:tcPr>
            <w:tcW w:w="0" w:type="auto"/>
            <w:gridSpan w:val="3"/>
            <w:shd w:val="clear" w:color="auto" w:fill="auto"/>
            <w:vAlign w:val="center"/>
          </w:tcPr>
          <w:p w14:paraId="64A88554" w14:textId="77777777" w:rsidR="008D6614" w:rsidRDefault="008D6614">
            <w:pPr>
              <w:rPr>
                <w:rFonts w:ascii="宋体"/>
                <w:vanish/>
              </w:rPr>
            </w:pPr>
          </w:p>
        </w:tc>
      </w:tr>
      <w:tr w:rsidR="008D6614" w14:paraId="64A8856B" w14:textId="77777777">
        <w:trPr>
          <w:jc w:val="center"/>
        </w:trPr>
        <w:tc>
          <w:tcPr>
            <w:tcW w:w="0" w:type="auto"/>
            <w:gridSpan w:val="3"/>
            <w:shd w:val="clear" w:color="auto" w:fill="E2E2E2"/>
            <w:tcMar>
              <w:top w:w="40" w:type="dxa"/>
              <w:left w:w="20" w:type="dxa"/>
              <w:bottom w:w="40" w:type="dxa"/>
              <w:right w:w="20" w:type="dxa"/>
            </w:tcMar>
            <w:vAlign w:val="bottom"/>
          </w:tcPr>
          <w:p w14:paraId="64A88556" w14:textId="77777777" w:rsidR="008D6614" w:rsidRDefault="00866AF2">
            <w:pPr>
              <w:textAlignment w:val="bottom"/>
            </w:pPr>
            <w:r>
              <w:rPr>
                <w:rFonts w:ascii="Arial" w:eastAsia="宋体" w:hAnsi="Arial" w:cs="Arial"/>
                <w:color w:val="000000"/>
                <w:sz w:val="18"/>
                <w:szCs w:val="18"/>
              </w:rPr>
              <w:t>Net revenues</w:t>
            </w:r>
          </w:p>
        </w:tc>
        <w:tc>
          <w:tcPr>
            <w:tcW w:w="0" w:type="auto"/>
            <w:shd w:val="clear" w:color="auto" w:fill="auto"/>
            <w:vAlign w:val="center"/>
          </w:tcPr>
          <w:p w14:paraId="64A88557" w14:textId="77777777" w:rsidR="008D6614" w:rsidRDefault="008D6614">
            <w:pPr>
              <w:rPr>
                <w:rFonts w:ascii="宋体"/>
                <w:vanish/>
              </w:rPr>
            </w:pPr>
          </w:p>
        </w:tc>
        <w:tc>
          <w:tcPr>
            <w:tcW w:w="0" w:type="auto"/>
            <w:shd w:val="clear" w:color="auto" w:fill="auto"/>
            <w:vAlign w:val="center"/>
          </w:tcPr>
          <w:p w14:paraId="64A88558" w14:textId="77777777" w:rsidR="008D6614" w:rsidRDefault="008D6614">
            <w:pPr>
              <w:rPr>
                <w:rFonts w:ascii="宋体"/>
                <w:vanish/>
              </w:rPr>
            </w:pPr>
          </w:p>
        </w:tc>
        <w:tc>
          <w:tcPr>
            <w:tcW w:w="0" w:type="auto"/>
            <w:shd w:val="clear" w:color="auto" w:fill="auto"/>
            <w:vAlign w:val="center"/>
          </w:tcPr>
          <w:p w14:paraId="64A88559"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55A"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855B"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55C" w14:textId="77777777" w:rsidR="008D6614" w:rsidRDefault="00866AF2">
            <w:pPr>
              <w:jc w:val="right"/>
              <w:textAlignment w:val="bottom"/>
            </w:pPr>
            <w:r>
              <w:rPr>
                <w:rFonts w:ascii="Arial" w:eastAsia="宋体" w:hAnsi="Arial" w:cs="Arial"/>
                <w:color w:val="000000"/>
                <w:sz w:val="18"/>
                <w:szCs w:val="18"/>
              </w:rPr>
              <w:t>2,374 </w:t>
            </w:r>
          </w:p>
        </w:tc>
        <w:tc>
          <w:tcPr>
            <w:tcW w:w="0" w:type="auto"/>
            <w:shd w:val="clear" w:color="auto" w:fill="E2E2E2"/>
            <w:tcMar>
              <w:top w:w="40" w:type="dxa"/>
              <w:bottom w:w="40" w:type="dxa"/>
              <w:right w:w="20" w:type="dxa"/>
            </w:tcMar>
            <w:vAlign w:val="bottom"/>
          </w:tcPr>
          <w:p w14:paraId="64A8855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55E"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855F"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560" w14:textId="77777777" w:rsidR="008D6614" w:rsidRDefault="00866AF2">
            <w:pPr>
              <w:jc w:val="right"/>
              <w:textAlignment w:val="bottom"/>
            </w:pPr>
            <w:r>
              <w:rPr>
                <w:rFonts w:ascii="Arial" w:eastAsia="宋体" w:hAnsi="Arial" w:cs="Arial"/>
                <w:color w:val="000000"/>
                <w:sz w:val="18"/>
                <w:szCs w:val="18"/>
              </w:rPr>
              <w:t>2,413 </w:t>
            </w:r>
          </w:p>
        </w:tc>
        <w:tc>
          <w:tcPr>
            <w:tcW w:w="0" w:type="auto"/>
            <w:shd w:val="clear" w:color="auto" w:fill="E2E2E2"/>
            <w:tcMar>
              <w:top w:w="40" w:type="dxa"/>
              <w:bottom w:w="40" w:type="dxa"/>
              <w:right w:w="20" w:type="dxa"/>
            </w:tcMar>
            <w:vAlign w:val="bottom"/>
          </w:tcPr>
          <w:p w14:paraId="64A8856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562" w14:textId="77777777" w:rsidR="008D6614" w:rsidRDefault="008D6614">
            <w:pPr>
              <w:rPr>
                <w:rFonts w:ascii="宋体"/>
              </w:rPr>
            </w:pPr>
          </w:p>
        </w:tc>
        <w:tc>
          <w:tcPr>
            <w:tcW w:w="0" w:type="auto"/>
            <w:shd w:val="clear" w:color="auto" w:fill="auto"/>
            <w:vAlign w:val="center"/>
          </w:tcPr>
          <w:p w14:paraId="64A88563" w14:textId="77777777" w:rsidR="008D6614" w:rsidRDefault="008D6614">
            <w:pPr>
              <w:rPr>
                <w:rFonts w:ascii="宋体"/>
              </w:rPr>
            </w:pPr>
          </w:p>
        </w:tc>
        <w:tc>
          <w:tcPr>
            <w:tcW w:w="0" w:type="auto"/>
            <w:shd w:val="clear" w:color="auto" w:fill="auto"/>
            <w:vAlign w:val="center"/>
          </w:tcPr>
          <w:p w14:paraId="64A88564" w14:textId="77777777" w:rsidR="008D6614" w:rsidRDefault="008D6614">
            <w:pPr>
              <w:rPr>
                <w:rFonts w:ascii="宋体"/>
              </w:rPr>
            </w:pPr>
          </w:p>
        </w:tc>
        <w:tc>
          <w:tcPr>
            <w:tcW w:w="0" w:type="auto"/>
            <w:shd w:val="clear" w:color="auto" w:fill="auto"/>
            <w:vAlign w:val="center"/>
          </w:tcPr>
          <w:p w14:paraId="64A88565" w14:textId="77777777" w:rsidR="008D6614" w:rsidRDefault="008D6614">
            <w:pPr>
              <w:rPr>
                <w:rFonts w:ascii="宋体"/>
              </w:rPr>
            </w:pPr>
          </w:p>
        </w:tc>
        <w:tc>
          <w:tcPr>
            <w:tcW w:w="0" w:type="auto"/>
            <w:shd w:val="clear" w:color="auto" w:fill="auto"/>
            <w:vAlign w:val="center"/>
          </w:tcPr>
          <w:p w14:paraId="64A88566" w14:textId="77777777" w:rsidR="008D6614" w:rsidRDefault="008D6614">
            <w:pPr>
              <w:rPr>
                <w:rFonts w:ascii="宋体"/>
              </w:rPr>
            </w:pPr>
          </w:p>
        </w:tc>
        <w:tc>
          <w:tcPr>
            <w:tcW w:w="0" w:type="auto"/>
            <w:shd w:val="clear" w:color="auto" w:fill="auto"/>
            <w:vAlign w:val="center"/>
          </w:tcPr>
          <w:p w14:paraId="64A88567" w14:textId="77777777" w:rsidR="008D6614" w:rsidRDefault="008D6614">
            <w:pPr>
              <w:rPr>
                <w:rFonts w:ascii="宋体"/>
              </w:rPr>
            </w:pPr>
          </w:p>
        </w:tc>
        <w:tc>
          <w:tcPr>
            <w:tcW w:w="0" w:type="auto"/>
            <w:shd w:val="clear" w:color="auto" w:fill="auto"/>
            <w:vAlign w:val="center"/>
          </w:tcPr>
          <w:p w14:paraId="64A88568" w14:textId="77777777" w:rsidR="008D6614" w:rsidRDefault="008D6614">
            <w:pPr>
              <w:rPr>
                <w:rFonts w:ascii="宋体"/>
              </w:rPr>
            </w:pPr>
          </w:p>
        </w:tc>
        <w:tc>
          <w:tcPr>
            <w:tcW w:w="0" w:type="auto"/>
            <w:shd w:val="clear" w:color="auto" w:fill="auto"/>
            <w:vAlign w:val="center"/>
          </w:tcPr>
          <w:p w14:paraId="64A88569" w14:textId="77777777" w:rsidR="008D6614" w:rsidRDefault="008D6614">
            <w:pPr>
              <w:rPr>
                <w:rFonts w:ascii="宋体"/>
              </w:rPr>
            </w:pPr>
          </w:p>
        </w:tc>
        <w:tc>
          <w:tcPr>
            <w:tcW w:w="0" w:type="auto"/>
            <w:shd w:val="clear" w:color="auto" w:fill="auto"/>
            <w:vAlign w:val="center"/>
          </w:tcPr>
          <w:p w14:paraId="64A8856A" w14:textId="77777777" w:rsidR="008D6614" w:rsidRDefault="008D6614">
            <w:pPr>
              <w:rPr>
                <w:rFonts w:ascii="宋体"/>
              </w:rPr>
            </w:pPr>
          </w:p>
        </w:tc>
      </w:tr>
      <w:tr w:rsidR="008D6614" w14:paraId="64A8857F" w14:textId="77777777">
        <w:trPr>
          <w:jc w:val="center"/>
        </w:trPr>
        <w:tc>
          <w:tcPr>
            <w:tcW w:w="0" w:type="auto"/>
            <w:gridSpan w:val="3"/>
            <w:shd w:val="clear" w:color="auto" w:fill="FFFFFF"/>
            <w:tcMar>
              <w:top w:w="40" w:type="dxa"/>
              <w:left w:w="20" w:type="dxa"/>
              <w:bottom w:w="40" w:type="dxa"/>
              <w:right w:w="20" w:type="dxa"/>
            </w:tcMar>
            <w:vAlign w:val="bottom"/>
          </w:tcPr>
          <w:p w14:paraId="64A8856C" w14:textId="77777777" w:rsidR="008D6614" w:rsidRDefault="00866AF2">
            <w:pPr>
              <w:textAlignment w:val="bottom"/>
            </w:pPr>
            <w:r>
              <w:rPr>
                <w:rFonts w:ascii="Arial" w:eastAsia="宋体" w:hAnsi="Arial" w:cs="Arial"/>
                <w:color w:val="000000"/>
                <w:sz w:val="18"/>
                <w:szCs w:val="18"/>
              </w:rPr>
              <w:t>Cost of net revenues</w:t>
            </w:r>
          </w:p>
        </w:tc>
        <w:tc>
          <w:tcPr>
            <w:tcW w:w="0" w:type="auto"/>
            <w:shd w:val="clear" w:color="auto" w:fill="auto"/>
            <w:vAlign w:val="center"/>
          </w:tcPr>
          <w:p w14:paraId="64A8856D" w14:textId="77777777" w:rsidR="008D6614" w:rsidRDefault="008D6614">
            <w:pPr>
              <w:rPr>
                <w:rFonts w:ascii="宋体"/>
                <w:vanish/>
              </w:rPr>
            </w:pPr>
          </w:p>
        </w:tc>
        <w:tc>
          <w:tcPr>
            <w:tcW w:w="0" w:type="auto"/>
            <w:shd w:val="clear" w:color="auto" w:fill="auto"/>
            <w:vAlign w:val="center"/>
          </w:tcPr>
          <w:p w14:paraId="64A8856E" w14:textId="77777777" w:rsidR="008D6614" w:rsidRDefault="008D6614">
            <w:pPr>
              <w:rPr>
                <w:rFonts w:ascii="宋体"/>
                <w:vanish/>
              </w:rPr>
            </w:pPr>
          </w:p>
        </w:tc>
        <w:tc>
          <w:tcPr>
            <w:tcW w:w="0" w:type="auto"/>
            <w:shd w:val="clear" w:color="auto" w:fill="auto"/>
            <w:vAlign w:val="center"/>
          </w:tcPr>
          <w:p w14:paraId="64A8856F"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57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571" w14:textId="77777777" w:rsidR="008D6614" w:rsidRDefault="00866AF2">
            <w:pPr>
              <w:jc w:val="right"/>
              <w:textAlignment w:val="bottom"/>
            </w:pPr>
            <w:r>
              <w:rPr>
                <w:rFonts w:ascii="Arial" w:eastAsia="宋体" w:hAnsi="Arial" w:cs="Arial"/>
                <w:color w:val="000000"/>
                <w:sz w:val="18"/>
                <w:szCs w:val="18"/>
              </w:rPr>
              <w:t>526 </w:t>
            </w:r>
          </w:p>
        </w:tc>
        <w:tc>
          <w:tcPr>
            <w:tcW w:w="0" w:type="auto"/>
            <w:shd w:val="clear" w:color="auto" w:fill="FFFFFF"/>
            <w:tcMar>
              <w:top w:w="40" w:type="dxa"/>
              <w:bottom w:w="40" w:type="dxa"/>
              <w:right w:w="20" w:type="dxa"/>
            </w:tcMar>
            <w:vAlign w:val="bottom"/>
          </w:tcPr>
          <w:p w14:paraId="64A8857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57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574" w14:textId="77777777" w:rsidR="008D6614" w:rsidRDefault="00866AF2">
            <w:pPr>
              <w:jc w:val="right"/>
              <w:textAlignment w:val="bottom"/>
            </w:pPr>
            <w:r>
              <w:rPr>
                <w:rFonts w:ascii="Arial" w:eastAsia="宋体" w:hAnsi="Arial" w:cs="Arial"/>
                <w:color w:val="000000"/>
                <w:sz w:val="18"/>
                <w:szCs w:val="18"/>
              </w:rPr>
              <w:t>539 </w:t>
            </w:r>
          </w:p>
        </w:tc>
        <w:tc>
          <w:tcPr>
            <w:tcW w:w="0" w:type="auto"/>
            <w:shd w:val="clear" w:color="auto" w:fill="FFFFFF"/>
            <w:tcMar>
              <w:top w:w="40" w:type="dxa"/>
              <w:bottom w:w="40" w:type="dxa"/>
              <w:right w:w="20" w:type="dxa"/>
            </w:tcMar>
            <w:vAlign w:val="bottom"/>
          </w:tcPr>
          <w:p w14:paraId="64A8857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576" w14:textId="77777777" w:rsidR="008D6614" w:rsidRDefault="008D6614">
            <w:pPr>
              <w:rPr>
                <w:rFonts w:ascii="宋体"/>
              </w:rPr>
            </w:pPr>
          </w:p>
        </w:tc>
        <w:tc>
          <w:tcPr>
            <w:tcW w:w="0" w:type="auto"/>
            <w:shd w:val="clear" w:color="auto" w:fill="auto"/>
            <w:vAlign w:val="center"/>
          </w:tcPr>
          <w:p w14:paraId="64A88577" w14:textId="77777777" w:rsidR="008D6614" w:rsidRDefault="008D6614">
            <w:pPr>
              <w:rPr>
                <w:rFonts w:ascii="宋体"/>
              </w:rPr>
            </w:pPr>
          </w:p>
        </w:tc>
        <w:tc>
          <w:tcPr>
            <w:tcW w:w="0" w:type="auto"/>
            <w:shd w:val="clear" w:color="auto" w:fill="auto"/>
            <w:vAlign w:val="center"/>
          </w:tcPr>
          <w:p w14:paraId="64A88578" w14:textId="77777777" w:rsidR="008D6614" w:rsidRDefault="008D6614">
            <w:pPr>
              <w:rPr>
                <w:rFonts w:ascii="宋体"/>
              </w:rPr>
            </w:pPr>
          </w:p>
        </w:tc>
        <w:tc>
          <w:tcPr>
            <w:tcW w:w="0" w:type="auto"/>
            <w:shd w:val="clear" w:color="auto" w:fill="auto"/>
            <w:vAlign w:val="center"/>
          </w:tcPr>
          <w:p w14:paraId="64A88579" w14:textId="77777777" w:rsidR="008D6614" w:rsidRDefault="008D6614">
            <w:pPr>
              <w:rPr>
                <w:rFonts w:ascii="宋体"/>
              </w:rPr>
            </w:pPr>
          </w:p>
        </w:tc>
        <w:tc>
          <w:tcPr>
            <w:tcW w:w="0" w:type="auto"/>
            <w:shd w:val="clear" w:color="auto" w:fill="auto"/>
            <w:vAlign w:val="center"/>
          </w:tcPr>
          <w:p w14:paraId="64A8857A" w14:textId="77777777" w:rsidR="008D6614" w:rsidRDefault="008D6614">
            <w:pPr>
              <w:rPr>
                <w:rFonts w:ascii="宋体"/>
              </w:rPr>
            </w:pPr>
          </w:p>
        </w:tc>
        <w:tc>
          <w:tcPr>
            <w:tcW w:w="0" w:type="auto"/>
            <w:shd w:val="clear" w:color="auto" w:fill="auto"/>
            <w:vAlign w:val="center"/>
          </w:tcPr>
          <w:p w14:paraId="64A8857B" w14:textId="77777777" w:rsidR="008D6614" w:rsidRDefault="008D6614">
            <w:pPr>
              <w:rPr>
                <w:rFonts w:ascii="宋体"/>
              </w:rPr>
            </w:pPr>
          </w:p>
        </w:tc>
        <w:tc>
          <w:tcPr>
            <w:tcW w:w="0" w:type="auto"/>
            <w:shd w:val="clear" w:color="auto" w:fill="auto"/>
            <w:vAlign w:val="center"/>
          </w:tcPr>
          <w:p w14:paraId="64A8857C" w14:textId="77777777" w:rsidR="008D6614" w:rsidRDefault="008D6614">
            <w:pPr>
              <w:rPr>
                <w:rFonts w:ascii="宋体"/>
              </w:rPr>
            </w:pPr>
          </w:p>
        </w:tc>
        <w:tc>
          <w:tcPr>
            <w:tcW w:w="0" w:type="auto"/>
            <w:shd w:val="clear" w:color="auto" w:fill="auto"/>
            <w:vAlign w:val="center"/>
          </w:tcPr>
          <w:p w14:paraId="64A8857D" w14:textId="77777777" w:rsidR="008D6614" w:rsidRDefault="008D6614">
            <w:pPr>
              <w:rPr>
                <w:rFonts w:ascii="宋体"/>
              </w:rPr>
            </w:pPr>
          </w:p>
        </w:tc>
        <w:tc>
          <w:tcPr>
            <w:tcW w:w="0" w:type="auto"/>
            <w:shd w:val="clear" w:color="auto" w:fill="auto"/>
            <w:vAlign w:val="center"/>
          </w:tcPr>
          <w:p w14:paraId="64A8857E" w14:textId="77777777" w:rsidR="008D6614" w:rsidRDefault="008D6614">
            <w:pPr>
              <w:rPr>
                <w:rFonts w:ascii="宋体"/>
              </w:rPr>
            </w:pPr>
          </w:p>
        </w:tc>
      </w:tr>
      <w:tr w:rsidR="008D6614" w14:paraId="64A88593" w14:textId="77777777">
        <w:trPr>
          <w:jc w:val="center"/>
        </w:trPr>
        <w:tc>
          <w:tcPr>
            <w:tcW w:w="0" w:type="auto"/>
            <w:gridSpan w:val="3"/>
            <w:shd w:val="clear" w:color="auto" w:fill="E2E2E2"/>
            <w:tcMar>
              <w:top w:w="40" w:type="dxa"/>
              <w:left w:w="855" w:type="dxa"/>
              <w:bottom w:w="40" w:type="dxa"/>
              <w:right w:w="20" w:type="dxa"/>
            </w:tcMar>
            <w:vAlign w:val="bottom"/>
          </w:tcPr>
          <w:p w14:paraId="64A88580" w14:textId="77777777" w:rsidR="008D6614" w:rsidRDefault="00866AF2">
            <w:pPr>
              <w:textAlignment w:val="bottom"/>
            </w:pPr>
            <w:r>
              <w:rPr>
                <w:rFonts w:ascii="Arial" w:eastAsia="宋体" w:hAnsi="Arial" w:cs="Arial"/>
                <w:color w:val="000000"/>
                <w:sz w:val="18"/>
                <w:szCs w:val="18"/>
              </w:rPr>
              <w:t>Gross profit</w:t>
            </w:r>
          </w:p>
        </w:tc>
        <w:tc>
          <w:tcPr>
            <w:tcW w:w="0" w:type="auto"/>
            <w:shd w:val="clear" w:color="auto" w:fill="auto"/>
            <w:vAlign w:val="center"/>
          </w:tcPr>
          <w:p w14:paraId="64A88581" w14:textId="77777777" w:rsidR="008D6614" w:rsidRDefault="008D6614">
            <w:pPr>
              <w:rPr>
                <w:rFonts w:ascii="宋体"/>
                <w:vanish/>
              </w:rPr>
            </w:pPr>
          </w:p>
        </w:tc>
        <w:tc>
          <w:tcPr>
            <w:tcW w:w="0" w:type="auto"/>
            <w:shd w:val="clear" w:color="auto" w:fill="auto"/>
            <w:vAlign w:val="center"/>
          </w:tcPr>
          <w:p w14:paraId="64A88582" w14:textId="77777777" w:rsidR="008D6614" w:rsidRDefault="008D6614">
            <w:pPr>
              <w:rPr>
                <w:rFonts w:ascii="宋体"/>
                <w:vanish/>
              </w:rPr>
            </w:pPr>
          </w:p>
        </w:tc>
        <w:tc>
          <w:tcPr>
            <w:tcW w:w="0" w:type="auto"/>
            <w:shd w:val="clear" w:color="auto" w:fill="auto"/>
            <w:vAlign w:val="center"/>
          </w:tcPr>
          <w:p w14:paraId="64A88583"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584"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585" w14:textId="77777777" w:rsidR="008D6614" w:rsidRDefault="00866AF2">
            <w:pPr>
              <w:jc w:val="right"/>
              <w:textAlignment w:val="bottom"/>
            </w:pPr>
            <w:r>
              <w:rPr>
                <w:rFonts w:ascii="Arial" w:eastAsia="宋体" w:hAnsi="Arial" w:cs="Arial"/>
                <w:color w:val="000000"/>
                <w:sz w:val="18"/>
                <w:szCs w:val="18"/>
              </w:rPr>
              <w:t>1,848 </w:t>
            </w:r>
          </w:p>
        </w:tc>
        <w:tc>
          <w:tcPr>
            <w:tcW w:w="0" w:type="auto"/>
            <w:tcBorders>
              <w:top w:val="single" w:sz="8" w:space="0" w:color="000000"/>
            </w:tcBorders>
            <w:shd w:val="clear" w:color="auto" w:fill="E2E2E2"/>
            <w:tcMar>
              <w:top w:w="40" w:type="dxa"/>
              <w:bottom w:w="40" w:type="dxa"/>
              <w:right w:w="20" w:type="dxa"/>
            </w:tcMar>
            <w:vAlign w:val="bottom"/>
          </w:tcPr>
          <w:p w14:paraId="64A8858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587"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588" w14:textId="77777777" w:rsidR="008D6614" w:rsidRDefault="00866AF2">
            <w:pPr>
              <w:jc w:val="right"/>
              <w:textAlignment w:val="bottom"/>
            </w:pPr>
            <w:r>
              <w:rPr>
                <w:rFonts w:ascii="Arial" w:eastAsia="宋体" w:hAnsi="Arial" w:cs="Arial"/>
                <w:color w:val="000000"/>
                <w:sz w:val="18"/>
                <w:szCs w:val="18"/>
              </w:rPr>
              <w:t>1,874 </w:t>
            </w:r>
          </w:p>
        </w:tc>
        <w:tc>
          <w:tcPr>
            <w:tcW w:w="0" w:type="auto"/>
            <w:tcBorders>
              <w:top w:val="single" w:sz="8" w:space="0" w:color="000000"/>
            </w:tcBorders>
            <w:shd w:val="clear" w:color="auto" w:fill="E2E2E2"/>
            <w:tcMar>
              <w:top w:w="40" w:type="dxa"/>
              <w:bottom w:w="40" w:type="dxa"/>
              <w:right w:w="20" w:type="dxa"/>
            </w:tcMar>
            <w:vAlign w:val="bottom"/>
          </w:tcPr>
          <w:p w14:paraId="64A8858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58A" w14:textId="77777777" w:rsidR="008D6614" w:rsidRDefault="008D6614">
            <w:pPr>
              <w:rPr>
                <w:rFonts w:ascii="宋体"/>
              </w:rPr>
            </w:pPr>
          </w:p>
        </w:tc>
        <w:tc>
          <w:tcPr>
            <w:tcW w:w="0" w:type="auto"/>
            <w:shd w:val="clear" w:color="auto" w:fill="auto"/>
            <w:vAlign w:val="center"/>
          </w:tcPr>
          <w:p w14:paraId="64A8858B" w14:textId="77777777" w:rsidR="008D6614" w:rsidRDefault="008D6614">
            <w:pPr>
              <w:rPr>
                <w:rFonts w:ascii="宋体"/>
              </w:rPr>
            </w:pPr>
          </w:p>
        </w:tc>
        <w:tc>
          <w:tcPr>
            <w:tcW w:w="0" w:type="auto"/>
            <w:shd w:val="clear" w:color="auto" w:fill="auto"/>
            <w:vAlign w:val="center"/>
          </w:tcPr>
          <w:p w14:paraId="64A8858C" w14:textId="77777777" w:rsidR="008D6614" w:rsidRDefault="008D6614">
            <w:pPr>
              <w:rPr>
                <w:rFonts w:ascii="宋体"/>
              </w:rPr>
            </w:pPr>
          </w:p>
        </w:tc>
        <w:tc>
          <w:tcPr>
            <w:tcW w:w="0" w:type="auto"/>
            <w:shd w:val="clear" w:color="auto" w:fill="auto"/>
            <w:vAlign w:val="center"/>
          </w:tcPr>
          <w:p w14:paraId="64A8858D" w14:textId="77777777" w:rsidR="008D6614" w:rsidRDefault="008D6614">
            <w:pPr>
              <w:rPr>
                <w:rFonts w:ascii="宋体"/>
              </w:rPr>
            </w:pPr>
          </w:p>
        </w:tc>
        <w:tc>
          <w:tcPr>
            <w:tcW w:w="0" w:type="auto"/>
            <w:shd w:val="clear" w:color="auto" w:fill="auto"/>
            <w:vAlign w:val="center"/>
          </w:tcPr>
          <w:p w14:paraId="64A8858E" w14:textId="77777777" w:rsidR="008D6614" w:rsidRDefault="008D6614">
            <w:pPr>
              <w:rPr>
                <w:rFonts w:ascii="宋体"/>
              </w:rPr>
            </w:pPr>
          </w:p>
        </w:tc>
        <w:tc>
          <w:tcPr>
            <w:tcW w:w="0" w:type="auto"/>
            <w:shd w:val="clear" w:color="auto" w:fill="auto"/>
            <w:vAlign w:val="center"/>
          </w:tcPr>
          <w:p w14:paraId="64A8858F" w14:textId="77777777" w:rsidR="008D6614" w:rsidRDefault="008D6614">
            <w:pPr>
              <w:rPr>
                <w:rFonts w:ascii="宋体"/>
              </w:rPr>
            </w:pPr>
          </w:p>
        </w:tc>
        <w:tc>
          <w:tcPr>
            <w:tcW w:w="0" w:type="auto"/>
            <w:shd w:val="clear" w:color="auto" w:fill="auto"/>
            <w:vAlign w:val="center"/>
          </w:tcPr>
          <w:p w14:paraId="64A88590" w14:textId="77777777" w:rsidR="008D6614" w:rsidRDefault="008D6614">
            <w:pPr>
              <w:rPr>
                <w:rFonts w:ascii="宋体"/>
              </w:rPr>
            </w:pPr>
          </w:p>
        </w:tc>
        <w:tc>
          <w:tcPr>
            <w:tcW w:w="0" w:type="auto"/>
            <w:shd w:val="clear" w:color="auto" w:fill="auto"/>
            <w:vAlign w:val="center"/>
          </w:tcPr>
          <w:p w14:paraId="64A88591" w14:textId="77777777" w:rsidR="008D6614" w:rsidRDefault="008D6614">
            <w:pPr>
              <w:rPr>
                <w:rFonts w:ascii="宋体"/>
              </w:rPr>
            </w:pPr>
          </w:p>
        </w:tc>
        <w:tc>
          <w:tcPr>
            <w:tcW w:w="0" w:type="auto"/>
            <w:shd w:val="clear" w:color="auto" w:fill="auto"/>
            <w:vAlign w:val="center"/>
          </w:tcPr>
          <w:p w14:paraId="64A88592" w14:textId="77777777" w:rsidR="008D6614" w:rsidRDefault="008D6614">
            <w:pPr>
              <w:rPr>
                <w:rFonts w:ascii="宋体"/>
              </w:rPr>
            </w:pPr>
          </w:p>
        </w:tc>
      </w:tr>
      <w:tr w:rsidR="008D6614" w14:paraId="64A885A5" w14:textId="77777777">
        <w:trPr>
          <w:jc w:val="center"/>
        </w:trPr>
        <w:tc>
          <w:tcPr>
            <w:tcW w:w="0" w:type="auto"/>
            <w:gridSpan w:val="3"/>
            <w:shd w:val="clear" w:color="auto" w:fill="FFFFFF"/>
            <w:tcMar>
              <w:top w:w="40" w:type="dxa"/>
              <w:left w:w="20" w:type="dxa"/>
              <w:bottom w:w="40" w:type="dxa"/>
              <w:right w:w="20" w:type="dxa"/>
            </w:tcMar>
            <w:vAlign w:val="bottom"/>
          </w:tcPr>
          <w:p w14:paraId="64A88594" w14:textId="77777777" w:rsidR="008D6614" w:rsidRDefault="00866AF2">
            <w:pPr>
              <w:textAlignment w:val="bottom"/>
            </w:pPr>
            <w:r>
              <w:rPr>
                <w:rFonts w:ascii="Arial" w:eastAsia="宋体" w:hAnsi="Arial" w:cs="Arial"/>
                <w:color w:val="000000"/>
                <w:sz w:val="18"/>
                <w:szCs w:val="18"/>
              </w:rPr>
              <w:t>Oper</w:t>
            </w:r>
            <w:r>
              <w:rPr>
                <w:rFonts w:ascii="Arial" w:eastAsia="宋体" w:hAnsi="Arial" w:cs="Arial"/>
                <w:color w:val="000000"/>
                <w:sz w:val="18"/>
                <w:szCs w:val="18"/>
              </w:rPr>
              <w:t>ating expenses:</w:t>
            </w:r>
          </w:p>
        </w:tc>
        <w:tc>
          <w:tcPr>
            <w:tcW w:w="0" w:type="auto"/>
            <w:shd w:val="clear" w:color="auto" w:fill="auto"/>
            <w:vAlign w:val="center"/>
          </w:tcPr>
          <w:p w14:paraId="64A88595" w14:textId="77777777" w:rsidR="008D6614" w:rsidRDefault="008D6614">
            <w:pPr>
              <w:rPr>
                <w:rFonts w:ascii="宋体"/>
                <w:vanish/>
              </w:rPr>
            </w:pPr>
          </w:p>
        </w:tc>
        <w:tc>
          <w:tcPr>
            <w:tcW w:w="0" w:type="auto"/>
            <w:shd w:val="clear" w:color="auto" w:fill="auto"/>
            <w:vAlign w:val="center"/>
          </w:tcPr>
          <w:p w14:paraId="64A88596" w14:textId="77777777" w:rsidR="008D6614" w:rsidRDefault="008D6614">
            <w:pPr>
              <w:rPr>
                <w:rFonts w:ascii="宋体"/>
                <w:vanish/>
              </w:rPr>
            </w:pPr>
          </w:p>
        </w:tc>
        <w:tc>
          <w:tcPr>
            <w:tcW w:w="0" w:type="auto"/>
            <w:shd w:val="clear" w:color="auto" w:fill="auto"/>
            <w:vAlign w:val="center"/>
          </w:tcPr>
          <w:p w14:paraId="64A88597"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598"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599"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59A"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59B" w14:textId="77777777" w:rsidR="008D6614" w:rsidRDefault="008D6614">
            <w:pPr>
              <w:rPr>
                <w:rFonts w:ascii="宋体"/>
              </w:rPr>
            </w:pPr>
          </w:p>
        </w:tc>
        <w:tc>
          <w:tcPr>
            <w:tcW w:w="0" w:type="auto"/>
            <w:shd w:val="clear" w:color="auto" w:fill="auto"/>
            <w:vAlign w:val="center"/>
          </w:tcPr>
          <w:p w14:paraId="64A8859C" w14:textId="77777777" w:rsidR="008D6614" w:rsidRDefault="008D6614">
            <w:pPr>
              <w:rPr>
                <w:rFonts w:ascii="宋体"/>
              </w:rPr>
            </w:pPr>
          </w:p>
        </w:tc>
        <w:tc>
          <w:tcPr>
            <w:tcW w:w="0" w:type="auto"/>
            <w:shd w:val="clear" w:color="auto" w:fill="auto"/>
            <w:vAlign w:val="center"/>
          </w:tcPr>
          <w:p w14:paraId="64A8859D" w14:textId="77777777" w:rsidR="008D6614" w:rsidRDefault="008D6614">
            <w:pPr>
              <w:rPr>
                <w:rFonts w:ascii="宋体"/>
              </w:rPr>
            </w:pPr>
          </w:p>
        </w:tc>
        <w:tc>
          <w:tcPr>
            <w:tcW w:w="0" w:type="auto"/>
            <w:shd w:val="clear" w:color="auto" w:fill="auto"/>
            <w:vAlign w:val="center"/>
          </w:tcPr>
          <w:p w14:paraId="64A8859E" w14:textId="77777777" w:rsidR="008D6614" w:rsidRDefault="008D6614">
            <w:pPr>
              <w:rPr>
                <w:rFonts w:ascii="宋体"/>
              </w:rPr>
            </w:pPr>
          </w:p>
        </w:tc>
        <w:tc>
          <w:tcPr>
            <w:tcW w:w="0" w:type="auto"/>
            <w:shd w:val="clear" w:color="auto" w:fill="auto"/>
            <w:vAlign w:val="center"/>
          </w:tcPr>
          <w:p w14:paraId="64A8859F" w14:textId="77777777" w:rsidR="008D6614" w:rsidRDefault="008D6614">
            <w:pPr>
              <w:rPr>
                <w:rFonts w:ascii="宋体"/>
              </w:rPr>
            </w:pPr>
          </w:p>
        </w:tc>
        <w:tc>
          <w:tcPr>
            <w:tcW w:w="0" w:type="auto"/>
            <w:shd w:val="clear" w:color="auto" w:fill="auto"/>
            <w:vAlign w:val="center"/>
          </w:tcPr>
          <w:p w14:paraId="64A885A0" w14:textId="77777777" w:rsidR="008D6614" w:rsidRDefault="008D6614">
            <w:pPr>
              <w:rPr>
                <w:rFonts w:ascii="宋体"/>
              </w:rPr>
            </w:pPr>
          </w:p>
        </w:tc>
        <w:tc>
          <w:tcPr>
            <w:tcW w:w="0" w:type="auto"/>
            <w:shd w:val="clear" w:color="auto" w:fill="auto"/>
            <w:vAlign w:val="center"/>
          </w:tcPr>
          <w:p w14:paraId="64A885A1" w14:textId="77777777" w:rsidR="008D6614" w:rsidRDefault="008D6614">
            <w:pPr>
              <w:rPr>
                <w:rFonts w:ascii="宋体"/>
              </w:rPr>
            </w:pPr>
          </w:p>
        </w:tc>
        <w:tc>
          <w:tcPr>
            <w:tcW w:w="0" w:type="auto"/>
            <w:shd w:val="clear" w:color="auto" w:fill="auto"/>
            <w:vAlign w:val="center"/>
          </w:tcPr>
          <w:p w14:paraId="64A885A2" w14:textId="77777777" w:rsidR="008D6614" w:rsidRDefault="008D6614">
            <w:pPr>
              <w:rPr>
                <w:rFonts w:ascii="宋体"/>
              </w:rPr>
            </w:pPr>
          </w:p>
        </w:tc>
        <w:tc>
          <w:tcPr>
            <w:tcW w:w="0" w:type="auto"/>
            <w:shd w:val="clear" w:color="auto" w:fill="auto"/>
            <w:vAlign w:val="center"/>
          </w:tcPr>
          <w:p w14:paraId="64A885A3" w14:textId="77777777" w:rsidR="008D6614" w:rsidRDefault="008D6614">
            <w:pPr>
              <w:rPr>
                <w:rFonts w:ascii="宋体"/>
              </w:rPr>
            </w:pPr>
          </w:p>
        </w:tc>
        <w:tc>
          <w:tcPr>
            <w:tcW w:w="0" w:type="auto"/>
            <w:shd w:val="clear" w:color="auto" w:fill="auto"/>
            <w:vAlign w:val="center"/>
          </w:tcPr>
          <w:p w14:paraId="64A885A4" w14:textId="77777777" w:rsidR="008D6614" w:rsidRDefault="008D6614">
            <w:pPr>
              <w:rPr>
                <w:rFonts w:ascii="宋体"/>
              </w:rPr>
            </w:pPr>
          </w:p>
        </w:tc>
      </w:tr>
      <w:tr w:rsidR="008D6614" w14:paraId="64A885B9" w14:textId="77777777">
        <w:trPr>
          <w:jc w:val="center"/>
        </w:trPr>
        <w:tc>
          <w:tcPr>
            <w:tcW w:w="0" w:type="auto"/>
            <w:gridSpan w:val="3"/>
            <w:shd w:val="clear" w:color="auto" w:fill="E2E2E2"/>
            <w:tcMar>
              <w:top w:w="40" w:type="dxa"/>
              <w:left w:w="495" w:type="dxa"/>
              <w:bottom w:w="40" w:type="dxa"/>
              <w:right w:w="20" w:type="dxa"/>
            </w:tcMar>
            <w:vAlign w:val="bottom"/>
          </w:tcPr>
          <w:p w14:paraId="64A885A6" w14:textId="77777777" w:rsidR="008D6614" w:rsidRDefault="00866AF2">
            <w:pPr>
              <w:textAlignment w:val="bottom"/>
            </w:pPr>
            <w:r>
              <w:rPr>
                <w:rFonts w:ascii="Arial" w:eastAsia="宋体" w:hAnsi="Arial" w:cs="Arial"/>
                <w:color w:val="000000"/>
                <w:sz w:val="18"/>
                <w:szCs w:val="18"/>
              </w:rPr>
              <w:t>Sales and marketing</w:t>
            </w:r>
          </w:p>
        </w:tc>
        <w:tc>
          <w:tcPr>
            <w:tcW w:w="0" w:type="auto"/>
            <w:shd w:val="clear" w:color="auto" w:fill="auto"/>
            <w:vAlign w:val="center"/>
          </w:tcPr>
          <w:p w14:paraId="64A885A7" w14:textId="77777777" w:rsidR="008D6614" w:rsidRDefault="008D6614">
            <w:pPr>
              <w:rPr>
                <w:rFonts w:ascii="宋体"/>
                <w:vanish/>
              </w:rPr>
            </w:pPr>
          </w:p>
        </w:tc>
        <w:tc>
          <w:tcPr>
            <w:tcW w:w="0" w:type="auto"/>
            <w:shd w:val="clear" w:color="auto" w:fill="auto"/>
            <w:vAlign w:val="center"/>
          </w:tcPr>
          <w:p w14:paraId="64A885A8" w14:textId="77777777" w:rsidR="008D6614" w:rsidRDefault="008D6614">
            <w:pPr>
              <w:rPr>
                <w:rFonts w:ascii="宋体"/>
                <w:vanish/>
              </w:rPr>
            </w:pPr>
          </w:p>
        </w:tc>
        <w:tc>
          <w:tcPr>
            <w:tcW w:w="0" w:type="auto"/>
            <w:shd w:val="clear" w:color="auto" w:fill="auto"/>
            <w:vAlign w:val="center"/>
          </w:tcPr>
          <w:p w14:paraId="64A885A9"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5A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5AB" w14:textId="77777777" w:rsidR="008D6614" w:rsidRDefault="00866AF2">
            <w:pPr>
              <w:jc w:val="right"/>
              <w:textAlignment w:val="bottom"/>
            </w:pPr>
            <w:r>
              <w:rPr>
                <w:rFonts w:ascii="Arial" w:eastAsia="宋体" w:hAnsi="Arial" w:cs="Arial"/>
                <w:color w:val="000000"/>
                <w:sz w:val="18"/>
                <w:szCs w:val="18"/>
              </w:rPr>
              <w:t>607 </w:t>
            </w:r>
          </w:p>
        </w:tc>
        <w:tc>
          <w:tcPr>
            <w:tcW w:w="0" w:type="auto"/>
            <w:shd w:val="clear" w:color="auto" w:fill="E2E2E2"/>
            <w:tcMar>
              <w:top w:w="40" w:type="dxa"/>
              <w:bottom w:w="40" w:type="dxa"/>
              <w:right w:w="20" w:type="dxa"/>
            </w:tcMar>
            <w:vAlign w:val="bottom"/>
          </w:tcPr>
          <w:p w14:paraId="64A885A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5A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5AE" w14:textId="77777777" w:rsidR="008D6614" w:rsidRDefault="00866AF2">
            <w:pPr>
              <w:jc w:val="right"/>
              <w:textAlignment w:val="bottom"/>
            </w:pPr>
            <w:r>
              <w:rPr>
                <w:rFonts w:ascii="Arial" w:eastAsia="宋体" w:hAnsi="Arial" w:cs="Arial"/>
                <w:color w:val="000000"/>
                <w:sz w:val="18"/>
                <w:szCs w:val="18"/>
              </w:rPr>
              <w:t>647 </w:t>
            </w:r>
          </w:p>
        </w:tc>
        <w:tc>
          <w:tcPr>
            <w:tcW w:w="0" w:type="auto"/>
            <w:shd w:val="clear" w:color="auto" w:fill="E2E2E2"/>
            <w:tcMar>
              <w:top w:w="40" w:type="dxa"/>
              <w:bottom w:w="40" w:type="dxa"/>
              <w:right w:w="20" w:type="dxa"/>
            </w:tcMar>
            <w:vAlign w:val="bottom"/>
          </w:tcPr>
          <w:p w14:paraId="64A885A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5B0" w14:textId="77777777" w:rsidR="008D6614" w:rsidRDefault="008D6614">
            <w:pPr>
              <w:rPr>
                <w:rFonts w:ascii="宋体"/>
              </w:rPr>
            </w:pPr>
          </w:p>
        </w:tc>
        <w:tc>
          <w:tcPr>
            <w:tcW w:w="0" w:type="auto"/>
            <w:shd w:val="clear" w:color="auto" w:fill="auto"/>
            <w:vAlign w:val="center"/>
          </w:tcPr>
          <w:p w14:paraId="64A885B1" w14:textId="77777777" w:rsidR="008D6614" w:rsidRDefault="008D6614">
            <w:pPr>
              <w:rPr>
                <w:rFonts w:ascii="宋体"/>
              </w:rPr>
            </w:pPr>
          </w:p>
        </w:tc>
        <w:tc>
          <w:tcPr>
            <w:tcW w:w="0" w:type="auto"/>
            <w:shd w:val="clear" w:color="auto" w:fill="auto"/>
            <w:vAlign w:val="center"/>
          </w:tcPr>
          <w:p w14:paraId="64A885B2" w14:textId="77777777" w:rsidR="008D6614" w:rsidRDefault="008D6614">
            <w:pPr>
              <w:rPr>
                <w:rFonts w:ascii="宋体"/>
              </w:rPr>
            </w:pPr>
          </w:p>
        </w:tc>
        <w:tc>
          <w:tcPr>
            <w:tcW w:w="0" w:type="auto"/>
            <w:shd w:val="clear" w:color="auto" w:fill="auto"/>
            <w:vAlign w:val="center"/>
          </w:tcPr>
          <w:p w14:paraId="64A885B3" w14:textId="77777777" w:rsidR="008D6614" w:rsidRDefault="008D6614">
            <w:pPr>
              <w:rPr>
                <w:rFonts w:ascii="宋体"/>
              </w:rPr>
            </w:pPr>
          </w:p>
        </w:tc>
        <w:tc>
          <w:tcPr>
            <w:tcW w:w="0" w:type="auto"/>
            <w:shd w:val="clear" w:color="auto" w:fill="auto"/>
            <w:vAlign w:val="center"/>
          </w:tcPr>
          <w:p w14:paraId="64A885B4" w14:textId="77777777" w:rsidR="008D6614" w:rsidRDefault="008D6614">
            <w:pPr>
              <w:rPr>
                <w:rFonts w:ascii="宋体"/>
              </w:rPr>
            </w:pPr>
          </w:p>
        </w:tc>
        <w:tc>
          <w:tcPr>
            <w:tcW w:w="0" w:type="auto"/>
            <w:shd w:val="clear" w:color="auto" w:fill="auto"/>
            <w:vAlign w:val="center"/>
          </w:tcPr>
          <w:p w14:paraId="64A885B5" w14:textId="77777777" w:rsidR="008D6614" w:rsidRDefault="008D6614">
            <w:pPr>
              <w:rPr>
                <w:rFonts w:ascii="宋体"/>
              </w:rPr>
            </w:pPr>
          </w:p>
        </w:tc>
        <w:tc>
          <w:tcPr>
            <w:tcW w:w="0" w:type="auto"/>
            <w:shd w:val="clear" w:color="auto" w:fill="auto"/>
            <w:vAlign w:val="center"/>
          </w:tcPr>
          <w:p w14:paraId="64A885B6" w14:textId="77777777" w:rsidR="008D6614" w:rsidRDefault="008D6614">
            <w:pPr>
              <w:rPr>
                <w:rFonts w:ascii="宋体"/>
              </w:rPr>
            </w:pPr>
          </w:p>
        </w:tc>
        <w:tc>
          <w:tcPr>
            <w:tcW w:w="0" w:type="auto"/>
            <w:shd w:val="clear" w:color="auto" w:fill="auto"/>
            <w:vAlign w:val="center"/>
          </w:tcPr>
          <w:p w14:paraId="64A885B7" w14:textId="77777777" w:rsidR="008D6614" w:rsidRDefault="008D6614">
            <w:pPr>
              <w:rPr>
                <w:rFonts w:ascii="宋体"/>
              </w:rPr>
            </w:pPr>
          </w:p>
        </w:tc>
        <w:tc>
          <w:tcPr>
            <w:tcW w:w="0" w:type="auto"/>
            <w:shd w:val="clear" w:color="auto" w:fill="auto"/>
            <w:vAlign w:val="center"/>
          </w:tcPr>
          <w:p w14:paraId="64A885B8" w14:textId="77777777" w:rsidR="008D6614" w:rsidRDefault="008D6614">
            <w:pPr>
              <w:rPr>
                <w:rFonts w:ascii="宋体"/>
              </w:rPr>
            </w:pPr>
          </w:p>
        </w:tc>
      </w:tr>
      <w:tr w:rsidR="008D6614" w14:paraId="64A885CD" w14:textId="77777777">
        <w:trPr>
          <w:jc w:val="center"/>
        </w:trPr>
        <w:tc>
          <w:tcPr>
            <w:tcW w:w="0" w:type="auto"/>
            <w:gridSpan w:val="3"/>
            <w:shd w:val="clear" w:color="auto" w:fill="FFFFFF"/>
            <w:tcMar>
              <w:top w:w="40" w:type="dxa"/>
              <w:left w:w="495" w:type="dxa"/>
              <w:bottom w:w="40" w:type="dxa"/>
              <w:right w:w="20" w:type="dxa"/>
            </w:tcMar>
            <w:vAlign w:val="bottom"/>
          </w:tcPr>
          <w:p w14:paraId="64A885BA" w14:textId="77777777" w:rsidR="008D6614" w:rsidRDefault="00866AF2">
            <w:pPr>
              <w:textAlignment w:val="bottom"/>
            </w:pPr>
            <w:r>
              <w:rPr>
                <w:rFonts w:ascii="Arial" w:eastAsia="宋体" w:hAnsi="Arial" w:cs="Arial"/>
                <w:color w:val="000000"/>
                <w:sz w:val="18"/>
                <w:szCs w:val="18"/>
              </w:rPr>
              <w:t>Product development</w:t>
            </w:r>
          </w:p>
        </w:tc>
        <w:tc>
          <w:tcPr>
            <w:tcW w:w="0" w:type="auto"/>
            <w:shd w:val="clear" w:color="auto" w:fill="auto"/>
            <w:vAlign w:val="center"/>
          </w:tcPr>
          <w:p w14:paraId="64A885BB" w14:textId="77777777" w:rsidR="008D6614" w:rsidRDefault="008D6614">
            <w:pPr>
              <w:rPr>
                <w:rFonts w:ascii="宋体"/>
                <w:vanish/>
              </w:rPr>
            </w:pPr>
          </w:p>
        </w:tc>
        <w:tc>
          <w:tcPr>
            <w:tcW w:w="0" w:type="auto"/>
            <w:shd w:val="clear" w:color="auto" w:fill="auto"/>
            <w:vAlign w:val="center"/>
          </w:tcPr>
          <w:p w14:paraId="64A885BC" w14:textId="77777777" w:rsidR="008D6614" w:rsidRDefault="008D6614">
            <w:pPr>
              <w:rPr>
                <w:rFonts w:ascii="宋体"/>
                <w:vanish/>
              </w:rPr>
            </w:pPr>
          </w:p>
        </w:tc>
        <w:tc>
          <w:tcPr>
            <w:tcW w:w="0" w:type="auto"/>
            <w:shd w:val="clear" w:color="auto" w:fill="auto"/>
            <w:vAlign w:val="center"/>
          </w:tcPr>
          <w:p w14:paraId="64A885BD"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5B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5BF" w14:textId="77777777" w:rsidR="008D6614" w:rsidRDefault="00866AF2">
            <w:pPr>
              <w:jc w:val="right"/>
              <w:textAlignment w:val="bottom"/>
            </w:pPr>
            <w:r>
              <w:rPr>
                <w:rFonts w:ascii="Arial" w:eastAsia="宋体" w:hAnsi="Arial" w:cs="Arial"/>
                <w:color w:val="000000"/>
                <w:sz w:val="18"/>
                <w:szCs w:val="18"/>
              </w:rPr>
              <w:t>267 </w:t>
            </w:r>
          </w:p>
        </w:tc>
        <w:tc>
          <w:tcPr>
            <w:tcW w:w="0" w:type="auto"/>
            <w:shd w:val="clear" w:color="auto" w:fill="FFFFFF"/>
            <w:tcMar>
              <w:top w:w="40" w:type="dxa"/>
              <w:bottom w:w="40" w:type="dxa"/>
              <w:right w:w="20" w:type="dxa"/>
            </w:tcMar>
            <w:vAlign w:val="bottom"/>
          </w:tcPr>
          <w:p w14:paraId="64A885C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5C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5C2" w14:textId="77777777" w:rsidR="008D6614" w:rsidRDefault="00866AF2">
            <w:pPr>
              <w:jc w:val="right"/>
              <w:textAlignment w:val="bottom"/>
            </w:pPr>
            <w:r>
              <w:rPr>
                <w:rFonts w:ascii="Arial" w:eastAsia="宋体" w:hAnsi="Arial" w:cs="Arial"/>
                <w:color w:val="000000"/>
                <w:sz w:val="18"/>
                <w:szCs w:val="18"/>
              </w:rPr>
              <w:t>272 </w:t>
            </w:r>
          </w:p>
        </w:tc>
        <w:tc>
          <w:tcPr>
            <w:tcW w:w="0" w:type="auto"/>
            <w:shd w:val="clear" w:color="auto" w:fill="FFFFFF"/>
            <w:tcMar>
              <w:top w:w="40" w:type="dxa"/>
              <w:bottom w:w="40" w:type="dxa"/>
              <w:right w:w="20" w:type="dxa"/>
            </w:tcMar>
            <w:vAlign w:val="bottom"/>
          </w:tcPr>
          <w:p w14:paraId="64A885C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5C4" w14:textId="77777777" w:rsidR="008D6614" w:rsidRDefault="008D6614">
            <w:pPr>
              <w:rPr>
                <w:rFonts w:ascii="宋体"/>
              </w:rPr>
            </w:pPr>
          </w:p>
        </w:tc>
        <w:tc>
          <w:tcPr>
            <w:tcW w:w="0" w:type="auto"/>
            <w:shd w:val="clear" w:color="auto" w:fill="auto"/>
            <w:vAlign w:val="center"/>
          </w:tcPr>
          <w:p w14:paraId="64A885C5" w14:textId="77777777" w:rsidR="008D6614" w:rsidRDefault="008D6614">
            <w:pPr>
              <w:rPr>
                <w:rFonts w:ascii="宋体"/>
              </w:rPr>
            </w:pPr>
          </w:p>
        </w:tc>
        <w:tc>
          <w:tcPr>
            <w:tcW w:w="0" w:type="auto"/>
            <w:shd w:val="clear" w:color="auto" w:fill="auto"/>
            <w:vAlign w:val="center"/>
          </w:tcPr>
          <w:p w14:paraId="64A885C6" w14:textId="77777777" w:rsidR="008D6614" w:rsidRDefault="008D6614">
            <w:pPr>
              <w:rPr>
                <w:rFonts w:ascii="宋体"/>
              </w:rPr>
            </w:pPr>
          </w:p>
        </w:tc>
        <w:tc>
          <w:tcPr>
            <w:tcW w:w="0" w:type="auto"/>
            <w:shd w:val="clear" w:color="auto" w:fill="auto"/>
            <w:vAlign w:val="center"/>
          </w:tcPr>
          <w:p w14:paraId="64A885C7" w14:textId="77777777" w:rsidR="008D6614" w:rsidRDefault="008D6614">
            <w:pPr>
              <w:rPr>
                <w:rFonts w:ascii="宋体"/>
              </w:rPr>
            </w:pPr>
          </w:p>
        </w:tc>
        <w:tc>
          <w:tcPr>
            <w:tcW w:w="0" w:type="auto"/>
            <w:shd w:val="clear" w:color="auto" w:fill="auto"/>
            <w:vAlign w:val="center"/>
          </w:tcPr>
          <w:p w14:paraId="64A885C8" w14:textId="77777777" w:rsidR="008D6614" w:rsidRDefault="008D6614">
            <w:pPr>
              <w:rPr>
                <w:rFonts w:ascii="宋体"/>
              </w:rPr>
            </w:pPr>
          </w:p>
        </w:tc>
        <w:tc>
          <w:tcPr>
            <w:tcW w:w="0" w:type="auto"/>
            <w:shd w:val="clear" w:color="auto" w:fill="auto"/>
            <w:vAlign w:val="center"/>
          </w:tcPr>
          <w:p w14:paraId="64A885C9" w14:textId="77777777" w:rsidR="008D6614" w:rsidRDefault="008D6614">
            <w:pPr>
              <w:rPr>
                <w:rFonts w:ascii="宋体"/>
              </w:rPr>
            </w:pPr>
          </w:p>
        </w:tc>
        <w:tc>
          <w:tcPr>
            <w:tcW w:w="0" w:type="auto"/>
            <w:shd w:val="clear" w:color="auto" w:fill="auto"/>
            <w:vAlign w:val="center"/>
          </w:tcPr>
          <w:p w14:paraId="64A885CA" w14:textId="77777777" w:rsidR="008D6614" w:rsidRDefault="008D6614">
            <w:pPr>
              <w:rPr>
                <w:rFonts w:ascii="宋体"/>
              </w:rPr>
            </w:pPr>
          </w:p>
        </w:tc>
        <w:tc>
          <w:tcPr>
            <w:tcW w:w="0" w:type="auto"/>
            <w:shd w:val="clear" w:color="auto" w:fill="auto"/>
            <w:vAlign w:val="center"/>
          </w:tcPr>
          <w:p w14:paraId="64A885CB" w14:textId="77777777" w:rsidR="008D6614" w:rsidRDefault="008D6614">
            <w:pPr>
              <w:rPr>
                <w:rFonts w:ascii="宋体"/>
              </w:rPr>
            </w:pPr>
          </w:p>
        </w:tc>
        <w:tc>
          <w:tcPr>
            <w:tcW w:w="0" w:type="auto"/>
            <w:shd w:val="clear" w:color="auto" w:fill="auto"/>
            <w:vAlign w:val="center"/>
          </w:tcPr>
          <w:p w14:paraId="64A885CC" w14:textId="77777777" w:rsidR="008D6614" w:rsidRDefault="008D6614">
            <w:pPr>
              <w:rPr>
                <w:rFonts w:ascii="宋体"/>
              </w:rPr>
            </w:pPr>
          </w:p>
        </w:tc>
      </w:tr>
      <w:tr w:rsidR="008D6614" w14:paraId="64A885E1" w14:textId="77777777">
        <w:trPr>
          <w:jc w:val="center"/>
        </w:trPr>
        <w:tc>
          <w:tcPr>
            <w:tcW w:w="0" w:type="auto"/>
            <w:gridSpan w:val="3"/>
            <w:shd w:val="clear" w:color="auto" w:fill="E2E2E2"/>
            <w:tcMar>
              <w:top w:w="40" w:type="dxa"/>
              <w:left w:w="495" w:type="dxa"/>
              <w:bottom w:w="40" w:type="dxa"/>
              <w:right w:w="20" w:type="dxa"/>
            </w:tcMar>
            <w:vAlign w:val="bottom"/>
          </w:tcPr>
          <w:p w14:paraId="64A885CE" w14:textId="77777777" w:rsidR="008D6614" w:rsidRDefault="00866AF2">
            <w:pPr>
              <w:textAlignment w:val="bottom"/>
            </w:pPr>
            <w:r>
              <w:rPr>
                <w:rFonts w:ascii="Arial" w:eastAsia="宋体" w:hAnsi="Arial" w:cs="Arial"/>
                <w:color w:val="000000"/>
                <w:sz w:val="18"/>
                <w:szCs w:val="18"/>
              </w:rPr>
              <w:t>General and administrative</w:t>
            </w:r>
          </w:p>
        </w:tc>
        <w:tc>
          <w:tcPr>
            <w:tcW w:w="0" w:type="auto"/>
            <w:shd w:val="clear" w:color="auto" w:fill="auto"/>
            <w:vAlign w:val="center"/>
          </w:tcPr>
          <w:p w14:paraId="64A885CF" w14:textId="77777777" w:rsidR="008D6614" w:rsidRDefault="008D6614">
            <w:pPr>
              <w:rPr>
                <w:rFonts w:ascii="宋体"/>
                <w:vanish/>
              </w:rPr>
            </w:pPr>
          </w:p>
        </w:tc>
        <w:tc>
          <w:tcPr>
            <w:tcW w:w="0" w:type="auto"/>
            <w:shd w:val="clear" w:color="auto" w:fill="auto"/>
            <w:vAlign w:val="center"/>
          </w:tcPr>
          <w:p w14:paraId="64A885D0" w14:textId="77777777" w:rsidR="008D6614" w:rsidRDefault="008D6614">
            <w:pPr>
              <w:rPr>
                <w:rFonts w:ascii="宋体"/>
                <w:vanish/>
              </w:rPr>
            </w:pPr>
          </w:p>
        </w:tc>
        <w:tc>
          <w:tcPr>
            <w:tcW w:w="0" w:type="auto"/>
            <w:shd w:val="clear" w:color="auto" w:fill="auto"/>
            <w:vAlign w:val="center"/>
          </w:tcPr>
          <w:p w14:paraId="64A885D1"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5D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5D3" w14:textId="77777777" w:rsidR="008D6614" w:rsidRDefault="00866AF2">
            <w:pPr>
              <w:jc w:val="right"/>
              <w:textAlignment w:val="bottom"/>
            </w:pPr>
            <w:r>
              <w:rPr>
                <w:rFonts w:ascii="Arial" w:eastAsia="宋体" w:hAnsi="Arial" w:cs="Arial"/>
                <w:color w:val="000000"/>
                <w:sz w:val="18"/>
                <w:szCs w:val="18"/>
              </w:rPr>
              <w:t>234 </w:t>
            </w:r>
          </w:p>
        </w:tc>
        <w:tc>
          <w:tcPr>
            <w:tcW w:w="0" w:type="auto"/>
            <w:shd w:val="clear" w:color="auto" w:fill="E2E2E2"/>
            <w:tcMar>
              <w:top w:w="40" w:type="dxa"/>
              <w:bottom w:w="40" w:type="dxa"/>
              <w:right w:w="20" w:type="dxa"/>
            </w:tcMar>
            <w:vAlign w:val="bottom"/>
          </w:tcPr>
          <w:p w14:paraId="64A885D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5D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5D6" w14:textId="77777777" w:rsidR="008D6614" w:rsidRDefault="00866AF2">
            <w:pPr>
              <w:jc w:val="right"/>
              <w:textAlignment w:val="bottom"/>
            </w:pPr>
            <w:r>
              <w:rPr>
                <w:rFonts w:ascii="Arial" w:eastAsia="宋体" w:hAnsi="Arial" w:cs="Arial"/>
                <w:color w:val="000000"/>
                <w:sz w:val="18"/>
                <w:szCs w:val="18"/>
              </w:rPr>
              <w:t>284 </w:t>
            </w:r>
          </w:p>
        </w:tc>
        <w:tc>
          <w:tcPr>
            <w:tcW w:w="0" w:type="auto"/>
            <w:shd w:val="clear" w:color="auto" w:fill="E2E2E2"/>
            <w:tcMar>
              <w:top w:w="40" w:type="dxa"/>
              <w:bottom w:w="40" w:type="dxa"/>
              <w:right w:w="20" w:type="dxa"/>
            </w:tcMar>
            <w:vAlign w:val="bottom"/>
          </w:tcPr>
          <w:p w14:paraId="64A885D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5D8" w14:textId="77777777" w:rsidR="008D6614" w:rsidRDefault="008D6614">
            <w:pPr>
              <w:rPr>
                <w:rFonts w:ascii="宋体"/>
              </w:rPr>
            </w:pPr>
          </w:p>
        </w:tc>
        <w:tc>
          <w:tcPr>
            <w:tcW w:w="0" w:type="auto"/>
            <w:shd w:val="clear" w:color="auto" w:fill="auto"/>
            <w:vAlign w:val="center"/>
          </w:tcPr>
          <w:p w14:paraId="64A885D9" w14:textId="77777777" w:rsidR="008D6614" w:rsidRDefault="008D6614">
            <w:pPr>
              <w:rPr>
                <w:rFonts w:ascii="宋体"/>
              </w:rPr>
            </w:pPr>
          </w:p>
        </w:tc>
        <w:tc>
          <w:tcPr>
            <w:tcW w:w="0" w:type="auto"/>
            <w:shd w:val="clear" w:color="auto" w:fill="auto"/>
            <w:vAlign w:val="center"/>
          </w:tcPr>
          <w:p w14:paraId="64A885DA" w14:textId="77777777" w:rsidR="008D6614" w:rsidRDefault="008D6614">
            <w:pPr>
              <w:rPr>
                <w:rFonts w:ascii="宋体"/>
              </w:rPr>
            </w:pPr>
          </w:p>
        </w:tc>
        <w:tc>
          <w:tcPr>
            <w:tcW w:w="0" w:type="auto"/>
            <w:shd w:val="clear" w:color="auto" w:fill="auto"/>
            <w:vAlign w:val="center"/>
          </w:tcPr>
          <w:p w14:paraId="64A885DB" w14:textId="77777777" w:rsidR="008D6614" w:rsidRDefault="008D6614">
            <w:pPr>
              <w:rPr>
                <w:rFonts w:ascii="宋体"/>
              </w:rPr>
            </w:pPr>
          </w:p>
        </w:tc>
        <w:tc>
          <w:tcPr>
            <w:tcW w:w="0" w:type="auto"/>
            <w:shd w:val="clear" w:color="auto" w:fill="auto"/>
            <w:vAlign w:val="center"/>
          </w:tcPr>
          <w:p w14:paraId="64A885DC" w14:textId="77777777" w:rsidR="008D6614" w:rsidRDefault="008D6614">
            <w:pPr>
              <w:rPr>
                <w:rFonts w:ascii="宋体"/>
              </w:rPr>
            </w:pPr>
          </w:p>
        </w:tc>
        <w:tc>
          <w:tcPr>
            <w:tcW w:w="0" w:type="auto"/>
            <w:shd w:val="clear" w:color="auto" w:fill="auto"/>
            <w:vAlign w:val="center"/>
          </w:tcPr>
          <w:p w14:paraId="64A885DD" w14:textId="77777777" w:rsidR="008D6614" w:rsidRDefault="008D6614">
            <w:pPr>
              <w:rPr>
                <w:rFonts w:ascii="宋体"/>
              </w:rPr>
            </w:pPr>
          </w:p>
        </w:tc>
        <w:tc>
          <w:tcPr>
            <w:tcW w:w="0" w:type="auto"/>
            <w:shd w:val="clear" w:color="auto" w:fill="auto"/>
            <w:vAlign w:val="center"/>
          </w:tcPr>
          <w:p w14:paraId="64A885DE" w14:textId="77777777" w:rsidR="008D6614" w:rsidRDefault="008D6614">
            <w:pPr>
              <w:rPr>
                <w:rFonts w:ascii="宋体"/>
              </w:rPr>
            </w:pPr>
          </w:p>
        </w:tc>
        <w:tc>
          <w:tcPr>
            <w:tcW w:w="0" w:type="auto"/>
            <w:shd w:val="clear" w:color="auto" w:fill="auto"/>
            <w:vAlign w:val="center"/>
          </w:tcPr>
          <w:p w14:paraId="64A885DF" w14:textId="77777777" w:rsidR="008D6614" w:rsidRDefault="008D6614">
            <w:pPr>
              <w:rPr>
                <w:rFonts w:ascii="宋体"/>
              </w:rPr>
            </w:pPr>
          </w:p>
        </w:tc>
        <w:tc>
          <w:tcPr>
            <w:tcW w:w="0" w:type="auto"/>
            <w:shd w:val="clear" w:color="auto" w:fill="auto"/>
            <w:vAlign w:val="center"/>
          </w:tcPr>
          <w:p w14:paraId="64A885E0" w14:textId="77777777" w:rsidR="008D6614" w:rsidRDefault="008D6614">
            <w:pPr>
              <w:rPr>
                <w:rFonts w:ascii="宋体"/>
              </w:rPr>
            </w:pPr>
          </w:p>
        </w:tc>
      </w:tr>
      <w:tr w:rsidR="008D6614" w14:paraId="64A885F5" w14:textId="77777777">
        <w:trPr>
          <w:jc w:val="center"/>
        </w:trPr>
        <w:tc>
          <w:tcPr>
            <w:tcW w:w="0" w:type="auto"/>
            <w:gridSpan w:val="3"/>
            <w:shd w:val="clear" w:color="auto" w:fill="FFFFFF"/>
            <w:tcMar>
              <w:top w:w="40" w:type="dxa"/>
              <w:left w:w="495" w:type="dxa"/>
              <w:bottom w:w="40" w:type="dxa"/>
              <w:right w:w="20" w:type="dxa"/>
            </w:tcMar>
            <w:vAlign w:val="bottom"/>
          </w:tcPr>
          <w:p w14:paraId="64A885E2" w14:textId="77777777" w:rsidR="008D6614" w:rsidRDefault="00866AF2">
            <w:pPr>
              <w:textAlignment w:val="bottom"/>
            </w:pPr>
            <w:r>
              <w:rPr>
                <w:rFonts w:ascii="Arial" w:eastAsia="宋体" w:hAnsi="Arial" w:cs="Arial"/>
                <w:color w:val="000000"/>
                <w:sz w:val="18"/>
                <w:szCs w:val="18"/>
              </w:rPr>
              <w:t>Provision for transaction losses</w:t>
            </w:r>
          </w:p>
        </w:tc>
        <w:tc>
          <w:tcPr>
            <w:tcW w:w="0" w:type="auto"/>
            <w:shd w:val="clear" w:color="auto" w:fill="auto"/>
            <w:vAlign w:val="center"/>
          </w:tcPr>
          <w:p w14:paraId="64A885E3" w14:textId="77777777" w:rsidR="008D6614" w:rsidRDefault="008D6614">
            <w:pPr>
              <w:rPr>
                <w:rFonts w:ascii="宋体"/>
                <w:vanish/>
              </w:rPr>
            </w:pPr>
          </w:p>
        </w:tc>
        <w:tc>
          <w:tcPr>
            <w:tcW w:w="0" w:type="auto"/>
            <w:shd w:val="clear" w:color="auto" w:fill="auto"/>
            <w:vAlign w:val="center"/>
          </w:tcPr>
          <w:p w14:paraId="64A885E4" w14:textId="77777777" w:rsidR="008D6614" w:rsidRDefault="008D6614">
            <w:pPr>
              <w:rPr>
                <w:rFonts w:ascii="宋体"/>
                <w:vanish/>
              </w:rPr>
            </w:pPr>
          </w:p>
        </w:tc>
        <w:tc>
          <w:tcPr>
            <w:tcW w:w="0" w:type="auto"/>
            <w:shd w:val="clear" w:color="auto" w:fill="auto"/>
            <w:vAlign w:val="center"/>
          </w:tcPr>
          <w:p w14:paraId="64A885E5"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5E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5E7" w14:textId="77777777" w:rsidR="008D6614" w:rsidRDefault="00866AF2">
            <w:pPr>
              <w:jc w:val="right"/>
              <w:textAlignment w:val="bottom"/>
            </w:pPr>
            <w:r>
              <w:rPr>
                <w:rFonts w:ascii="Arial" w:eastAsia="宋体" w:hAnsi="Arial" w:cs="Arial"/>
                <w:color w:val="000000"/>
                <w:sz w:val="18"/>
                <w:szCs w:val="18"/>
              </w:rPr>
              <w:t>102 </w:t>
            </w:r>
          </w:p>
        </w:tc>
        <w:tc>
          <w:tcPr>
            <w:tcW w:w="0" w:type="auto"/>
            <w:shd w:val="clear" w:color="auto" w:fill="FFFFFF"/>
            <w:tcMar>
              <w:top w:w="40" w:type="dxa"/>
              <w:bottom w:w="40" w:type="dxa"/>
              <w:right w:w="20" w:type="dxa"/>
            </w:tcMar>
            <w:vAlign w:val="bottom"/>
          </w:tcPr>
          <w:p w14:paraId="64A885E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5E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5EA" w14:textId="77777777" w:rsidR="008D6614" w:rsidRDefault="00866AF2">
            <w:pPr>
              <w:jc w:val="right"/>
              <w:textAlignment w:val="bottom"/>
            </w:pPr>
            <w:r>
              <w:rPr>
                <w:rFonts w:ascii="Arial" w:eastAsia="宋体" w:hAnsi="Arial" w:cs="Arial"/>
                <w:color w:val="000000"/>
                <w:sz w:val="18"/>
                <w:szCs w:val="18"/>
              </w:rPr>
              <w:t>67 </w:t>
            </w:r>
          </w:p>
        </w:tc>
        <w:tc>
          <w:tcPr>
            <w:tcW w:w="0" w:type="auto"/>
            <w:shd w:val="clear" w:color="auto" w:fill="FFFFFF"/>
            <w:tcMar>
              <w:top w:w="40" w:type="dxa"/>
              <w:bottom w:w="40" w:type="dxa"/>
              <w:right w:w="20" w:type="dxa"/>
            </w:tcMar>
            <w:vAlign w:val="bottom"/>
          </w:tcPr>
          <w:p w14:paraId="64A885E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5EC" w14:textId="77777777" w:rsidR="008D6614" w:rsidRDefault="008D6614">
            <w:pPr>
              <w:rPr>
                <w:rFonts w:ascii="宋体"/>
              </w:rPr>
            </w:pPr>
          </w:p>
        </w:tc>
        <w:tc>
          <w:tcPr>
            <w:tcW w:w="0" w:type="auto"/>
            <w:shd w:val="clear" w:color="auto" w:fill="auto"/>
            <w:vAlign w:val="center"/>
          </w:tcPr>
          <w:p w14:paraId="64A885ED" w14:textId="77777777" w:rsidR="008D6614" w:rsidRDefault="008D6614">
            <w:pPr>
              <w:rPr>
                <w:rFonts w:ascii="宋体"/>
              </w:rPr>
            </w:pPr>
          </w:p>
        </w:tc>
        <w:tc>
          <w:tcPr>
            <w:tcW w:w="0" w:type="auto"/>
            <w:shd w:val="clear" w:color="auto" w:fill="auto"/>
            <w:vAlign w:val="center"/>
          </w:tcPr>
          <w:p w14:paraId="64A885EE" w14:textId="77777777" w:rsidR="008D6614" w:rsidRDefault="008D6614">
            <w:pPr>
              <w:rPr>
                <w:rFonts w:ascii="宋体"/>
              </w:rPr>
            </w:pPr>
          </w:p>
        </w:tc>
        <w:tc>
          <w:tcPr>
            <w:tcW w:w="0" w:type="auto"/>
            <w:shd w:val="clear" w:color="auto" w:fill="auto"/>
            <w:vAlign w:val="center"/>
          </w:tcPr>
          <w:p w14:paraId="64A885EF" w14:textId="77777777" w:rsidR="008D6614" w:rsidRDefault="008D6614">
            <w:pPr>
              <w:rPr>
                <w:rFonts w:ascii="宋体"/>
              </w:rPr>
            </w:pPr>
          </w:p>
        </w:tc>
        <w:tc>
          <w:tcPr>
            <w:tcW w:w="0" w:type="auto"/>
            <w:shd w:val="clear" w:color="auto" w:fill="auto"/>
            <w:vAlign w:val="center"/>
          </w:tcPr>
          <w:p w14:paraId="64A885F0" w14:textId="77777777" w:rsidR="008D6614" w:rsidRDefault="008D6614">
            <w:pPr>
              <w:rPr>
                <w:rFonts w:ascii="宋体"/>
              </w:rPr>
            </w:pPr>
          </w:p>
        </w:tc>
        <w:tc>
          <w:tcPr>
            <w:tcW w:w="0" w:type="auto"/>
            <w:shd w:val="clear" w:color="auto" w:fill="auto"/>
            <w:vAlign w:val="center"/>
          </w:tcPr>
          <w:p w14:paraId="64A885F1" w14:textId="77777777" w:rsidR="008D6614" w:rsidRDefault="008D6614">
            <w:pPr>
              <w:rPr>
                <w:rFonts w:ascii="宋体"/>
              </w:rPr>
            </w:pPr>
          </w:p>
        </w:tc>
        <w:tc>
          <w:tcPr>
            <w:tcW w:w="0" w:type="auto"/>
            <w:shd w:val="clear" w:color="auto" w:fill="auto"/>
            <w:vAlign w:val="center"/>
          </w:tcPr>
          <w:p w14:paraId="64A885F2" w14:textId="77777777" w:rsidR="008D6614" w:rsidRDefault="008D6614">
            <w:pPr>
              <w:rPr>
                <w:rFonts w:ascii="宋体"/>
              </w:rPr>
            </w:pPr>
          </w:p>
        </w:tc>
        <w:tc>
          <w:tcPr>
            <w:tcW w:w="0" w:type="auto"/>
            <w:shd w:val="clear" w:color="auto" w:fill="auto"/>
            <w:vAlign w:val="center"/>
          </w:tcPr>
          <w:p w14:paraId="64A885F3" w14:textId="77777777" w:rsidR="008D6614" w:rsidRDefault="008D6614">
            <w:pPr>
              <w:rPr>
                <w:rFonts w:ascii="宋体"/>
              </w:rPr>
            </w:pPr>
          </w:p>
        </w:tc>
        <w:tc>
          <w:tcPr>
            <w:tcW w:w="0" w:type="auto"/>
            <w:shd w:val="clear" w:color="auto" w:fill="auto"/>
            <w:vAlign w:val="center"/>
          </w:tcPr>
          <w:p w14:paraId="64A885F4" w14:textId="77777777" w:rsidR="008D6614" w:rsidRDefault="008D6614">
            <w:pPr>
              <w:rPr>
                <w:rFonts w:ascii="宋体"/>
              </w:rPr>
            </w:pPr>
          </w:p>
        </w:tc>
      </w:tr>
      <w:tr w:rsidR="008D6614" w14:paraId="64A88609" w14:textId="77777777">
        <w:trPr>
          <w:jc w:val="center"/>
        </w:trPr>
        <w:tc>
          <w:tcPr>
            <w:tcW w:w="0" w:type="auto"/>
            <w:gridSpan w:val="3"/>
            <w:shd w:val="clear" w:color="auto" w:fill="E2E2E2"/>
            <w:tcMar>
              <w:top w:w="40" w:type="dxa"/>
              <w:left w:w="495" w:type="dxa"/>
              <w:bottom w:w="40" w:type="dxa"/>
              <w:right w:w="20" w:type="dxa"/>
            </w:tcMar>
            <w:vAlign w:val="bottom"/>
          </w:tcPr>
          <w:p w14:paraId="64A885F6" w14:textId="77777777" w:rsidR="008D6614" w:rsidRDefault="00866AF2">
            <w:pPr>
              <w:textAlignment w:val="bottom"/>
            </w:pPr>
            <w:r>
              <w:rPr>
                <w:rFonts w:ascii="Arial" w:eastAsia="宋体" w:hAnsi="Arial" w:cs="Arial"/>
                <w:color w:val="000000"/>
                <w:sz w:val="18"/>
                <w:szCs w:val="18"/>
              </w:rPr>
              <w:t>Amortization of acquired intangible assets</w:t>
            </w:r>
          </w:p>
        </w:tc>
        <w:tc>
          <w:tcPr>
            <w:tcW w:w="0" w:type="auto"/>
            <w:shd w:val="clear" w:color="auto" w:fill="auto"/>
            <w:vAlign w:val="center"/>
          </w:tcPr>
          <w:p w14:paraId="64A885F7" w14:textId="77777777" w:rsidR="008D6614" w:rsidRDefault="008D6614">
            <w:pPr>
              <w:rPr>
                <w:rFonts w:ascii="宋体"/>
                <w:vanish/>
              </w:rPr>
            </w:pPr>
          </w:p>
        </w:tc>
        <w:tc>
          <w:tcPr>
            <w:tcW w:w="0" w:type="auto"/>
            <w:shd w:val="clear" w:color="auto" w:fill="auto"/>
            <w:vAlign w:val="center"/>
          </w:tcPr>
          <w:p w14:paraId="64A885F8" w14:textId="77777777" w:rsidR="008D6614" w:rsidRDefault="008D6614">
            <w:pPr>
              <w:rPr>
                <w:rFonts w:ascii="宋体"/>
                <w:vanish/>
              </w:rPr>
            </w:pPr>
          </w:p>
        </w:tc>
        <w:tc>
          <w:tcPr>
            <w:tcW w:w="0" w:type="auto"/>
            <w:shd w:val="clear" w:color="auto" w:fill="auto"/>
            <w:vAlign w:val="center"/>
          </w:tcPr>
          <w:p w14:paraId="64A885F9"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5F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5FB" w14:textId="77777777" w:rsidR="008D6614" w:rsidRDefault="00866AF2">
            <w:pPr>
              <w:jc w:val="right"/>
              <w:textAlignment w:val="bottom"/>
            </w:pPr>
            <w:r>
              <w:rPr>
                <w:rFonts w:ascii="Arial" w:eastAsia="宋体" w:hAnsi="Arial" w:cs="Arial"/>
                <w:color w:val="000000"/>
                <w:sz w:val="18"/>
                <w:szCs w:val="18"/>
              </w:rPr>
              <w:t>9 </w:t>
            </w:r>
          </w:p>
        </w:tc>
        <w:tc>
          <w:tcPr>
            <w:tcW w:w="0" w:type="auto"/>
            <w:shd w:val="clear" w:color="auto" w:fill="E2E2E2"/>
            <w:tcMar>
              <w:top w:w="40" w:type="dxa"/>
              <w:bottom w:w="40" w:type="dxa"/>
              <w:right w:w="20" w:type="dxa"/>
            </w:tcMar>
            <w:vAlign w:val="bottom"/>
          </w:tcPr>
          <w:p w14:paraId="64A885F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5F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5FE" w14:textId="77777777" w:rsidR="008D6614" w:rsidRDefault="00866AF2">
            <w:pPr>
              <w:jc w:val="right"/>
              <w:textAlignment w:val="bottom"/>
            </w:pPr>
            <w:r>
              <w:rPr>
                <w:rFonts w:ascii="Arial" w:eastAsia="宋体" w:hAnsi="Arial" w:cs="Arial"/>
                <w:color w:val="000000"/>
                <w:sz w:val="18"/>
                <w:szCs w:val="18"/>
              </w:rPr>
              <w:t>11 </w:t>
            </w:r>
          </w:p>
        </w:tc>
        <w:tc>
          <w:tcPr>
            <w:tcW w:w="0" w:type="auto"/>
            <w:shd w:val="clear" w:color="auto" w:fill="E2E2E2"/>
            <w:tcMar>
              <w:top w:w="40" w:type="dxa"/>
              <w:bottom w:w="40" w:type="dxa"/>
              <w:right w:w="20" w:type="dxa"/>
            </w:tcMar>
            <w:vAlign w:val="bottom"/>
          </w:tcPr>
          <w:p w14:paraId="64A885F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600" w14:textId="77777777" w:rsidR="008D6614" w:rsidRDefault="008D6614">
            <w:pPr>
              <w:rPr>
                <w:rFonts w:ascii="宋体"/>
              </w:rPr>
            </w:pPr>
          </w:p>
        </w:tc>
        <w:tc>
          <w:tcPr>
            <w:tcW w:w="0" w:type="auto"/>
            <w:shd w:val="clear" w:color="auto" w:fill="auto"/>
            <w:vAlign w:val="center"/>
          </w:tcPr>
          <w:p w14:paraId="64A88601" w14:textId="77777777" w:rsidR="008D6614" w:rsidRDefault="008D6614">
            <w:pPr>
              <w:rPr>
                <w:rFonts w:ascii="宋体"/>
              </w:rPr>
            </w:pPr>
          </w:p>
        </w:tc>
        <w:tc>
          <w:tcPr>
            <w:tcW w:w="0" w:type="auto"/>
            <w:shd w:val="clear" w:color="auto" w:fill="auto"/>
            <w:vAlign w:val="center"/>
          </w:tcPr>
          <w:p w14:paraId="64A88602" w14:textId="77777777" w:rsidR="008D6614" w:rsidRDefault="008D6614">
            <w:pPr>
              <w:rPr>
                <w:rFonts w:ascii="宋体"/>
              </w:rPr>
            </w:pPr>
          </w:p>
        </w:tc>
        <w:tc>
          <w:tcPr>
            <w:tcW w:w="0" w:type="auto"/>
            <w:shd w:val="clear" w:color="auto" w:fill="auto"/>
            <w:vAlign w:val="center"/>
          </w:tcPr>
          <w:p w14:paraId="64A88603" w14:textId="77777777" w:rsidR="008D6614" w:rsidRDefault="008D6614">
            <w:pPr>
              <w:rPr>
                <w:rFonts w:ascii="宋体"/>
              </w:rPr>
            </w:pPr>
          </w:p>
        </w:tc>
        <w:tc>
          <w:tcPr>
            <w:tcW w:w="0" w:type="auto"/>
            <w:shd w:val="clear" w:color="auto" w:fill="auto"/>
            <w:vAlign w:val="center"/>
          </w:tcPr>
          <w:p w14:paraId="64A88604" w14:textId="77777777" w:rsidR="008D6614" w:rsidRDefault="008D6614">
            <w:pPr>
              <w:rPr>
                <w:rFonts w:ascii="宋体"/>
              </w:rPr>
            </w:pPr>
          </w:p>
        </w:tc>
        <w:tc>
          <w:tcPr>
            <w:tcW w:w="0" w:type="auto"/>
            <w:shd w:val="clear" w:color="auto" w:fill="auto"/>
            <w:vAlign w:val="center"/>
          </w:tcPr>
          <w:p w14:paraId="64A88605" w14:textId="77777777" w:rsidR="008D6614" w:rsidRDefault="008D6614">
            <w:pPr>
              <w:rPr>
                <w:rFonts w:ascii="宋体"/>
              </w:rPr>
            </w:pPr>
          </w:p>
        </w:tc>
        <w:tc>
          <w:tcPr>
            <w:tcW w:w="0" w:type="auto"/>
            <w:shd w:val="clear" w:color="auto" w:fill="auto"/>
            <w:vAlign w:val="center"/>
          </w:tcPr>
          <w:p w14:paraId="64A88606" w14:textId="77777777" w:rsidR="008D6614" w:rsidRDefault="008D6614">
            <w:pPr>
              <w:rPr>
                <w:rFonts w:ascii="宋体"/>
              </w:rPr>
            </w:pPr>
          </w:p>
        </w:tc>
        <w:tc>
          <w:tcPr>
            <w:tcW w:w="0" w:type="auto"/>
            <w:shd w:val="clear" w:color="auto" w:fill="auto"/>
            <w:vAlign w:val="center"/>
          </w:tcPr>
          <w:p w14:paraId="64A88607" w14:textId="77777777" w:rsidR="008D6614" w:rsidRDefault="008D6614">
            <w:pPr>
              <w:rPr>
                <w:rFonts w:ascii="宋体"/>
              </w:rPr>
            </w:pPr>
          </w:p>
        </w:tc>
        <w:tc>
          <w:tcPr>
            <w:tcW w:w="0" w:type="auto"/>
            <w:shd w:val="clear" w:color="auto" w:fill="auto"/>
            <w:vAlign w:val="center"/>
          </w:tcPr>
          <w:p w14:paraId="64A88608" w14:textId="77777777" w:rsidR="008D6614" w:rsidRDefault="008D6614">
            <w:pPr>
              <w:rPr>
                <w:rFonts w:ascii="宋体"/>
              </w:rPr>
            </w:pPr>
          </w:p>
        </w:tc>
      </w:tr>
      <w:tr w:rsidR="008D6614" w14:paraId="64A8861D" w14:textId="77777777">
        <w:trPr>
          <w:jc w:val="center"/>
        </w:trPr>
        <w:tc>
          <w:tcPr>
            <w:tcW w:w="0" w:type="auto"/>
            <w:gridSpan w:val="3"/>
            <w:shd w:val="clear" w:color="auto" w:fill="FFFFFF"/>
            <w:tcMar>
              <w:top w:w="40" w:type="dxa"/>
              <w:left w:w="855" w:type="dxa"/>
              <w:bottom w:w="40" w:type="dxa"/>
              <w:right w:w="20" w:type="dxa"/>
            </w:tcMar>
            <w:vAlign w:val="bottom"/>
          </w:tcPr>
          <w:p w14:paraId="64A8860A" w14:textId="77777777" w:rsidR="008D6614" w:rsidRDefault="00866AF2">
            <w:pPr>
              <w:textAlignment w:val="bottom"/>
            </w:pPr>
            <w:r>
              <w:rPr>
                <w:rFonts w:ascii="Arial" w:eastAsia="宋体" w:hAnsi="Arial" w:cs="Arial"/>
                <w:color w:val="000000"/>
                <w:sz w:val="18"/>
                <w:szCs w:val="18"/>
              </w:rPr>
              <w:t>Total operating expenses</w:t>
            </w:r>
          </w:p>
        </w:tc>
        <w:tc>
          <w:tcPr>
            <w:tcW w:w="0" w:type="auto"/>
            <w:shd w:val="clear" w:color="auto" w:fill="auto"/>
            <w:vAlign w:val="center"/>
          </w:tcPr>
          <w:p w14:paraId="64A8860B" w14:textId="77777777" w:rsidR="008D6614" w:rsidRDefault="008D6614">
            <w:pPr>
              <w:rPr>
                <w:rFonts w:ascii="宋体"/>
                <w:vanish/>
              </w:rPr>
            </w:pPr>
          </w:p>
        </w:tc>
        <w:tc>
          <w:tcPr>
            <w:tcW w:w="0" w:type="auto"/>
            <w:shd w:val="clear" w:color="auto" w:fill="auto"/>
            <w:vAlign w:val="center"/>
          </w:tcPr>
          <w:p w14:paraId="64A8860C" w14:textId="77777777" w:rsidR="008D6614" w:rsidRDefault="008D6614">
            <w:pPr>
              <w:rPr>
                <w:rFonts w:ascii="宋体"/>
                <w:vanish/>
              </w:rPr>
            </w:pPr>
          </w:p>
        </w:tc>
        <w:tc>
          <w:tcPr>
            <w:tcW w:w="0" w:type="auto"/>
            <w:shd w:val="clear" w:color="auto" w:fill="auto"/>
            <w:vAlign w:val="center"/>
          </w:tcPr>
          <w:p w14:paraId="64A8860D"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60E"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60F" w14:textId="77777777" w:rsidR="008D6614" w:rsidRDefault="00866AF2">
            <w:pPr>
              <w:jc w:val="right"/>
              <w:textAlignment w:val="bottom"/>
            </w:pPr>
            <w:r>
              <w:rPr>
                <w:rFonts w:ascii="Arial" w:eastAsia="宋体" w:hAnsi="Arial" w:cs="Arial"/>
                <w:color w:val="000000"/>
                <w:sz w:val="18"/>
                <w:szCs w:val="18"/>
              </w:rPr>
              <w:t>1,219 </w:t>
            </w:r>
          </w:p>
        </w:tc>
        <w:tc>
          <w:tcPr>
            <w:tcW w:w="0" w:type="auto"/>
            <w:tcBorders>
              <w:top w:val="single" w:sz="8" w:space="0" w:color="000000"/>
            </w:tcBorders>
            <w:shd w:val="clear" w:color="auto" w:fill="FFFFFF"/>
            <w:tcMar>
              <w:top w:w="40" w:type="dxa"/>
              <w:bottom w:w="40" w:type="dxa"/>
              <w:right w:w="20" w:type="dxa"/>
            </w:tcMar>
            <w:vAlign w:val="bottom"/>
          </w:tcPr>
          <w:p w14:paraId="64A8861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611"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612" w14:textId="77777777" w:rsidR="008D6614" w:rsidRDefault="00866AF2">
            <w:pPr>
              <w:jc w:val="right"/>
              <w:textAlignment w:val="bottom"/>
            </w:pPr>
            <w:r>
              <w:rPr>
                <w:rFonts w:ascii="Arial" w:eastAsia="宋体" w:hAnsi="Arial" w:cs="Arial"/>
                <w:color w:val="000000"/>
                <w:sz w:val="18"/>
                <w:szCs w:val="18"/>
              </w:rPr>
              <w:t>1,281 </w:t>
            </w:r>
          </w:p>
        </w:tc>
        <w:tc>
          <w:tcPr>
            <w:tcW w:w="0" w:type="auto"/>
            <w:tcBorders>
              <w:top w:val="single" w:sz="8" w:space="0" w:color="000000"/>
            </w:tcBorders>
            <w:shd w:val="clear" w:color="auto" w:fill="FFFFFF"/>
            <w:tcMar>
              <w:top w:w="40" w:type="dxa"/>
              <w:bottom w:w="40" w:type="dxa"/>
              <w:right w:w="20" w:type="dxa"/>
            </w:tcMar>
            <w:vAlign w:val="bottom"/>
          </w:tcPr>
          <w:p w14:paraId="64A8861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614" w14:textId="77777777" w:rsidR="008D6614" w:rsidRDefault="008D6614">
            <w:pPr>
              <w:rPr>
                <w:rFonts w:ascii="宋体"/>
              </w:rPr>
            </w:pPr>
          </w:p>
        </w:tc>
        <w:tc>
          <w:tcPr>
            <w:tcW w:w="0" w:type="auto"/>
            <w:shd w:val="clear" w:color="auto" w:fill="auto"/>
            <w:vAlign w:val="center"/>
          </w:tcPr>
          <w:p w14:paraId="64A88615" w14:textId="77777777" w:rsidR="008D6614" w:rsidRDefault="008D6614">
            <w:pPr>
              <w:rPr>
                <w:rFonts w:ascii="宋体"/>
              </w:rPr>
            </w:pPr>
          </w:p>
        </w:tc>
        <w:tc>
          <w:tcPr>
            <w:tcW w:w="0" w:type="auto"/>
            <w:shd w:val="clear" w:color="auto" w:fill="auto"/>
            <w:vAlign w:val="center"/>
          </w:tcPr>
          <w:p w14:paraId="64A88616" w14:textId="77777777" w:rsidR="008D6614" w:rsidRDefault="008D6614">
            <w:pPr>
              <w:rPr>
                <w:rFonts w:ascii="宋体"/>
              </w:rPr>
            </w:pPr>
          </w:p>
        </w:tc>
        <w:tc>
          <w:tcPr>
            <w:tcW w:w="0" w:type="auto"/>
            <w:shd w:val="clear" w:color="auto" w:fill="auto"/>
            <w:vAlign w:val="center"/>
          </w:tcPr>
          <w:p w14:paraId="64A88617" w14:textId="77777777" w:rsidR="008D6614" w:rsidRDefault="008D6614">
            <w:pPr>
              <w:rPr>
                <w:rFonts w:ascii="宋体"/>
              </w:rPr>
            </w:pPr>
          </w:p>
        </w:tc>
        <w:tc>
          <w:tcPr>
            <w:tcW w:w="0" w:type="auto"/>
            <w:shd w:val="clear" w:color="auto" w:fill="auto"/>
            <w:vAlign w:val="center"/>
          </w:tcPr>
          <w:p w14:paraId="64A88618" w14:textId="77777777" w:rsidR="008D6614" w:rsidRDefault="008D6614">
            <w:pPr>
              <w:rPr>
                <w:rFonts w:ascii="宋体"/>
              </w:rPr>
            </w:pPr>
          </w:p>
        </w:tc>
        <w:tc>
          <w:tcPr>
            <w:tcW w:w="0" w:type="auto"/>
            <w:shd w:val="clear" w:color="auto" w:fill="auto"/>
            <w:vAlign w:val="center"/>
          </w:tcPr>
          <w:p w14:paraId="64A88619" w14:textId="77777777" w:rsidR="008D6614" w:rsidRDefault="008D6614">
            <w:pPr>
              <w:rPr>
                <w:rFonts w:ascii="宋体"/>
              </w:rPr>
            </w:pPr>
          </w:p>
        </w:tc>
        <w:tc>
          <w:tcPr>
            <w:tcW w:w="0" w:type="auto"/>
            <w:shd w:val="clear" w:color="auto" w:fill="auto"/>
            <w:vAlign w:val="center"/>
          </w:tcPr>
          <w:p w14:paraId="64A8861A" w14:textId="77777777" w:rsidR="008D6614" w:rsidRDefault="008D6614">
            <w:pPr>
              <w:rPr>
                <w:rFonts w:ascii="宋体"/>
              </w:rPr>
            </w:pPr>
          </w:p>
        </w:tc>
        <w:tc>
          <w:tcPr>
            <w:tcW w:w="0" w:type="auto"/>
            <w:shd w:val="clear" w:color="auto" w:fill="auto"/>
            <w:vAlign w:val="center"/>
          </w:tcPr>
          <w:p w14:paraId="64A8861B" w14:textId="77777777" w:rsidR="008D6614" w:rsidRDefault="008D6614">
            <w:pPr>
              <w:rPr>
                <w:rFonts w:ascii="宋体"/>
              </w:rPr>
            </w:pPr>
          </w:p>
        </w:tc>
        <w:tc>
          <w:tcPr>
            <w:tcW w:w="0" w:type="auto"/>
            <w:shd w:val="clear" w:color="auto" w:fill="auto"/>
            <w:vAlign w:val="center"/>
          </w:tcPr>
          <w:p w14:paraId="64A8861C" w14:textId="77777777" w:rsidR="008D6614" w:rsidRDefault="008D6614">
            <w:pPr>
              <w:rPr>
                <w:rFonts w:ascii="宋体"/>
              </w:rPr>
            </w:pPr>
          </w:p>
        </w:tc>
      </w:tr>
      <w:tr w:rsidR="008D6614" w14:paraId="64A88631" w14:textId="77777777">
        <w:trPr>
          <w:jc w:val="center"/>
        </w:trPr>
        <w:tc>
          <w:tcPr>
            <w:tcW w:w="0" w:type="auto"/>
            <w:gridSpan w:val="3"/>
            <w:shd w:val="clear" w:color="auto" w:fill="E2E2E2"/>
            <w:tcMar>
              <w:top w:w="40" w:type="dxa"/>
              <w:left w:w="20" w:type="dxa"/>
              <w:bottom w:w="40" w:type="dxa"/>
              <w:right w:w="20" w:type="dxa"/>
            </w:tcMar>
            <w:vAlign w:val="bottom"/>
          </w:tcPr>
          <w:p w14:paraId="64A8861E" w14:textId="77777777" w:rsidR="008D6614" w:rsidRDefault="00866AF2">
            <w:pPr>
              <w:textAlignment w:val="bottom"/>
            </w:pPr>
            <w:r>
              <w:rPr>
                <w:rFonts w:ascii="Arial" w:eastAsia="宋体" w:hAnsi="Arial" w:cs="Arial"/>
                <w:color w:val="000000"/>
                <w:sz w:val="18"/>
                <w:szCs w:val="18"/>
              </w:rPr>
              <w:t>Inco</w:t>
            </w:r>
            <w:r>
              <w:rPr>
                <w:rFonts w:ascii="Arial" w:eastAsia="宋体" w:hAnsi="Arial" w:cs="Arial"/>
                <w:color w:val="000000"/>
                <w:sz w:val="18"/>
                <w:szCs w:val="18"/>
              </w:rPr>
              <w:t>me from operations</w:t>
            </w:r>
          </w:p>
        </w:tc>
        <w:tc>
          <w:tcPr>
            <w:tcW w:w="0" w:type="auto"/>
            <w:shd w:val="clear" w:color="auto" w:fill="auto"/>
            <w:vAlign w:val="center"/>
          </w:tcPr>
          <w:p w14:paraId="64A8861F" w14:textId="77777777" w:rsidR="008D6614" w:rsidRDefault="008D6614">
            <w:pPr>
              <w:rPr>
                <w:rFonts w:ascii="宋体"/>
                <w:vanish/>
              </w:rPr>
            </w:pPr>
          </w:p>
        </w:tc>
        <w:tc>
          <w:tcPr>
            <w:tcW w:w="0" w:type="auto"/>
            <w:shd w:val="clear" w:color="auto" w:fill="auto"/>
            <w:vAlign w:val="center"/>
          </w:tcPr>
          <w:p w14:paraId="64A88620" w14:textId="77777777" w:rsidR="008D6614" w:rsidRDefault="008D6614">
            <w:pPr>
              <w:rPr>
                <w:rFonts w:ascii="宋体"/>
                <w:vanish/>
              </w:rPr>
            </w:pPr>
          </w:p>
        </w:tc>
        <w:tc>
          <w:tcPr>
            <w:tcW w:w="0" w:type="auto"/>
            <w:shd w:val="clear" w:color="auto" w:fill="auto"/>
            <w:vAlign w:val="center"/>
          </w:tcPr>
          <w:p w14:paraId="64A88621"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622"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623" w14:textId="77777777" w:rsidR="008D6614" w:rsidRDefault="00866AF2">
            <w:pPr>
              <w:jc w:val="right"/>
              <w:textAlignment w:val="bottom"/>
            </w:pPr>
            <w:r>
              <w:rPr>
                <w:rFonts w:ascii="Arial" w:eastAsia="宋体" w:hAnsi="Arial" w:cs="Arial"/>
                <w:color w:val="000000"/>
                <w:sz w:val="18"/>
                <w:szCs w:val="18"/>
              </w:rPr>
              <w:t>629 </w:t>
            </w:r>
          </w:p>
        </w:tc>
        <w:tc>
          <w:tcPr>
            <w:tcW w:w="0" w:type="auto"/>
            <w:tcBorders>
              <w:top w:val="single" w:sz="8" w:space="0" w:color="000000"/>
            </w:tcBorders>
            <w:shd w:val="clear" w:color="auto" w:fill="E2E2E2"/>
            <w:tcMar>
              <w:top w:w="40" w:type="dxa"/>
              <w:bottom w:w="40" w:type="dxa"/>
              <w:right w:w="20" w:type="dxa"/>
            </w:tcMar>
            <w:vAlign w:val="bottom"/>
          </w:tcPr>
          <w:p w14:paraId="64A8862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625"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626" w14:textId="77777777" w:rsidR="008D6614" w:rsidRDefault="00866AF2">
            <w:pPr>
              <w:jc w:val="right"/>
              <w:textAlignment w:val="bottom"/>
            </w:pPr>
            <w:r>
              <w:rPr>
                <w:rFonts w:ascii="Arial" w:eastAsia="宋体" w:hAnsi="Arial" w:cs="Arial"/>
                <w:color w:val="000000"/>
                <w:sz w:val="18"/>
                <w:szCs w:val="18"/>
              </w:rPr>
              <w:t>593 </w:t>
            </w:r>
          </w:p>
        </w:tc>
        <w:tc>
          <w:tcPr>
            <w:tcW w:w="0" w:type="auto"/>
            <w:tcBorders>
              <w:top w:val="single" w:sz="8" w:space="0" w:color="000000"/>
            </w:tcBorders>
            <w:shd w:val="clear" w:color="auto" w:fill="E2E2E2"/>
            <w:tcMar>
              <w:top w:w="40" w:type="dxa"/>
              <w:bottom w:w="40" w:type="dxa"/>
              <w:right w:w="20" w:type="dxa"/>
            </w:tcMar>
            <w:vAlign w:val="bottom"/>
          </w:tcPr>
          <w:p w14:paraId="64A8862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628" w14:textId="77777777" w:rsidR="008D6614" w:rsidRDefault="008D6614">
            <w:pPr>
              <w:rPr>
                <w:rFonts w:ascii="宋体"/>
              </w:rPr>
            </w:pPr>
          </w:p>
        </w:tc>
        <w:tc>
          <w:tcPr>
            <w:tcW w:w="0" w:type="auto"/>
            <w:shd w:val="clear" w:color="auto" w:fill="auto"/>
            <w:vAlign w:val="center"/>
          </w:tcPr>
          <w:p w14:paraId="64A88629" w14:textId="77777777" w:rsidR="008D6614" w:rsidRDefault="008D6614">
            <w:pPr>
              <w:rPr>
                <w:rFonts w:ascii="宋体"/>
              </w:rPr>
            </w:pPr>
          </w:p>
        </w:tc>
        <w:tc>
          <w:tcPr>
            <w:tcW w:w="0" w:type="auto"/>
            <w:shd w:val="clear" w:color="auto" w:fill="auto"/>
            <w:vAlign w:val="center"/>
          </w:tcPr>
          <w:p w14:paraId="64A8862A" w14:textId="77777777" w:rsidR="008D6614" w:rsidRDefault="008D6614">
            <w:pPr>
              <w:rPr>
                <w:rFonts w:ascii="宋体"/>
              </w:rPr>
            </w:pPr>
          </w:p>
        </w:tc>
        <w:tc>
          <w:tcPr>
            <w:tcW w:w="0" w:type="auto"/>
            <w:shd w:val="clear" w:color="auto" w:fill="auto"/>
            <w:vAlign w:val="center"/>
          </w:tcPr>
          <w:p w14:paraId="64A8862B" w14:textId="77777777" w:rsidR="008D6614" w:rsidRDefault="008D6614">
            <w:pPr>
              <w:rPr>
                <w:rFonts w:ascii="宋体"/>
              </w:rPr>
            </w:pPr>
          </w:p>
        </w:tc>
        <w:tc>
          <w:tcPr>
            <w:tcW w:w="0" w:type="auto"/>
            <w:shd w:val="clear" w:color="auto" w:fill="auto"/>
            <w:vAlign w:val="center"/>
          </w:tcPr>
          <w:p w14:paraId="64A8862C" w14:textId="77777777" w:rsidR="008D6614" w:rsidRDefault="008D6614">
            <w:pPr>
              <w:rPr>
                <w:rFonts w:ascii="宋体"/>
              </w:rPr>
            </w:pPr>
          </w:p>
        </w:tc>
        <w:tc>
          <w:tcPr>
            <w:tcW w:w="0" w:type="auto"/>
            <w:shd w:val="clear" w:color="auto" w:fill="auto"/>
            <w:vAlign w:val="center"/>
          </w:tcPr>
          <w:p w14:paraId="64A8862D" w14:textId="77777777" w:rsidR="008D6614" w:rsidRDefault="008D6614">
            <w:pPr>
              <w:rPr>
                <w:rFonts w:ascii="宋体"/>
              </w:rPr>
            </w:pPr>
          </w:p>
        </w:tc>
        <w:tc>
          <w:tcPr>
            <w:tcW w:w="0" w:type="auto"/>
            <w:shd w:val="clear" w:color="auto" w:fill="auto"/>
            <w:vAlign w:val="center"/>
          </w:tcPr>
          <w:p w14:paraId="64A8862E" w14:textId="77777777" w:rsidR="008D6614" w:rsidRDefault="008D6614">
            <w:pPr>
              <w:rPr>
                <w:rFonts w:ascii="宋体"/>
              </w:rPr>
            </w:pPr>
          </w:p>
        </w:tc>
        <w:tc>
          <w:tcPr>
            <w:tcW w:w="0" w:type="auto"/>
            <w:shd w:val="clear" w:color="auto" w:fill="auto"/>
            <w:vAlign w:val="center"/>
          </w:tcPr>
          <w:p w14:paraId="64A8862F" w14:textId="77777777" w:rsidR="008D6614" w:rsidRDefault="008D6614">
            <w:pPr>
              <w:rPr>
                <w:rFonts w:ascii="宋体"/>
              </w:rPr>
            </w:pPr>
          </w:p>
        </w:tc>
        <w:tc>
          <w:tcPr>
            <w:tcW w:w="0" w:type="auto"/>
            <w:shd w:val="clear" w:color="auto" w:fill="auto"/>
            <w:vAlign w:val="center"/>
          </w:tcPr>
          <w:p w14:paraId="64A88630" w14:textId="77777777" w:rsidR="008D6614" w:rsidRDefault="008D6614">
            <w:pPr>
              <w:rPr>
                <w:rFonts w:ascii="宋体"/>
              </w:rPr>
            </w:pPr>
          </w:p>
        </w:tc>
      </w:tr>
      <w:tr w:rsidR="008D6614" w14:paraId="64A88645" w14:textId="77777777">
        <w:trPr>
          <w:jc w:val="center"/>
        </w:trPr>
        <w:tc>
          <w:tcPr>
            <w:tcW w:w="0" w:type="auto"/>
            <w:gridSpan w:val="3"/>
            <w:shd w:val="clear" w:color="auto" w:fill="FFFFFF"/>
            <w:tcMar>
              <w:top w:w="40" w:type="dxa"/>
              <w:left w:w="20" w:type="dxa"/>
              <w:bottom w:w="40" w:type="dxa"/>
              <w:right w:w="20" w:type="dxa"/>
            </w:tcMar>
            <w:vAlign w:val="bottom"/>
          </w:tcPr>
          <w:p w14:paraId="64A88632" w14:textId="77777777" w:rsidR="008D6614" w:rsidRDefault="00866AF2">
            <w:pPr>
              <w:textAlignment w:val="bottom"/>
            </w:pPr>
            <w:r>
              <w:rPr>
                <w:rFonts w:ascii="Arial" w:eastAsia="宋体" w:hAnsi="Arial" w:cs="Arial"/>
                <w:color w:val="000000"/>
                <w:sz w:val="18"/>
                <w:szCs w:val="18"/>
              </w:rPr>
              <w:t xml:space="preserve">Interest </w:t>
            </w:r>
            <w:r>
              <w:rPr>
                <w:rFonts w:ascii="Arial" w:eastAsia="宋体" w:hAnsi="Arial" w:cs="Arial"/>
                <w:color w:val="000000"/>
                <w:sz w:val="18"/>
                <w:szCs w:val="18"/>
              </w:rPr>
              <w:t>and other, net</w:t>
            </w:r>
          </w:p>
        </w:tc>
        <w:tc>
          <w:tcPr>
            <w:tcW w:w="0" w:type="auto"/>
            <w:shd w:val="clear" w:color="auto" w:fill="auto"/>
            <w:vAlign w:val="center"/>
          </w:tcPr>
          <w:p w14:paraId="64A88633" w14:textId="77777777" w:rsidR="008D6614" w:rsidRDefault="008D6614">
            <w:pPr>
              <w:rPr>
                <w:rFonts w:ascii="宋体"/>
                <w:vanish/>
              </w:rPr>
            </w:pPr>
          </w:p>
        </w:tc>
        <w:tc>
          <w:tcPr>
            <w:tcW w:w="0" w:type="auto"/>
            <w:shd w:val="clear" w:color="auto" w:fill="auto"/>
            <w:vAlign w:val="center"/>
          </w:tcPr>
          <w:p w14:paraId="64A88634" w14:textId="77777777" w:rsidR="008D6614" w:rsidRDefault="008D6614">
            <w:pPr>
              <w:rPr>
                <w:rFonts w:ascii="宋体"/>
                <w:vanish/>
              </w:rPr>
            </w:pPr>
          </w:p>
        </w:tc>
        <w:tc>
          <w:tcPr>
            <w:tcW w:w="0" w:type="auto"/>
            <w:shd w:val="clear" w:color="auto" w:fill="auto"/>
            <w:vAlign w:val="center"/>
          </w:tcPr>
          <w:p w14:paraId="64A88635"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63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637"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863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63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63A" w14:textId="77777777" w:rsidR="008D6614" w:rsidRDefault="00866AF2">
            <w:pPr>
              <w:jc w:val="right"/>
              <w:textAlignment w:val="bottom"/>
            </w:pPr>
            <w:r>
              <w:rPr>
                <w:rFonts w:ascii="Arial" w:eastAsia="宋体" w:hAnsi="Arial" w:cs="Arial"/>
                <w:color w:val="000000"/>
                <w:sz w:val="18"/>
                <w:szCs w:val="18"/>
              </w:rPr>
              <w:t>64 </w:t>
            </w:r>
          </w:p>
        </w:tc>
        <w:tc>
          <w:tcPr>
            <w:tcW w:w="0" w:type="auto"/>
            <w:shd w:val="clear" w:color="auto" w:fill="FFFFFF"/>
            <w:tcMar>
              <w:top w:w="40" w:type="dxa"/>
              <w:bottom w:w="40" w:type="dxa"/>
              <w:right w:w="20" w:type="dxa"/>
            </w:tcMar>
            <w:vAlign w:val="bottom"/>
          </w:tcPr>
          <w:p w14:paraId="64A8863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63C" w14:textId="77777777" w:rsidR="008D6614" w:rsidRDefault="008D6614">
            <w:pPr>
              <w:rPr>
                <w:rFonts w:ascii="宋体"/>
              </w:rPr>
            </w:pPr>
          </w:p>
        </w:tc>
        <w:tc>
          <w:tcPr>
            <w:tcW w:w="0" w:type="auto"/>
            <w:shd w:val="clear" w:color="auto" w:fill="auto"/>
            <w:vAlign w:val="center"/>
          </w:tcPr>
          <w:p w14:paraId="64A8863D" w14:textId="77777777" w:rsidR="008D6614" w:rsidRDefault="008D6614">
            <w:pPr>
              <w:rPr>
                <w:rFonts w:ascii="宋体"/>
              </w:rPr>
            </w:pPr>
          </w:p>
        </w:tc>
        <w:tc>
          <w:tcPr>
            <w:tcW w:w="0" w:type="auto"/>
            <w:shd w:val="clear" w:color="auto" w:fill="auto"/>
            <w:vAlign w:val="center"/>
          </w:tcPr>
          <w:p w14:paraId="64A8863E" w14:textId="77777777" w:rsidR="008D6614" w:rsidRDefault="008D6614">
            <w:pPr>
              <w:rPr>
                <w:rFonts w:ascii="宋体"/>
              </w:rPr>
            </w:pPr>
          </w:p>
        </w:tc>
        <w:tc>
          <w:tcPr>
            <w:tcW w:w="0" w:type="auto"/>
            <w:shd w:val="clear" w:color="auto" w:fill="auto"/>
            <w:vAlign w:val="center"/>
          </w:tcPr>
          <w:p w14:paraId="64A8863F" w14:textId="77777777" w:rsidR="008D6614" w:rsidRDefault="008D6614">
            <w:pPr>
              <w:rPr>
                <w:rFonts w:ascii="宋体"/>
              </w:rPr>
            </w:pPr>
          </w:p>
        </w:tc>
        <w:tc>
          <w:tcPr>
            <w:tcW w:w="0" w:type="auto"/>
            <w:shd w:val="clear" w:color="auto" w:fill="auto"/>
            <w:vAlign w:val="center"/>
          </w:tcPr>
          <w:p w14:paraId="64A88640" w14:textId="77777777" w:rsidR="008D6614" w:rsidRDefault="008D6614">
            <w:pPr>
              <w:rPr>
                <w:rFonts w:ascii="宋体"/>
              </w:rPr>
            </w:pPr>
          </w:p>
        </w:tc>
        <w:tc>
          <w:tcPr>
            <w:tcW w:w="0" w:type="auto"/>
            <w:shd w:val="clear" w:color="auto" w:fill="auto"/>
            <w:vAlign w:val="center"/>
          </w:tcPr>
          <w:p w14:paraId="64A88641" w14:textId="77777777" w:rsidR="008D6614" w:rsidRDefault="008D6614">
            <w:pPr>
              <w:rPr>
                <w:rFonts w:ascii="宋体"/>
              </w:rPr>
            </w:pPr>
          </w:p>
        </w:tc>
        <w:tc>
          <w:tcPr>
            <w:tcW w:w="0" w:type="auto"/>
            <w:shd w:val="clear" w:color="auto" w:fill="auto"/>
            <w:vAlign w:val="center"/>
          </w:tcPr>
          <w:p w14:paraId="64A88642" w14:textId="77777777" w:rsidR="008D6614" w:rsidRDefault="008D6614">
            <w:pPr>
              <w:rPr>
                <w:rFonts w:ascii="宋体"/>
              </w:rPr>
            </w:pPr>
          </w:p>
        </w:tc>
        <w:tc>
          <w:tcPr>
            <w:tcW w:w="0" w:type="auto"/>
            <w:shd w:val="clear" w:color="auto" w:fill="auto"/>
            <w:vAlign w:val="center"/>
          </w:tcPr>
          <w:p w14:paraId="64A88643" w14:textId="77777777" w:rsidR="008D6614" w:rsidRDefault="008D6614">
            <w:pPr>
              <w:rPr>
                <w:rFonts w:ascii="宋体"/>
              </w:rPr>
            </w:pPr>
          </w:p>
        </w:tc>
        <w:tc>
          <w:tcPr>
            <w:tcW w:w="0" w:type="auto"/>
            <w:shd w:val="clear" w:color="auto" w:fill="auto"/>
            <w:vAlign w:val="center"/>
          </w:tcPr>
          <w:p w14:paraId="64A88644" w14:textId="77777777" w:rsidR="008D6614" w:rsidRDefault="008D6614">
            <w:pPr>
              <w:rPr>
                <w:rFonts w:ascii="宋体"/>
              </w:rPr>
            </w:pPr>
          </w:p>
        </w:tc>
      </w:tr>
      <w:tr w:rsidR="008D6614" w14:paraId="64A88659" w14:textId="77777777">
        <w:trPr>
          <w:jc w:val="center"/>
        </w:trPr>
        <w:tc>
          <w:tcPr>
            <w:tcW w:w="0" w:type="auto"/>
            <w:gridSpan w:val="3"/>
            <w:shd w:val="clear" w:color="auto" w:fill="E2E2E2"/>
            <w:tcMar>
              <w:top w:w="40" w:type="dxa"/>
              <w:left w:w="20" w:type="dxa"/>
              <w:bottom w:w="40" w:type="dxa"/>
              <w:right w:w="20" w:type="dxa"/>
            </w:tcMar>
            <w:vAlign w:val="bottom"/>
          </w:tcPr>
          <w:p w14:paraId="64A88646" w14:textId="77777777" w:rsidR="008D6614" w:rsidRDefault="00866AF2">
            <w:pPr>
              <w:textAlignment w:val="bottom"/>
            </w:pPr>
            <w:r>
              <w:rPr>
                <w:rFonts w:ascii="Arial" w:eastAsia="宋体" w:hAnsi="Arial" w:cs="Arial"/>
                <w:color w:val="000000"/>
                <w:sz w:val="18"/>
                <w:szCs w:val="18"/>
              </w:rPr>
              <w:t>Income from continuing operations before income taxes</w:t>
            </w:r>
          </w:p>
        </w:tc>
        <w:tc>
          <w:tcPr>
            <w:tcW w:w="0" w:type="auto"/>
            <w:shd w:val="clear" w:color="auto" w:fill="auto"/>
            <w:vAlign w:val="center"/>
          </w:tcPr>
          <w:p w14:paraId="64A88647" w14:textId="77777777" w:rsidR="008D6614" w:rsidRDefault="008D6614">
            <w:pPr>
              <w:rPr>
                <w:rFonts w:ascii="宋体"/>
                <w:vanish/>
              </w:rPr>
            </w:pPr>
          </w:p>
        </w:tc>
        <w:tc>
          <w:tcPr>
            <w:tcW w:w="0" w:type="auto"/>
            <w:shd w:val="clear" w:color="auto" w:fill="auto"/>
            <w:vAlign w:val="center"/>
          </w:tcPr>
          <w:p w14:paraId="64A88648" w14:textId="77777777" w:rsidR="008D6614" w:rsidRDefault="008D6614">
            <w:pPr>
              <w:rPr>
                <w:rFonts w:ascii="宋体"/>
                <w:vanish/>
              </w:rPr>
            </w:pPr>
          </w:p>
        </w:tc>
        <w:tc>
          <w:tcPr>
            <w:tcW w:w="0" w:type="auto"/>
            <w:shd w:val="clear" w:color="auto" w:fill="auto"/>
            <w:vAlign w:val="center"/>
          </w:tcPr>
          <w:p w14:paraId="64A88649"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64A"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64B" w14:textId="77777777" w:rsidR="008D6614" w:rsidRDefault="00866AF2">
            <w:pPr>
              <w:jc w:val="right"/>
              <w:textAlignment w:val="bottom"/>
            </w:pPr>
            <w:r>
              <w:rPr>
                <w:rFonts w:ascii="Arial" w:eastAsia="宋体" w:hAnsi="Arial" w:cs="Arial"/>
                <w:color w:val="000000"/>
                <w:sz w:val="18"/>
                <w:szCs w:val="18"/>
              </w:rPr>
              <w:t>631 </w:t>
            </w:r>
          </w:p>
        </w:tc>
        <w:tc>
          <w:tcPr>
            <w:tcW w:w="0" w:type="auto"/>
            <w:tcBorders>
              <w:top w:val="single" w:sz="8" w:space="0" w:color="000000"/>
            </w:tcBorders>
            <w:shd w:val="clear" w:color="auto" w:fill="E2E2E2"/>
            <w:tcMar>
              <w:top w:w="40" w:type="dxa"/>
              <w:bottom w:w="40" w:type="dxa"/>
              <w:right w:w="20" w:type="dxa"/>
            </w:tcMar>
            <w:vAlign w:val="bottom"/>
          </w:tcPr>
          <w:p w14:paraId="64A8864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64D"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64E" w14:textId="77777777" w:rsidR="008D6614" w:rsidRDefault="00866AF2">
            <w:pPr>
              <w:jc w:val="right"/>
              <w:textAlignment w:val="bottom"/>
            </w:pPr>
            <w:r>
              <w:rPr>
                <w:rFonts w:ascii="Arial" w:eastAsia="宋体" w:hAnsi="Arial" w:cs="Arial"/>
                <w:color w:val="000000"/>
                <w:sz w:val="18"/>
                <w:szCs w:val="18"/>
              </w:rPr>
              <w:t>657 </w:t>
            </w:r>
          </w:p>
        </w:tc>
        <w:tc>
          <w:tcPr>
            <w:tcW w:w="0" w:type="auto"/>
            <w:tcBorders>
              <w:top w:val="single" w:sz="8" w:space="0" w:color="000000"/>
            </w:tcBorders>
            <w:shd w:val="clear" w:color="auto" w:fill="E2E2E2"/>
            <w:tcMar>
              <w:top w:w="40" w:type="dxa"/>
              <w:bottom w:w="40" w:type="dxa"/>
              <w:right w:w="20" w:type="dxa"/>
            </w:tcMar>
            <w:vAlign w:val="bottom"/>
          </w:tcPr>
          <w:p w14:paraId="64A8864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650" w14:textId="77777777" w:rsidR="008D6614" w:rsidRDefault="008D6614">
            <w:pPr>
              <w:rPr>
                <w:rFonts w:ascii="宋体"/>
              </w:rPr>
            </w:pPr>
          </w:p>
        </w:tc>
        <w:tc>
          <w:tcPr>
            <w:tcW w:w="0" w:type="auto"/>
            <w:shd w:val="clear" w:color="auto" w:fill="auto"/>
            <w:vAlign w:val="center"/>
          </w:tcPr>
          <w:p w14:paraId="64A88651" w14:textId="77777777" w:rsidR="008D6614" w:rsidRDefault="008D6614">
            <w:pPr>
              <w:rPr>
                <w:rFonts w:ascii="宋体"/>
              </w:rPr>
            </w:pPr>
          </w:p>
        </w:tc>
        <w:tc>
          <w:tcPr>
            <w:tcW w:w="0" w:type="auto"/>
            <w:shd w:val="clear" w:color="auto" w:fill="auto"/>
            <w:vAlign w:val="center"/>
          </w:tcPr>
          <w:p w14:paraId="64A88652" w14:textId="77777777" w:rsidR="008D6614" w:rsidRDefault="008D6614">
            <w:pPr>
              <w:rPr>
                <w:rFonts w:ascii="宋体"/>
              </w:rPr>
            </w:pPr>
          </w:p>
        </w:tc>
        <w:tc>
          <w:tcPr>
            <w:tcW w:w="0" w:type="auto"/>
            <w:shd w:val="clear" w:color="auto" w:fill="auto"/>
            <w:vAlign w:val="center"/>
          </w:tcPr>
          <w:p w14:paraId="64A88653" w14:textId="77777777" w:rsidR="008D6614" w:rsidRDefault="008D6614">
            <w:pPr>
              <w:rPr>
                <w:rFonts w:ascii="宋体"/>
              </w:rPr>
            </w:pPr>
          </w:p>
        </w:tc>
        <w:tc>
          <w:tcPr>
            <w:tcW w:w="0" w:type="auto"/>
            <w:shd w:val="clear" w:color="auto" w:fill="auto"/>
            <w:vAlign w:val="center"/>
          </w:tcPr>
          <w:p w14:paraId="64A88654" w14:textId="77777777" w:rsidR="008D6614" w:rsidRDefault="008D6614">
            <w:pPr>
              <w:rPr>
                <w:rFonts w:ascii="宋体"/>
              </w:rPr>
            </w:pPr>
          </w:p>
        </w:tc>
        <w:tc>
          <w:tcPr>
            <w:tcW w:w="0" w:type="auto"/>
            <w:shd w:val="clear" w:color="auto" w:fill="auto"/>
            <w:vAlign w:val="center"/>
          </w:tcPr>
          <w:p w14:paraId="64A88655" w14:textId="77777777" w:rsidR="008D6614" w:rsidRDefault="008D6614">
            <w:pPr>
              <w:rPr>
                <w:rFonts w:ascii="宋体"/>
              </w:rPr>
            </w:pPr>
          </w:p>
        </w:tc>
        <w:tc>
          <w:tcPr>
            <w:tcW w:w="0" w:type="auto"/>
            <w:shd w:val="clear" w:color="auto" w:fill="auto"/>
            <w:vAlign w:val="center"/>
          </w:tcPr>
          <w:p w14:paraId="64A88656" w14:textId="77777777" w:rsidR="008D6614" w:rsidRDefault="008D6614">
            <w:pPr>
              <w:rPr>
                <w:rFonts w:ascii="宋体"/>
              </w:rPr>
            </w:pPr>
          </w:p>
        </w:tc>
        <w:tc>
          <w:tcPr>
            <w:tcW w:w="0" w:type="auto"/>
            <w:shd w:val="clear" w:color="auto" w:fill="auto"/>
            <w:vAlign w:val="center"/>
          </w:tcPr>
          <w:p w14:paraId="64A88657" w14:textId="77777777" w:rsidR="008D6614" w:rsidRDefault="008D6614">
            <w:pPr>
              <w:rPr>
                <w:rFonts w:ascii="宋体"/>
              </w:rPr>
            </w:pPr>
          </w:p>
        </w:tc>
        <w:tc>
          <w:tcPr>
            <w:tcW w:w="0" w:type="auto"/>
            <w:shd w:val="clear" w:color="auto" w:fill="auto"/>
            <w:vAlign w:val="center"/>
          </w:tcPr>
          <w:p w14:paraId="64A88658" w14:textId="77777777" w:rsidR="008D6614" w:rsidRDefault="008D6614">
            <w:pPr>
              <w:rPr>
                <w:rFonts w:ascii="宋体"/>
              </w:rPr>
            </w:pPr>
          </w:p>
        </w:tc>
      </w:tr>
      <w:tr w:rsidR="008D6614" w14:paraId="64A8866D" w14:textId="77777777">
        <w:trPr>
          <w:jc w:val="center"/>
        </w:trPr>
        <w:tc>
          <w:tcPr>
            <w:tcW w:w="0" w:type="auto"/>
            <w:gridSpan w:val="3"/>
            <w:shd w:val="clear" w:color="auto" w:fill="FFFFFF"/>
            <w:tcMar>
              <w:top w:w="40" w:type="dxa"/>
              <w:left w:w="20" w:type="dxa"/>
              <w:bottom w:w="40" w:type="dxa"/>
              <w:right w:w="20" w:type="dxa"/>
            </w:tcMar>
            <w:vAlign w:val="bottom"/>
          </w:tcPr>
          <w:p w14:paraId="64A8865A" w14:textId="77777777" w:rsidR="008D6614" w:rsidRDefault="00866AF2">
            <w:pPr>
              <w:textAlignment w:val="bottom"/>
            </w:pPr>
            <w:r>
              <w:rPr>
                <w:rFonts w:ascii="Arial" w:eastAsia="宋体" w:hAnsi="Arial" w:cs="Arial"/>
                <w:color w:val="000000"/>
                <w:sz w:val="18"/>
                <w:szCs w:val="18"/>
              </w:rPr>
              <w:t>Income ta</w:t>
            </w:r>
            <w:r>
              <w:rPr>
                <w:rFonts w:ascii="Arial" w:eastAsia="宋体" w:hAnsi="Arial" w:cs="Arial"/>
                <w:color w:val="000000"/>
                <w:sz w:val="18"/>
                <w:szCs w:val="18"/>
              </w:rPr>
              <w:t>x provision</w:t>
            </w:r>
          </w:p>
        </w:tc>
        <w:tc>
          <w:tcPr>
            <w:tcW w:w="0" w:type="auto"/>
            <w:shd w:val="clear" w:color="auto" w:fill="auto"/>
            <w:vAlign w:val="center"/>
          </w:tcPr>
          <w:p w14:paraId="64A8865B" w14:textId="77777777" w:rsidR="008D6614" w:rsidRDefault="008D6614">
            <w:pPr>
              <w:rPr>
                <w:rFonts w:ascii="宋体"/>
                <w:vanish/>
              </w:rPr>
            </w:pPr>
          </w:p>
        </w:tc>
        <w:tc>
          <w:tcPr>
            <w:tcW w:w="0" w:type="auto"/>
            <w:shd w:val="clear" w:color="auto" w:fill="auto"/>
            <w:vAlign w:val="center"/>
          </w:tcPr>
          <w:p w14:paraId="64A8865C" w14:textId="77777777" w:rsidR="008D6614" w:rsidRDefault="008D6614">
            <w:pPr>
              <w:rPr>
                <w:rFonts w:ascii="宋体"/>
                <w:vanish/>
              </w:rPr>
            </w:pPr>
          </w:p>
        </w:tc>
        <w:tc>
          <w:tcPr>
            <w:tcW w:w="0" w:type="auto"/>
            <w:shd w:val="clear" w:color="auto" w:fill="auto"/>
            <w:vAlign w:val="center"/>
          </w:tcPr>
          <w:p w14:paraId="64A8865D"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65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65F" w14:textId="77777777" w:rsidR="008D6614" w:rsidRDefault="00866AF2">
            <w:pPr>
              <w:jc w:val="right"/>
              <w:textAlignment w:val="bottom"/>
            </w:pPr>
            <w:r>
              <w:rPr>
                <w:rFonts w:ascii="Arial" w:eastAsia="宋体" w:hAnsi="Arial" w:cs="Arial"/>
                <w:color w:val="000000"/>
                <w:sz w:val="18"/>
                <w:szCs w:val="18"/>
              </w:rPr>
              <w:t>(146)</w:t>
            </w:r>
          </w:p>
        </w:tc>
        <w:tc>
          <w:tcPr>
            <w:tcW w:w="0" w:type="auto"/>
            <w:shd w:val="clear" w:color="auto" w:fill="FFFFFF"/>
            <w:tcMar>
              <w:top w:w="40" w:type="dxa"/>
              <w:bottom w:w="40" w:type="dxa"/>
              <w:right w:w="20" w:type="dxa"/>
            </w:tcMar>
            <w:vAlign w:val="bottom"/>
          </w:tcPr>
          <w:p w14:paraId="64A8866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66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662" w14:textId="77777777" w:rsidR="008D6614" w:rsidRDefault="00866AF2">
            <w:pPr>
              <w:jc w:val="right"/>
              <w:textAlignment w:val="bottom"/>
            </w:pPr>
            <w:r>
              <w:rPr>
                <w:rFonts w:ascii="Arial" w:eastAsia="宋体" w:hAnsi="Arial" w:cs="Arial"/>
                <w:color w:val="000000"/>
                <w:sz w:val="18"/>
                <w:szCs w:val="18"/>
              </w:rPr>
              <w:t>(141)</w:t>
            </w:r>
          </w:p>
        </w:tc>
        <w:tc>
          <w:tcPr>
            <w:tcW w:w="0" w:type="auto"/>
            <w:shd w:val="clear" w:color="auto" w:fill="FFFFFF"/>
            <w:tcMar>
              <w:top w:w="40" w:type="dxa"/>
              <w:bottom w:w="40" w:type="dxa"/>
              <w:right w:w="20" w:type="dxa"/>
            </w:tcMar>
            <w:vAlign w:val="bottom"/>
          </w:tcPr>
          <w:p w14:paraId="64A8866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664" w14:textId="77777777" w:rsidR="008D6614" w:rsidRDefault="008D6614">
            <w:pPr>
              <w:rPr>
                <w:rFonts w:ascii="宋体"/>
              </w:rPr>
            </w:pPr>
          </w:p>
        </w:tc>
        <w:tc>
          <w:tcPr>
            <w:tcW w:w="0" w:type="auto"/>
            <w:shd w:val="clear" w:color="auto" w:fill="auto"/>
            <w:vAlign w:val="center"/>
          </w:tcPr>
          <w:p w14:paraId="64A88665" w14:textId="77777777" w:rsidR="008D6614" w:rsidRDefault="008D6614">
            <w:pPr>
              <w:rPr>
                <w:rFonts w:ascii="宋体"/>
              </w:rPr>
            </w:pPr>
          </w:p>
        </w:tc>
        <w:tc>
          <w:tcPr>
            <w:tcW w:w="0" w:type="auto"/>
            <w:shd w:val="clear" w:color="auto" w:fill="auto"/>
            <w:vAlign w:val="center"/>
          </w:tcPr>
          <w:p w14:paraId="64A88666" w14:textId="77777777" w:rsidR="008D6614" w:rsidRDefault="008D6614">
            <w:pPr>
              <w:rPr>
                <w:rFonts w:ascii="宋体"/>
              </w:rPr>
            </w:pPr>
          </w:p>
        </w:tc>
        <w:tc>
          <w:tcPr>
            <w:tcW w:w="0" w:type="auto"/>
            <w:shd w:val="clear" w:color="auto" w:fill="auto"/>
            <w:vAlign w:val="center"/>
          </w:tcPr>
          <w:p w14:paraId="64A88667" w14:textId="77777777" w:rsidR="008D6614" w:rsidRDefault="008D6614">
            <w:pPr>
              <w:rPr>
                <w:rFonts w:ascii="宋体"/>
              </w:rPr>
            </w:pPr>
          </w:p>
        </w:tc>
        <w:tc>
          <w:tcPr>
            <w:tcW w:w="0" w:type="auto"/>
            <w:shd w:val="clear" w:color="auto" w:fill="auto"/>
            <w:vAlign w:val="center"/>
          </w:tcPr>
          <w:p w14:paraId="64A88668" w14:textId="77777777" w:rsidR="008D6614" w:rsidRDefault="008D6614">
            <w:pPr>
              <w:rPr>
                <w:rFonts w:ascii="宋体"/>
              </w:rPr>
            </w:pPr>
          </w:p>
        </w:tc>
        <w:tc>
          <w:tcPr>
            <w:tcW w:w="0" w:type="auto"/>
            <w:shd w:val="clear" w:color="auto" w:fill="auto"/>
            <w:vAlign w:val="center"/>
          </w:tcPr>
          <w:p w14:paraId="64A88669" w14:textId="77777777" w:rsidR="008D6614" w:rsidRDefault="008D6614">
            <w:pPr>
              <w:rPr>
                <w:rFonts w:ascii="宋体"/>
              </w:rPr>
            </w:pPr>
          </w:p>
        </w:tc>
        <w:tc>
          <w:tcPr>
            <w:tcW w:w="0" w:type="auto"/>
            <w:shd w:val="clear" w:color="auto" w:fill="auto"/>
            <w:vAlign w:val="center"/>
          </w:tcPr>
          <w:p w14:paraId="64A8866A" w14:textId="77777777" w:rsidR="008D6614" w:rsidRDefault="008D6614">
            <w:pPr>
              <w:rPr>
                <w:rFonts w:ascii="宋体"/>
              </w:rPr>
            </w:pPr>
          </w:p>
        </w:tc>
        <w:tc>
          <w:tcPr>
            <w:tcW w:w="0" w:type="auto"/>
            <w:shd w:val="clear" w:color="auto" w:fill="auto"/>
            <w:vAlign w:val="center"/>
          </w:tcPr>
          <w:p w14:paraId="64A8866B" w14:textId="77777777" w:rsidR="008D6614" w:rsidRDefault="008D6614">
            <w:pPr>
              <w:rPr>
                <w:rFonts w:ascii="宋体"/>
              </w:rPr>
            </w:pPr>
          </w:p>
        </w:tc>
        <w:tc>
          <w:tcPr>
            <w:tcW w:w="0" w:type="auto"/>
            <w:shd w:val="clear" w:color="auto" w:fill="auto"/>
            <w:vAlign w:val="center"/>
          </w:tcPr>
          <w:p w14:paraId="64A8866C" w14:textId="77777777" w:rsidR="008D6614" w:rsidRDefault="008D6614">
            <w:pPr>
              <w:rPr>
                <w:rFonts w:ascii="宋体"/>
              </w:rPr>
            </w:pPr>
          </w:p>
        </w:tc>
      </w:tr>
      <w:tr w:rsidR="008D6614" w14:paraId="64A88681" w14:textId="77777777">
        <w:trPr>
          <w:jc w:val="center"/>
        </w:trPr>
        <w:tc>
          <w:tcPr>
            <w:tcW w:w="0" w:type="auto"/>
            <w:gridSpan w:val="3"/>
            <w:shd w:val="clear" w:color="auto" w:fill="E2E2E2"/>
            <w:tcMar>
              <w:top w:w="40" w:type="dxa"/>
              <w:left w:w="20" w:type="dxa"/>
              <w:bottom w:w="40" w:type="dxa"/>
              <w:right w:w="20" w:type="dxa"/>
            </w:tcMar>
            <w:vAlign w:val="bottom"/>
          </w:tcPr>
          <w:p w14:paraId="64A8866E" w14:textId="77777777" w:rsidR="008D6614" w:rsidRDefault="00866AF2">
            <w:pPr>
              <w:textAlignment w:val="bottom"/>
            </w:pPr>
            <w:r>
              <w:rPr>
                <w:rFonts w:ascii="Arial" w:eastAsia="宋体" w:hAnsi="Arial" w:cs="Arial"/>
                <w:color w:val="000000"/>
                <w:sz w:val="18"/>
                <w:szCs w:val="18"/>
              </w:rPr>
              <w:t>Income from continuing operations</w:t>
            </w:r>
          </w:p>
        </w:tc>
        <w:tc>
          <w:tcPr>
            <w:tcW w:w="0" w:type="auto"/>
            <w:shd w:val="clear" w:color="auto" w:fill="auto"/>
            <w:vAlign w:val="center"/>
          </w:tcPr>
          <w:p w14:paraId="64A8866F" w14:textId="77777777" w:rsidR="008D6614" w:rsidRDefault="008D6614">
            <w:pPr>
              <w:rPr>
                <w:rFonts w:ascii="宋体"/>
                <w:vanish/>
              </w:rPr>
            </w:pPr>
          </w:p>
        </w:tc>
        <w:tc>
          <w:tcPr>
            <w:tcW w:w="0" w:type="auto"/>
            <w:shd w:val="clear" w:color="auto" w:fill="auto"/>
            <w:vAlign w:val="center"/>
          </w:tcPr>
          <w:p w14:paraId="64A88670" w14:textId="77777777" w:rsidR="008D6614" w:rsidRDefault="008D6614">
            <w:pPr>
              <w:rPr>
                <w:rFonts w:ascii="宋体"/>
                <w:vanish/>
              </w:rPr>
            </w:pPr>
          </w:p>
        </w:tc>
        <w:tc>
          <w:tcPr>
            <w:tcW w:w="0" w:type="auto"/>
            <w:shd w:val="clear" w:color="auto" w:fill="auto"/>
            <w:vAlign w:val="center"/>
          </w:tcPr>
          <w:p w14:paraId="64A88671"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672"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673" w14:textId="77777777" w:rsidR="008D6614" w:rsidRDefault="00866AF2">
            <w:pPr>
              <w:jc w:val="right"/>
              <w:textAlignment w:val="bottom"/>
            </w:pPr>
            <w:r>
              <w:rPr>
                <w:rFonts w:ascii="Arial" w:eastAsia="宋体" w:hAnsi="Arial" w:cs="Arial"/>
                <w:color w:val="000000"/>
                <w:sz w:val="18"/>
                <w:szCs w:val="18"/>
              </w:rPr>
              <w:t>485 </w:t>
            </w:r>
          </w:p>
        </w:tc>
        <w:tc>
          <w:tcPr>
            <w:tcW w:w="0" w:type="auto"/>
            <w:tcBorders>
              <w:top w:val="single" w:sz="8" w:space="0" w:color="000000"/>
            </w:tcBorders>
            <w:shd w:val="clear" w:color="auto" w:fill="E2E2E2"/>
            <w:tcMar>
              <w:top w:w="40" w:type="dxa"/>
              <w:bottom w:w="40" w:type="dxa"/>
              <w:right w:w="20" w:type="dxa"/>
            </w:tcMar>
            <w:vAlign w:val="bottom"/>
          </w:tcPr>
          <w:p w14:paraId="64A8867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675"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676" w14:textId="77777777" w:rsidR="008D6614" w:rsidRDefault="00866AF2">
            <w:pPr>
              <w:jc w:val="right"/>
              <w:textAlignment w:val="bottom"/>
            </w:pPr>
            <w:r>
              <w:rPr>
                <w:rFonts w:ascii="Arial" w:eastAsia="宋体" w:hAnsi="Arial" w:cs="Arial"/>
                <w:color w:val="000000"/>
                <w:sz w:val="18"/>
                <w:szCs w:val="18"/>
              </w:rPr>
              <w:t>516 </w:t>
            </w:r>
          </w:p>
        </w:tc>
        <w:tc>
          <w:tcPr>
            <w:tcW w:w="0" w:type="auto"/>
            <w:tcBorders>
              <w:top w:val="single" w:sz="8" w:space="0" w:color="000000"/>
            </w:tcBorders>
            <w:shd w:val="clear" w:color="auto" w:fill="E2E2E2"/>
            <w:tcMar>
              <w:top w:w="40" w:type="dxa"/>
              <w:bottom w:w="40" w:type="dxa"/>
              <w:right w:w="20" w:type="dxa"/>
            </w:tcMar>
            <w:vAlign w:val="bottom"/>
          </w:tcPr>
          <w:p w14:paraId="64A8867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678" w14:textId="77777777" w:rsidR="008D6614" w:rsidRDefault="008D6614">
            <w:pPr>
              <w:rPr>
                <w:rFonts w:ascii="宋体"/>
              </w:rPr>
            </w:pPr>
          </w:p>
        </w:tc>
        <w:tc>
          <w:tcPr>
            <w:tcW w:w="0" w:type="auto"/>
            <w:shd w:val="clear" w:color="auto" w:fill="auto"/>
            <w:vAlign w:val="center"/>
          </w:tcPr>
          <w:p w14:paraId="64A88679" w14:textId="77777777" w:rsidR="008D6614" w:rsidRDefault="008D6614">
            <w:pPr>
              <w:rPr>
                <w:rFonts w:ascii="宋体"/>
              </w:rPr>
            </w:pPr>
          </w:p>
        </w:tc>
        <w:tc>
          <w:tcPr>
            <w:tcW w:w="0" w:type="auto"/>
            <w:shd w:val="clear" w:color="auto" w:fill="auto"/>
            <w:vAlign w:val="center"/>
          </w:tcPr>
          <w:p w14:paraId="64A8867A" w14:textId="77777777" w:rsidR="008D6614" w:rsidRDefault="008D6614">
            <w:pPr>
              <w:rPr>
                <w:rFonts w:ascii="宋体"/>
              </w:rPr>
            </w:pPr>
          </w:p>
        </w:tc>
        <w:tc>
          <w:tcPr>
            <w:tcW w:w="0" w:type="auto"/>
            <w:shd w:val="clear" w:color="auto" w:fill="auto"/>
            <w:vAlign w:val="center"/>
          </w:tcPr>
          <w:p w14:paraId="64A8867B" w14:textId="77777777" w:rsidR="008D6614" w:rsidRDefault="008D6614">
            <w:pPr>
              <w:rPr>
                <w:rFonts w:ascii="宋体"/>
              </w:rPr>
            </w:pPr>
          </w:p>
        </w:tc>
        <w:tc>
          <w:tcPr>
            <w:tcW w:w="0" w:type="auto"/>
            <w:shd w:val="clear" w:color="auto" w:fill="auto"/>
            <w:vAlign w:val="center"/>
          </w:tcPr>
          <w:p w14:paraId="64A8867C" w14:textId="77777777" w:rsidR="008D6614" w:rsidRDefault="008D6614">
            <w:pPr>
              <w:rPr>
                <w:rFonts w:ascii="宋体"/>
              </w:rPr>
            </w:pPr>
          </w:p>
        </w:tc>
        <w:tc>
          <w:tcPr>
            <w:tcW w:w="0" w:type="auto"/>
            <w:shd w:val="clear" w:color="auto" w:fill="auto"/>
            <w:vAlign w:val="center"/>
          </w:tcPr>
          <w:p w14:paraId="64A8867D" w14:textId="77777777" w:rsidR="008D6614" w:rsidRDefault="008D6614">
            <w:pPr>
              <w:rPr>
                <w:rFonts w:ascii="宋体"/>
              </w:rPr>
            </w:pPr>
          </w:p>
        </w:tc>
        <w:tc>
          <w:tcPr>
            <w:tcW w:w="0" w:type="auto"/>
            <w:shd w:val="clear" w:color="auto" w:fill="auto"/>
            <w:vAlign w:val="center"/>
          </w:tcPr>
          <w:p w14:paraId="64A8867E" w14:textId="77777777" w:rsidR="008D6614" w:rsidRDefault="008D6614">
            <w:pPr>
              <w:rPr>
                <w:rFonts w:ascii="宋体"/>
              </w:rPr>
            </w:pPr>
          </w:p>
        </w:tc>
        <w:tc>
          <w:tcPr>
            <w:tcW w:w="0" w:type="auto"/>
            <w:shd w:val="clear" w:color="auto" w:fill="auto"/>
            <w:vAlign w:val="center"/>
          </w:tcPr>
          <w:p w14:paraId="64A8867F" w14:textId="77777777" w:rsidR="008D6614" w:rsidRDefault="008D6614">
            <w:pPr>
              <w:rPr>
                <w:rFonts w:ascii="宋体"/>
              </w:rPr>
            </w:pPr>
          </w:p>
        </w:tc>
        <w:tc>
          <w:tcPr>
            <w:tcW w:w="0" w:type="auto"/>
            <w:shd w:val="clear" w:color="auto" w:fill="auto"/>
            <w:vAlign w:val="center"/>
          </w:tcPr>
          <w:p w14:paraId="64A88680" w14:textId="77777777" w:rsidR="008D6614" w:rsidRDefault="008D6614">
            <w:pPr>
              <w:rPr>
                <w:rFonts w:ascii="宋体"/>
              </w:rPr>
            </w:pPr>
          </w:p>
        </w:tc>
      </w:tr>
      <w:tr w:rsidR="008D6614" w14:paraId="64A88695" w14:textId="77777777">
        <w:trPr>
          <w:jc w:val="center"/>
        </w:trPr>
        <w:tc>
          <w:tcPr>
            <w:tcW w:w="0" w:type="auto"/>
            <w:gridSpan w:val="3"/>
            <w:shd w:val="clear" w:color="auto" w:fill="FFFFFF"/>
            <w:tcMar>
              <w:top w:w="40" w:type="dxa"/>
              <w:left w:w="20" w:type="dxa"/>
              <w:bottom w:w="40" w:type="dxa"/>
              <w:right w:w="20" w:type="dxa"/>
            </w:tcMar>
            <w:vAlign w:val="bottom"/>
          </w:tcPr>
          <w:p w14:paraId="64A88682" w14:textId="77777777" w:rsidR="008D6614" w:rsidRDefault="00866AF2">
            <w:pPr>
              <w:textAlignment w:val="bottom"/>
            </w:pPr>
            <w:r>
              <w:rPr>
                <w:rFonts w:ascii="Arial" w:eastAsia="宋体" w:hAnsi="Arial" w:cs="Arial"/>
                <w:color w:val="000000"/>
                <w:sz w:val="18"/>
                <w:szCs w:val="18"/>
              </w:rPr>
              <w:t>Income fr</w:t>
            </w:r>
            <w:r>
              <w:rPr>
                <w:rFonts w:ascii="Arial" w:eastAsia="宋体" w:hAnsi="Arial" w:cs="Arial"/>
                <w:color w:val="000000"/>
                <w:sz w:val="18"/>
                <w:szCs w:val="18"/>
              </w:rPr>
              <w:t>om discontinued operations, net of income taxes</w:t>
            </w:r>
          </w:p>
        </w:tc>
        <w:tc>
          <w:tcPr>
            <w:tcW w:w="0" w:type="auto"/>
            <w:shd w:val="clear" w:color="auto" w:fill="auto"/>
            <w:vAlign w:val="center"/>
          </w:tcPr>
          <w:p w14:paraId="64A88683" w14:textId="77777777" w:rsidR="008D6614" w:rsidRDefault="008D6614">
            <w:pPr>
              <w:rPr>
                <w:rFonts w:ascii="宋体"/>
                <w:vanish/>
              </w:rPr>
            </w:pPr>
          </w:p>
        </w:tc>
        <w:tc>
          <w:tcPr>
            <w:tcW w:w="0" w:type="auto"/>
            <w:shd w:val="clear" w:color="auto" w:fill="auto"/>
            <w:vAlign w:val="center"/>
          </w:tcPr>
          <w:p w14:paraId="64A88684" w14:textId="77777777" w:rsidR="008D6614" w:rsidRDefault="008D6614">
            <w:pPr>
              <w:rPr>
                <w:rFonts w:ascii="宋体"/>
                <w:vanish/>
              </w:rPr>
            </w:pPr>
          </w:p>
        </w:tc>
        <w:tc>
          <w:tcPr>
            <w:tcW w:w="0" w:type="auto"/>
            <w:shd w:val="clear" w:color="auto" w:fill="auto"/>
            <w:vAlign w:val="center"/>
          </w:tcPr>
          <w:p w14:paraId="64A88685"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68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687" w14:textId="77777777" w:rsidR="008D6614" w:rsidRDefault="00866AF2">
            <w:pPr>
              <w:jc w:val="right"/>
              <w:textAlignment w:val="bottom"/>
            </w:pPr>
            <w:r>
              <w:rPr>
                <w:rFonts w:ascii="Arial" w:eastAsia="宋体" w:hAnsi="Arial" w:cs="Arial"/>
                <w:color w:val="000000"/>
                <w:sz w:val="18"/>
                <w:szCs w:val="18"/>
              </w:rPr>
              <w:t>2,927 </w:t>
            </w:r>
          </w:p>
        </w:tc>
        <w:tc>
          <w:tcPr>
            <w:tcW w:w="0" w:type="auto"/>
            <w:shd w:val="clear" w:color="auto" w:fill="FFFFFF"/>
            <w:tcMar>
              <w:top w:w="40" w:type="dxa"/>
              <w:bottom w:w="40" w:type="dxa"/>
              <w:right w:w="20" w:type="dxa"/>
            </w:tcMar>
            <w:vAlign w:val="bottom"/>
          </w:tcPr>
          <w:p w14:paraId="64A8868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68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68A"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868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68C" w14:textId="77777777" w:rsidR="008D6614" w:rsidRDefault="008D6614">
            <w:pPr>
              <w:rPr>
                <w:rFonts w:ascii="宋体"/>
              </w:rPr>
            </w:pPr>
          </w:p>
        </w:tc>
        <w:tc>
          <w:tcPr>
            <w:tcW w:w="0" w:type="auto"/>
            <w:shd w:val="clear" w:color="auto" w:fill="auto"/>
            <w:vAlign w:val="center"/>
          </w:tcPr>
          <w:p w14:paraId="64A8868D" w14:textId="77777777" w:rsidR="008D6614" w:rsidRDefault="008D6614">
            <w:pPr>
              <w:rPr>
                <w:rFonts w:ascii="宋体"/>
              </w:rPr>
            </w:pPr>
          </w:p>
        </w:tc>
        <w:tc>
          <w:tcPr>
            <w:tcW w:w="0" w:type="auto"/>
            <w:shd w:val="clear" w:color="auto" w:fill="auto"/>
            <w:vAlign w:val="center"/>
          </w:tcPr>
          <w:p w14:paraId="64A8868E" w14:textId="77777777" w:rsidR="008D6614" w:rsidRDefault="008D6614">
            <w:pPr>
              <w:rPr>
                <w:rFonts w:ascii="宋体"/>
              </w:rPr>
            </w:pPr>
          </w:p>
        </w:tc>
        <w:tc>
          <w:tcPr>
            <w:tcW w:w="0" w:type="auto"/>
            <w:shd w:val="clear" w:color="auto" w:fill="auto"/>
            <w:vAlign w:val="center"/>
          </w:tcPr>
          <w:p w14:paraId="64A8868F" w14:textId="77777777" w:rsidR="008D6614" w:rsidRDefault="008D6614">
            <w:pPr>
              <w:rPr>
                <w:rFonts w:ascii="宋体"/>
              </w:rPr>
            </w:pPr>
          </w:p>
        </w:tc>
        <w:tc>
          <w:tcPr>
            <w:tcW w:w="0" w:type="auto"/>
            <w:shd w:val="clear" w:color="auto" w:fill="auto"/>
            <w:vAlign w:val="center"/>
          </w:tcPr>
          <w:p w14:paraId="64A88690" w14:textId="77777777" w:rsidR="008D6614" w:rsidRDefault="008D6614">
            <w:pPr>
              <w:rPr>
                <w:rFonts w:ascii="宋体"/>
              </w:rPr>
            </w:pPr>
          </w:p>
        </w:tc>
        <w:tc>
          <w:tcPr>
            <w:tcW w:w="0" w:type="auto"/>
            <w:shd w:val="clear" w:color="auto" w:fill="auto"/>
            <w:vAlign w:val="center"/>
          </w:tcPr>
          <w:p w14:paraId="64A88691" w14:textId="77777777" w:rsidR="008D6614" w:rsidRDefault="008D6614">
            <w:pPr>
              <w:rPr>
                <w:rFonts w:ascii="宋体"/>
              </w:rPr>
            </w:pPr>
          </w:p>
        </w:tc>
        <w:tc>
          <w:tcPr>
            <w:tcW w:w="0" w:type="auto"/>
            <w:shd w:val="clear" w:color="auto" w:fill="auto"/>
            <w:vAlign w:val="center"/>
          </w:tcPr>
          <w:p w14:paraId="64A88692" w14:textId="77777777" w:rsidR="008D6614" w:rsidRDefault="008D6614">
            <w:pPr>
              <w:rPr>
                <w:rFonts w:ascii="宋体"/>
              </w:rPr>
            </w:pPr>
          </w:p>
        </w:tc>
        <w:tc>
          <w:tcPr>
            <w:tcW w:w="0" w:type="auto"/>
            <w:shd w:val="clear" w:color="auto" w:fill="auto"/>
            <w:vAlign w:val="center"/>
          </w:tcPr>
          <w:p w14:paraId="64A88693" w14:textId="77777777" w:rsidR="008D6614" w:rsidRDefault="008D6614">
            <w:pPr>
              <w:rPr>
                <w:rFonts w:ascii="宋体"/>
              </w:rPr>
            </w:pPr>
          </w:p>
        </w:tc>
        <w:tc>
          <w:tcPr>
            <w:tcW w:w="0" w:type="auto"/>
            <w:shd w:val="clear" w:color="auto" w:fill="auto"/>
            <w:vAlign w:val="center"/>
          </w:tcPr>
          <w:p w14:paraId="64A88694" w14:textId="77777777" w:rsidR="008D6614" w:rsidRDefault="008D6614">
            <w:pPr>
              <w:rPr>
                <w:rFonts w:ascii="宋体"/>
              </w:rPr>
            </w:pPr>
          </w:p>
        </w:tc>
      </w:tr>
      <w:tr w:rsidR="008D6614" w14:paraId="64A886AB" w14:textId="77777777">
        <w:trPr>
          <w:jc w:val="center"/>
        </w:trPr>
        <w:tc>
          <w:tcPr>
            <w:tcW w:w="0" w:type="auto"/>
            <w:gridSpan w:val="3"/>
            <w:shd w:val="clear" w:color="auto" w:fill="E2E2E2"/>
            <w:tcMar>
              <w:top w:w="40" w:type="dxa"/>
              <w:left w:w="20" w:type="dxa"/>
              <w:bottom w:w="40" w:type="dxa"/>
              <w:right w:w="20" w:type="dxa"/>
            </w:tcMar>
            <w:vAlign w:val="bottom"/>
          </w:tcPr>
          <w:p w14:paraId="64A88696" w14:textId="77777777" w:rsidR="008D6614" w:rsidRDefault="00866AF2">
            <w:pPr>
              <w:textAlignment w:val="bottom"/>
            </w:pPr>
            <w:r>
              <w:rPr>
                <w:rFonts w:ascii="Arial" w:eastAsia="宋体" w:hAnsi="Arial" w:cs="Arial"/>
                <w:color w:val="000000"/>
                <w:sz w:val="18"/>
                <w:szCs w:val="18"/>
              </w:rPr>
              <w:t>Net income</w:t>
            </w:r>
          </w:p>
        </w:tc>
        <w:tc>
          <w:tcPr>
            <w:tcW w:w="0" w:type="auto"/>
            <w:shd w:val="clear" w:color="auto" w:fill="auto"/>
            <w:vAlign w:val="center"/>
          </w:tcPr>
          <w:p w14:paraId="64A88697" w14:textId="77777777" w:rsidR="008D6614" w:rsidRDefault="008D6614">
            <w:pPr>
              <w:rPr>
                <w:rFonts w:ascii="宋体"/>
                <w:vanish/>
              </w:rPr>
            </w:pPr>
          </w:p>
        </w:tc>
        <w:tc>
          <w:tcPr>
            <w:tcW w:w="0" w:type="auto"/>
            <w:shd w:val="clear" w:color="auto" w:fill="auto"/>
            <w:vAlign w:val="center"/>
          </w:tcPr>
          <w:p w14:paraId="64A88698" w14:textId="77777777" w:rsidR="008D6614" w:rsidRDefault="008D6614">
            <w:pPr>
              <w:rPr>
                <w:rFonts w:ascii="宋体"/>
                <w:vanish/>
              </w:rPr>
            </w:pPr>
          </w:p>
        </w:tc>
        <w:tc>
          <w:tcPr>
            <w:tcW w:w="0" w:type="auto"/>
            <w:shd w:val="clear" w:color="auto" w:fill="auto"/>
            <w:vAlign w:val="center"/>
          </w:tcPr>
          <w:p w14:paraId="64A88699"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69A"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869B"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869C" w14:textId="77777777" w:rsidR="008D6614" w:rsidRDefault="00866AF2">
            <w:pPr>
              <w:jc w:val="right"/>
              <w:textAlignment w:val="bottom"/>
            </w:pPr>
            <w:r>
              <w:rPr>
                <w:rFonts w:ascii="Arial" w:eastAsia="宋体" w:hAnsi="Arial" w:cs="Arial"/>
                <w:color w:val="000000"/>
                <w:sz w:val="18"/>
                <w:szCs w:val="18"/>
              </w:rPr>
              <w:t>3,412 </w:t>
            </w:r>
          </w:p>
        </w:tc>
        <w:tc>
          <w:tcPr>
            <w:tcW w:w="0" w:type="auto"/>
            <w:tcBorders>
              <w:top w:val="single" w:sz="8" w:space="0" w:color="000000"/>
            </w:tcBorders>
            <w:shd w:val="clear" w:color="auto" w:fill="E2E2E2"/>
            <w:tcMar>
              <w:top w:w="40" w:type="dxa"/>
              <w:bottom w:w="40" w:type="dxa"/>
              <w:right w:w="20" w:type="dxa"/>
            </w:tcMar>
            <w:vAlign w:val="bottom"/>
          </w:tcPr>
          <w:p w14:paraId="64A8869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69E"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869F"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86A0" w14:textId="77777777" w:rsidR="008D6614" w:rsidRDefault="00866AF2">
            <w:pPr>
              <w:jc w:val="right"/>
              <w:textAlignment w:val="bottom"/>
            </w:pPr>
            <w:r>
              <w:rPr>
                <w:rFonts w:ascii="Arial" w:eastAsia="宋体" w:hAnsi="Arial" w:cs="Arial"/>
                <w:color w:val="000000"/>
                <w:sz w:val="18"/>
                <w:szCs w:val="18"/>
              </w:rPr>
              <w:t>518 </w:t>
            </w:r>
          </w:p>
        </w:tc>
        <w:tc>
          <w:tcPr>
            <w:tcW w:w="0" w:type="auto"/>
            <w:tcBorders>
              <w:top w:val="single" w:sz="8" w:space="0" w:color="000000"/>
            </w:tcBorders>
            <w:shd w:val="clear" w:color="auto" w:fill="E2E2E2"/>
            <w:tcMar>
              <w:top w:w="40" w:type="dxa"/>
              <w:bottom w:w="40" w:type="dxa"/>
              <w:right w:w="20" w:type="dxa"/>
            </w:tcMar>
            <w:vAlign w:val="bottom"/>
          </w:tcPr>
          <w:p w14:paraId="64A886A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6A2" w14:textId="77777777" w:rsidR="008D6614" w:rsidRDefault="008D6614">
            <w:pPr>
              <w:rPr>
                <w:rFonts w:ascii="宋体"/>
              </w:rPr>
            </w:pPr>
          </w:p>
        </w:tc>
        <w:tc>
          <w:tcPr>
            <w:tcW w:w="0" w:type="auto"/>
            <w:shd w:val="clear" w:color="auto" w:fill="auto"/>
            <w:vAlign w:val="center"/>
          </w:tcPr>
          <w:p w14:paraId="64A886A3" w14:textId="77777777" w:rsidR="008D6614" w:rsidRDefault="008D6614">
            <w:pPr>
              <w:rPr>
                <w:rFonts w:ascii="宋体"/>
              </w:rPr>
            </w:pPr>
          </w:p>
        </w:tc>
        <w:tc>
          <w:tcPr>
            <w:tcW w:w="0" w:type="auto"/>
            <w:shd w:val="clear" w:color="auto" w:fill="auto"/>
            <w:vAlign w:val="center"/>
          </w:tcPr>
          <w:p w14:paraId="64A886A4" w14:textId="77777777" w:rsidR="008D6614" w:rsidRDefault="008D6614">
            <w:pPr>
              <w:rPr>
                <w:rFonts w:ascii="宋体"/>
              </w:rPr>
            </w:pPr>
          </w:p>
        </w:tc>
        <w:tc>
          <w:tcPr>
            <w:tcW w:w="0" w:type="auto"/>
            <w:shd w:val="clear" w:color="auto" w:fill="auto"/>
            <w:vAlign w:val="center"/>
          </w:tcPr>
          <w:p w14:paraId="64A886A5" w14:textId="77777777" w:rsidR="008D6614" w:rsidRDefault="008D6614">
            <w:pPr>
              <w:rPr>
                <w:rFonts w:ascii="宋体"/>
              </w:rPr>
            </w:pPr>
          </w:p>
        </w:tc>
        <w:tc>
          <w:tcPr>
            <w:tcW w:w="0" w:type="auto"/>
            <w:shd w:val="clear" w:color="auto" w:fill="auto"/>
            <w:vAlign w:val="center"/>
          </w:tcPr>
          <w:p w14:paraId="64A886A6" w14:textId="77777777" w:rsidR="008D6614" w:rsidRDefault="008D6614">
            <w:pPr>
              <w:rPr>
                <w:rFonts w:ascii="宋体"/>
              </w:rPr>
            </w:pPr>
          </w:p>
        </w:tc>
        <w:tc>
          <w:tcPr>
            <w:tcW w:w="0" w:type="auto"/>
            <w:shd w:val="clear" w:color="auto" w:fill="auto"/>
            <w:vAlign w:val="center"/>
          </w:tcPr>
          <w:p w14:paraId="64A886A7" w14:textId="77777777" w:rsidR="008D6614" w:rsidRDefault="008D6614">
            <w:pPr>
              <w:rPr>
                <w:rFonts w:ascii="宋体"/>
              </w:rPr>
            </w:pPr>
          </w:p>
        </w:tc>
        <w:tc>
          <w:tcPr>
            <w:tcW w:w="0" w:type="auto"/>
            <w:shd w:val="clear" w:color="auto" w:fill="auto"/>
            <w:vAlign w:val="center"/>
          </w:tcPr>
          <w:p w14:paraId="64A886A8" w14:textId="77777777" w:rsidR="008D6614" w:rsidRDefault="008D6614">
            <w:pPr>
              <w:rPr>
                <w:rFonts w:ascii="宋体"/>
              </w:rPr>
            </w:pPr>
          </w:p>
        </w:tc>
        <w:tc>
          <w:tcPr>
            <w:tcW w:w="0" w:type="auto"/>
            <w:shd w:val="clear" w:color="auto" w:fill="auto"/>
            <w:vAlign w:val="center"/>
          </w:tcPr>
          <w:p w14:paraId="64A886A9" w14:textId="77777777" w:rsidR="008D6614" w:rsidRDefault="008D6614">
            <w:pPr>
              <w:rPr>
                <w:rFonts w:ascii="宋体"/>
              </w:rPr>
            </w:pPr>
          </w:p>
        </w:tc>
        <w:tc>
          <w:tcPr>
            <w:tcW w:w="0" w:type="auto"/>
            <w:shd w:val="clear" w:color="auto" w:fill="auto"/>
            <w:vAlign w:val="center"/>
          </w:tcPr>
          <w:p w14:paraId="64A886AA" w14:textId="77777777" w:rsidR="008D6614" w:rsidRDefault="008D6614">
            <w:pPr>
              <w:rPr>
                <w:rFonts w:ascii="宋体"/>
              </w:rPr>
            </w:pPr>
          </w:p>
        </w:tc>
      </w:tr>
      <w:tr w:rsidR="008D6614" w14:paraId="64A886BD" w14:textId="77777777">
        <w:trPr>
          <w:trHeight w:val="300"/>
          <w:jc w:val="center"/>
        </w:trPr>
        <w:tc>
          <w:tcPr>
            <w:tcW w:w="0" w:type="auto"/>
            <w:gridSpan w:val="3"/>
            <w:shd w:val="clear" w:color="auto" w:fill="FFFFFF"/>
            <w:tcMar>
              <w:left w:w="20" w:type="dxa"/>
              <w:right w:w="20" w:type="dxa"/>
            </w:tcMar>
            <w:vAlign w:val="bottom"/>
          </w:tcPr>
          <w:p w14:paraId="64A886AC" w14:textId="77777777" w:rsidR="008D6614" w:rsidRDefault="008D6614">
            <w:pPr>
              <w:rPr>
                <w:rFonts w:ascii="宋体"/>
              </w:rPr>
            </w:pPr>
          </w:p>
        </w:tc>
        <w:tc>
          <w:tcPr>
            <w:tcW w:w="0" w:type="auto"/>
            <w:shd w:val="clear" w:color="auto" w:fill="auto"/>
            <w:vAlign w:val="center"/>
          </w:tcPr>
          <w:p w14:paraId="64A886AD" w14:textId="77777777" w:rsidR="008D6614" w:rsidRDefault="008D6614">
            <w:pPr>
              <w:rPr>
                <w:rFonts w:ascii="宋体"/>
                <w:vanish/>
              </w:rPr>
            </w:pPr>
          </w:p>
        </w:tc>
        <w:tc>
          <w:tcPr>
            <w:tcW w:w="0" w:type="auto"/>
            <w:shd w:val="clear" w:color="auto" w:fill="auto"/>
            <w:vAlign w:val="center"/>
          </w:tcPr>
          <w:p w14:paraId="64A886AE" w14:textId="77777777" w:rsidR="008D6614" w:rsidRDefault="008D6614">
            <w:pPr>
              <w:rPr>
                <w:rFonts w:ascii="宋体"/>
                <w:vanish/>
              </w:rPr>
            </w:pPr>
          </w:p>
        </w:tc>
        <w:tc>
          <w:tcPr>
            <w:tcW w:w="0" w:type="auto"/>
            <w:shd w:val="clear" w:color="auto" w:fill="auto"/>
            <w:vAlign w:val="center"/>
          </w:tcPr>
          <w:p w14:paraId="64A886AF"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6B0"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86B1"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6B2"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86B3" w14:textId="77777777" w:rsidR="008D6614" w:rsidRDefault="008D6614">
            <w:pPr>
              <w:rPr>
                <w:rFonts w:ascii="宋体"/>
              </w:rPr>
            </w:pPr>
          </w:p>
        </w:tc>
        <w:tc>
          <w:tcPr>
            <w:tcW w:w="0" w:type="auto"/>
            <w:shd w:val="clear" w:color="auto" w:fill="auto"/>
            <w:vAlign w:val="center"/>
          </w:tcPr>
          <w:p w14:paraId="64A886B4" w14:textId="77777777" w:rsidR="008D6614" w:rsidRDefault="008D6614">
            <w:pPr>
              <w:rPr>
                <w:rFonts w:ascii="宋体"/>
              </w:rPr>
            </w:pPr>
          </w:p>
        </w:tc>
        <w:tc>
          <w:tcPr>
            <w:tcW w:w="0" w:type="auto"/>
            <w:shd w:val="clear" w:color="auto" w:fill="auto"/>
            <w:vAlign w:val="center"/>
          </w:tcPr>
          <w:p w14:paraId="64A886B5" w14:textId="77777777" w:rsidR="008D6614" w:rsidRDefault="008D6614">
            <w:pPr>
              <w:rPr>
                <w:rFonts w:ascii="宋体"/>
              </w:rPr>
            </w:pPr>
          </w:p>
        </w:tc>
        <w:tc>
          <w:tcPr>
            <w:tcW w:w="0" w:type="auto"/>
            <w:shd w:val="clear" w:color="auto" w:fill="auto"/>
            <w:vAlign w:val="center"/>
          </w:tcPr>
          <w:p w14:paraId="64A886B6" w14:textId="77777777" w:rsidR="008D6614" w:rsidRDefault="008D6614">
            <w:pPr>
              <w:rPr>
                <w:rFonts w:ascii="宋体"/>
              </w:rPr>
            </w:pPr>
          </w:p>
        </w:tc>
        <w:tc>
          <w:tcPr>
            <w:tcW w:w="0" w:type="auto"/>
            <w:shd w:val="clear" w:color="auto" w:fill="auto"/>
            <w:vAlign w:val="center"/>
          </w:tcPr>
          <w:p w14:paraId="64A886B7" w14:textId="77777777" w:rsidR="008D6614" w:rsidRDefault="008D6614">
            <w:pPr>
              <w:rPr>
                <w:rFonts w:ascii="宋体"/>
              </w:rPr>
            </w:pPr>
          </w:p>
        </w:tc>
        <w:tc>
          <w:tcPr>
            <w:tcW w:w="0" w:type="auto"/>
            <w:shd w:val="clear" w:color="auto" w:fill="auto"/>
            <w:vAlign w:val="center"/>
          </w:tcPr>
          <w:p w14:paraId="64A886B8" w14:textId="77777777" w:rsidR="008D6614" w:rsidRDefault="008D6614">
            <w:pPr>
              <w:rPr>
                <w:rFonts w:ascii="宋体"/>
              </w:rPr>
            </w:pPr>
          </w:p>
        </w:tc>
        <w:tc>
          <w:tcPr>
            <w:tcW w:w="0" w:type="auto"/>
            <w:shd w:val="clear" w:color="auto" w:fill="auto"/>
            <w:vAlign w:val="center"/>
          </w:tcPr>
          <w:p w14:paraId="64A886B9" w14:textId="77777777" w:rsidR="008D6614" w:rsidRDefault="008D6614">
            <w:pPr>
              <w:rPr>
                <w:rFonts w:ascii="宋体"/>
              </w:rPr>
            </w:pPr>
          </w:p>
        </w:tc>
        <w:tc>
          <w:tcPr>
            <w:tcW w:w="0" w:type="auto"/>
            <w:shd w:val="clear" w:color="auto" w:fill="auto"/>
            <w:vAlign w:val="center"/>
          </w:tcPr>
          <w:p w14:paraId="64A886BA" w14:textId="77777777" w:rsidR="008D6614" w:rsidRDefault="008D6614">
            <w:pPr>
              <w:rPr>
                <w:rFonts w:ascii="宋体"/>
              </w:rPr>
            </w:pPr>
          </w:p>
        </w:tc>
        <w:tc>
          <w:tcPr>
            <w:tcW w:w="0" w:type="auto"/>
            <w:shd w:val="clear" w:color="auto" w:fill="auto"/>
            <w:vAlign w:val="center"/>
          </w:tcPr>
          <w:p w14:paraId="64A886BB" w14:textId="77777777" w:rsidR="008D6614" w:rsidRDefault="008D6614">
            <w:pPr>
              <w:rPr>
                <w:rFonts w:ascii="宋体"/>
              </w:rPr>
            </w:pPr>
          </w:p>
        </w:tc>
        <w:tc>
          <w:tcPr>
            <w:tcW w:w="0" w:type="auto"/>
            <w:shd w:val="clear" w:color="auto" w:fill="auto"/>
            <w:vAlign w:val="center"/>
          </w:tcPr>
          <w:p w14:paraId="64A886BC" w14:textId="77777777" w:rsidR="008D6614" w:rsidRDefault="008D6614">
            <w:pPr>
              <w:rPr>
                <w:rFonts w:ascii="宋体"/>
              </w:rPr>
            </w:pPr>
          </w:p>
        </w:tc>
      </w:tr>
      <w:tr w:rsidR="008D6614" w14:paraId="64A886CF" w14:textId="77777777">
        <w:trPr>
          <w:jc w:val="center"/>
          <w:hidden/>
        </w:trPr>
        <w:tc>
          <w:tcPr>
            <w:tcW w:w="0" w:type="auto"/>
            <w:gridSpan w:val="3"/>
            <w:shd w:val="clear" w:color="auto" w:fill="auto"/>
            <w:vAlign w:val="center"/>
          </w:tcPr>
          <w:p w14:paraId="64A886BE" w14:textId="77777777" w:rsidR="008D6614" w:rsidRDefault="008D6614">
            <w:pPr>
              <w:rPr>
                <w:rFonts w:ascii="宋体"/>
                <w:vanish/>
              </w:rPr>
            </w:pPr>
          </w:p>
        </w:tc>
        <w:tc>
          <w:tcPr>
            <w:tcW w:w="0" w:type="auto"/>
            <w:shd w:val="clear" w:color="auto" w:fill="auto"/>
            <w:vAlign w:val="center"/>
          </w:tcPr>
          <w:p w14:paraId="64A886BF" w14:textId="77777777" w:rsidR="008D6614" w:rsidRDefault="008D6614">
            <w:pPr>
              <w:rPr>
                <w:rFonts w:ascii="宋体"/>
                <w:vanish/>
              </w:rPr>
            </w:pPr>
          </w:p>
        </w:tc>
        <w:tc>
          <w:tcPr>
            <w:tcW w:w="0" w:type="auto"/>
            <w:shd w:val="clear" w:color="auto" w:fill="auto"/>
            <w:vAlign w:val="center"/>
          </w:tcPr>
          <w:p w14:paraId="64A886C0" w14:textId="77777777" w:rsidR="008D6614" w:rsidRDefault="008D6614">
            <w:pPr>
              <w:rPr>
                <w:rFonts w:ascii="宋体"/>
                <w:vanish/>
              </w:rPr>
            </w:pPr>
          </w:p>
        </w:tc>
        <w:tc>
          <w:tcPr>
            <w:tcW w:w="0" w:type="auto"/>
            <w:shd w:val="clear" w:color="auto" w:fill="auto"/>
            <w:vAlign w:val="center"/>
          </w:tcPr>
          <w:p w14:paraId="64A886C1" w14:textId="77777777" w:rsidR="008D6614" w:rsidRDefault="008D6614">
            <w:pPr>
              <w:rPr>
                <w:rFonts w:ascii="宋体"/>
                <w:vanish/>
              </w:rPr>
            </w:pPr>
          </w:p>
        </w:tc>
        <w:tc>
          <w:tcPr>
            <w:tcW w:w="0" w:type="auto"/>
            <w:gridSpan w:val="3"/>
            <w:shd w:val="clear" w:color="auto" w:fill="auto"/>
            <w:vAlign w:val="center"/>
          </w:tcPr>
          <w:p w14:paraId="64A886C2" w14:textId="77777777" w:rsidR="008D6614" w:rsidRDefault="008D6614">
            <w:pPr>
              <w:rPr>
                <w:rFonts w:ascii="宋体"/>
                <w:vanish/>
              </w:rPr>
            </w:pPr>
          </w:p>
        </w:tc>
        <w:tc>
          <w:tcPr>
            <w:tcW w:w="0" w:type="auto"/>
            <w:gridSpan w:val="3"/>
            <w:shd w:val="clear" w:color="auto" w:fill="auto"/>
            <w:vAlign w:val="center"/>
          </w:tcPr>
          <w:p w14:paraId="64A886C3" w14:textId="77777777" w:rsidR="008D6614" w:rsidRDefault="008D6614">
            <w:pPr>
              <w:rPr>
                <w:rFonts w:ascii="宋体"/>
                <w:vanish/>
              </w:rPr>
            </w:pPr>
          </w:p>
        </w:tc>
        <w:tc>
          <w:tcPr>
            <w:tcW w:w="0" w:type="auto"/>
            <w:gridSpan w:val="3"/>
            <w:shd w:val="clear" w:color="auto" w:fill="auto"/>
            <w:vAlign w:val="center"/>
          </w:tcPr>
          <w:p w14:paraId="64A886C4" w14:textId="77777777" w:rsidR="008D6614" w:rsidRDefault="008D6614">
            <w:pPr>
              <w:rPr>
                <w:rFonts w:ascii="宋体"/>
                <w:vanish/>
              </w:rPr>
            </w:pPr>
          </w:p>
        </w:tc>
        <w:tc>
          <w:tcPr>
            <w:tcW w:w="0" w:type="auto"/>
            <w:gridSpan w:val="3"/>
            <w:shd w:val="clear" w:color="auto" w:fill="auto"/>
            <w:vAlign w:val="center"/>
          </w:tcPr>
          <w:p w14:paraId="64A886C5" w14:textId="77777777" w:rsidR="008D6614" w:rsidRDefault="008D6614">
            <w:pPr>
              <w:rPr>
                <w:rFonts w:ascii="宋体"/>
                <w:vanish/>
              </w:rPr>
            </w:pPr>
          </w:p>
        </w:tc>
        <w:tc>
          <w:tcPr>
            <w:tcW w:w="0" w:type="auto"/>
            <w:shd w:val="clear" w:color="auto" w:fill="auto"/>
            <w:vAlign w:val="center"/>
          </w:tcPr>
          <w:p w14:paraId="64A886C6" w14:textId="77777777" w:rsidR="008D6614" w:rsidRDefault="008D6614">
            <w:pPr>
              <w:rPr>
                <w:rFonts w:ascii="宋体"/>
              </w:rPr>
            </w:pPr>
          </w:p>
        </w:tc>
        <w:tc>
          <w:tcPr>
            <w:tcW w:w="0" w:type="auto"/>
            <w:shd w:val="clear" w:color="auto" w:fill="auto"/>
            <w:vAlign w:val="center"/>
          </w:tcPr>
          <w:p w14:paraId="64A886C7" w14:textId="77777777" w:rsidR="008D6614" w:rsidRDefault="008D6614">
            <w:pPr>
              <w:rPr>
                <w:rFonts w:ascii="宋体"/>
              </w:rPr>
            </w:pPr>
          </w:p>
        </w:tc>
        <w:tc>
          <w:tcPr>
            <w:tcW w:w="0" w:type="auto"/>
            <w:shd w:val="clear" w:color="auto" w:fill="auto"/>
            <w:vAlign w:val="center"/>
          </w:tcPr>
          <w:p w14:paraId="64A886C8" w14:textId="77777777" w:rsidR="008D6614" w:rsidRDefault="008D6614">
            <w:pPr>
              <w:rPr>
                <w:rFonts w:ascii="宋体"/>
              </w:rPr>
            </w:pPr>
          </w:p>
        </w:tc>
        <w:tc>
          <w:tcPr>
            <w:tcW w:w="0" w:type="auto"/>
            <w:shd w:val="clear" w:color="auto" w:fill="auto"/>
            <w:vAlign w:val="center"/>
          </w:tcPr>
          <w:p w14:paraId="64A886C9" w14:textId="77777777" w:rsidR="008D6614" w:rsidRDefault="008D6614">
            <w:pPr>
              <w:rPr>
                <w:rFonts w:ascii="宋体"/>
              </w:rPr>
            </w:pPr>
          </w:p>
        </w:tc>
        <w:tc>
          <w:tcPr>
            <w:tcW w:w="0" w:type="auto"/>
            <w:shd w:val="clear" w:color="auto" w:fill="auto"/>
            <w:vAlign w:val="center"/>
          </w:tcPr>
          <w:p w14:paraId="64A886CA" w14:textId="77777777" w:rsidR="008D6614" w:rsidRDefault="008D6614">
            <w:pPr>
              <w:rPr>
                <w:rFonts w:ascii="宋体"/>
              </w:rPr>
            </w:pPr>
          </w:p>
        </w:tc>
        <w:tc>
          <w:tcPr>
            <w:tcW w:w="0" w:type="auto"/>
            <w:shd w:val="clear" w:color="auto" w:fill="auto"/>
            <w:vAlign w:val="center"/>
          </w:tcPr>
          <w:p w14:paraId="64A886CB" w14:textId="77777777" w:rsidR="008D6614" w:rsidRDefault="008D6614">
            <w:pPr>
              <w:rPr>
                <w:rFonts w:ascii="宋体"/>
              </w:rPr>
            </w:pPr>
          </w:p>
        </w:tc>
        <w:tc>
          <w:tcPr>
            <w:tcW w:w="0" w:type="auto"/>
            <w:shd w:val="clear" w:color="auto" w:fill="auto"/>
            <w:vAlign w:val="center"/>
          </w:tcPr>
          <w:p w14:paraId="64A886CC" w14:textId="77777777" w:rsidR="008D6614" w:rsidRDefault="008D6614">
            <w:pPr>
              <w:rPr>
                <w:rFonts w:ascii="宋体"/>
              </w:rPr>
            </w:pPr>
          </w:p>
        </w:tc>
        <w:tc>
          <w:tcPr>
            <w:tcW w:w="0" w:type="auto"/>
            <w:shd w:val="clear" w:color="auto" w:fill="auto"/>
            <w:vAlign w:val="center"/>
          </w:tcPr>
          <w:p w14:paraId="64A886CD" w14:textId="77777777" w:rsidR="008D6614" w:rsidRDefault="008D6614">
            <w:pPr>
              <w:rPr>
                <w:rFonts w:ascii="宋体"/>
              </w:rPr>
            </w:pPr>
          </w:p>
        </w:tc>
        <w:tc>
          <w:tcPr>
            <w:tcW w:w="0" w:type="auto"/>
            <w:shd w:val="clear" w:color="auto" w:fill="auto"/>
            <w:vAlign w:val="center"/>
          </w:tcPr>
          <w:p w14:paraId="64A886CE" w14:textId="77777777" w:rsidR="008D6614" w:rsidRDefault="008D6614">
            <w:pPr>
              <w:rPr>
                <w:rFonts w:ascii="宋体"/>
              </w:rPr>
            </w:pPr>
          </w:p>
        </w:tc>
      </w:tr>
      <w:tr w:rsidR="008D6614" w14:paraId="64A886E1" w14:textId="77777777">
        <w:trPr>
          <w:jc w:val="center"/>
        </w:trPr>
        <w:tc>
          <w:tcPr>
            <w:tcW w:w="0" w:type="auto"/>
            <w:gridSpan w:val="3"/>
            <w:shd w:val="clear" w:color="auto" w:fill="E2E2E2"/>
            <w:tcMar>
              <w:top w:w="40" w:type="dxa"/>
              <w:left w:w="20" w:type="dxa"/>
              <w:bottom w:w="40" w:type="dxa"/>
              <w:right w:w="20" w:type="dxa"/>
            </w:tcMar>
            <w:vAlign w:val="bottom"/>
          </w:tcPr>
          <w:p w14:paraId="64A886D0" w14:textId="77777777" w:rsidR="008D6614" w:rsidRDefault="00866AF2">
            <w:pPr>
              <w:textAlignment w:val="bottom"/>
            </w:pPr>
            <w:r>
              <w:rPr>
                <w:rFonts w:ascii="Arial" w:eastAsia="宋体" w:hAnsi="Arial" w:cs="Arial"/>
                <w:color w:val="000000"/>
                <w:sz w:val="18"/>
                <w:szCs w:val="18"/>
              </w:rPr>
              <w:t>Income per share - basic:</w:t>
            </w:r>
          </w:p>
        </w:tc>
        <w:tc>
          <w:tcPr>
            <w:tcW w:w="0" w:type="auto"/>
            <w:shd w:val="clear" w:color="auto" w:fill="auto"/>
            <w:vAlign w:val="center"/>
          </w:tcPr>
          <w:p w14:paraId="64A886D1" w14:textId="77777777" w:rsidR="008D6614" w:rsidRDefault="008D6614">
            <w:pPr>
              <w:rPr>
                <w:rFonts w:ascii="宋体"/>
                <w:vanish/>
              </w:rPr>
            </w:pPr>
          </w:p>
        </w:tc>
        <w:tc>
          <w:tcPr>
            <w:tcW w:w="0" w:type="auto"/>
            <w:shd w:val="clear" w:color="auto" w:fill="auto"/>
            <w:vAlign w:val="center"/>
          </w:tcPr>
          <w:p w14:paraId="64A886D2" w14:textId="77777777" w:rsidR="008D6614" w:rsidRDefault="008D6614">
            <w:pPr>
              <w:rPr>
                <w:rFonts w:ascii="宋体"/>
                <w:vanish/>
              </w:rPr>
            </w:pPr>
          </w:p>
        </w:tc>
        <w:tc>
          <w:tcPr>
            <w:tcW w:w="0" w:type="auto"/>
            <w:shd w:val="clear" w:color="auto" w:fill="auto"/>
            <w:vAlign w:val="center"/>
          </w:tcPr>
          <w:p w14:paraId="64A886D3"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6D4"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86D5"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6D6"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86D7" w14:textId="77777777" w:rsidR="008D6614" w:rsidRDefault="00866AF2">
            <w:pPr>
              <w:textAlignment w:val="bottom"/>
            </w:pPr>
            <w:r>
              <w:rPr>
                <w:rFonts w:ascii="Arial" w:eastAsia="宋体" w:hAnsi="Arial" w:cs="Arial"/>
                <w:color w:val="000000"/>
                <w:sz w:val="18"/>
                <w:szCs w:val="18"/>
              </w:rPr>
              <w:t> </w:t>
            </w:r>
          </w:p>
        </w:tc>
        <w:tc>
          <w:tcPr>
            <w:tcW w:w="0" w:type="auto"/>
            <w:shd w:val="clear" w:color="auto" w:fill="auto"/>
            <w:vAlign w:val="center"/>
          </w:tcPr>
          <w:p w14:paraId="64A886D8" w14:textId="77777777" w:rsidR="008D6614" w:rsidRDefault="008D6614">
            <w:pPr>
              <w:rPr>
                <w:rFonts w:ascii="宋体"/>
              </w:rPr>
            </w:pPr>
          </w:p>
        </w:tc>
        <w:tc>
          <w:tcPr>
            <w:tcW w:w="0" w:type="auto"/>
            <w:shd w:val="clear" w:color="auto" w:fill="auto"/>
            <w:vAlign w:val="center"/>
          </w:tcPr>
          <w:p w14:paraId="64A886D9" w14:textId="77777777" w:rsidR="008D6614" w:rsidRDefault="008D6614">
            <w:pPr>
              <w:rPr>
                <w:rFonts w:ascii="宋体"/>
              </w:rPr>
            </w:pPr>
          </w:p>
        </w:tc>
        <w:tc>
          <w:tcPr>
            <w:tcW w:w="0" w:type="auto"/>
            <w:shd w:val="clear" w:color="auto" w:fill="auto"/>
            <w:vAlign w:val="center"/>
          </w:tcPr>
          <w:p w14:paraId="64A886DA" w14:textId="77777777" w:rsidR="008D6614" w:rsidRDefault="008D6614">
            <w:pPr>
              <w:rPr>
                <w:rFonts w:ascii="宋体"/>
              </w:rPr>
            </w:pPr>
          </w:p>
        </w:tc>
        <w:tc>
          <w:tcPr>
            <w:tcW w:w="0" w:type="auto"/>
            <w:shd w:val="clear" w:color="auto" w:fill="auto"/>
            <w:vAlign w:val="center"/>
          </w:tcPr>
          <w:p w14:paraId="64A886DB" w14:textId="77777777" w:rsidR="008D6614" w:rsidRDefault="008D6614">
            <w:pPr>
              <w:rPr>
                <w:rFonts w:ascii="宋体"/>
              </w:rPr>
            </w:pPr>
          </w:p>
        </w:tc>
        <w:tc>
          <w:tcPr>
            <w:tcW w:w="0" w:type="auto"/>
            <w:shd w:val="clear" w:color="auto" w:fill="auto"/>
            <w:vAlign w:val="center"/>
          </w:tcPr>
          <w:p w14:paraId="64A886DC" w14:textId="77777777" w:rsidR="008D6614" w:rsidRDefault="008D6614">
            <w:pPr>
              <w:rPr>
                <w:rFonts w:ascii="宋体"/>
              </w:rPr>
            </w:pPr>
          </w:p>
        </w:tc>
        <w:tc>
          <w:tcPr>
            <w:tcW w:w="0" w:type="auto"/>
            <w:shd w:val="clear" w:color="auto" w:fill="auto"/>
            <w:vAlign w:val="center"/>
          </w:tcPr>
          <w:p w14:paraId="64A886DD" w14:textId="77777777" w:rsidR="008D6614" w:rsidRDefault="008D6614">
            <w:pPr>
              <w:rPr>
                <w:rFonts w:ascii="宋体"/>
              </w:rPr>
            </w:pPr>
          </w:p>
        </w:tc>
        <w:tc>
          <w:tcPr>
            <w:tcW w:w="0" w:type="auto"/>
            <w:shd w:val="clear" w:color="auto" w:fill="auto"/>
            <w:vAlign w:val="center"/>
          </w:tcPr>
          <w:p w14:paraId="64A886DE" w14:textId="77777777" w:rsidR="008D6614" w:rsidRDefault="008D6614">
            <w:pPr>
              <w:rPr>
                <w:rFonts w:ascii="宋体"/>
              </w:rPr>
            </w:pPr>
          </w:p>
        </w:tc>
        <w:tc>
          <w:tcPr>
            <w:tcW w:w="0" w:type="auto"/>
            <w:shd w:val="clear" w:color="auto" w:fill="auto"/>
            <w:vAlign w:val="center"/>
          </w:tcPr>
          <w:p w14:paraId="64A886DF" w14:textId="77777777" w:rsidR="008D6614" w:rsidRDefault="008D6614">
            <w:pPr>
              <w:rPr>
                <w:rFonts w:ascii="宋体"/>
              </w:rPr>
            </w:pPr>
          </w:p>
        </w:tc>
        <w:tc>
          <w:tcPr>
            <w:tcW w:w="0" w:type="auto"/>
            <w:shd w:val="clear" w:color="auto" w:fill="auto"/>
            <w:vAlign w:val="center"/>
          </w:tcPr>
          <w:p w14:paraId="64A886E0" w14:textId="77777777" w:rsidR="008D6614" w:rsidRDefault="008D6614">
            <w:pPr>
              <w:rPr>
                <w:rFonts w:ascii="宋体"/>
              </w:rPr>
            </w:pPr>
          </w:p>
        </w:tc>
      </w:tr>
      <w:tr w:rsidR="008D6614" w14:paraId="64A886F7" w14:textId="77777777">
        <w:trPr>
          <w:jc w:val="center"/>
        </w:trPr>
        <w:tc>
          <w:tcPr>
            <w:tcW w:w="0" w:type="auto"/>
            <w:gridSpan w:val="3"/>
            <w:shd w:val="clear" w:color="auto" w:fill="FFFFFF"/>
            <w:tcMar>
              <w:top w:w="40" w:type="dxa"/>
              <w:left w:w="495" w:type="dxa"/>
              <w:bottom w:w="40" w:type="dxa"/>
              <w:right w:w="20" w:type="dxa"/>
            </w:tcMar>
            <w:vAlign w:val="bottom"/>
          </w:tcPr>
          <w:p w14:paraId="64A886E2" w14:textId="77777777" w:rsidR="008D6614" w:rsidRDefault="00866AF2">
            <w:pPr>
              <w:textAlignment w:val="bottom"/>
            </w:pPr>
            <w:r>
              <w:rPr>
                <w:rFonts w:ascii="Arial" w:eastAsia="宋体" w:hAnsi="Arial" w:cs="Arial"/>
                <w:color w:val="000000"/>
                <w:sz w:val="18"/>
                <w:szCs w:val="18"/>
              </w:rPr>
              <w:t>Continuing operations</w:t>
            </w:r>
          </w:p>
        </w:tc>
        <w:tc>
          <w:tcPr>
            <w:tcW w:w="0" w:type="auto"/>
            <w:shd w:val="clear" w:color="auto" w:fill="auto"/>
            <w:vAlign w:val="center"/>
          </w:tcPr>
          <w:p w14:paraId="64A886E3" w14:textId="77777777" w:rsidR="008D6614" w:rsidRDefault="008D6614">
            <w:pPr>
              <w:rPr>
                <w:rFonts w:ascii="宋体"/>
                <w:vanish/>
              </w:rPr>
            </w:pPr>
          </w:p>
        </w:tc>
        <w:tc>
          <w:tcPr>
            <w:tcW w:w="0" w:type="auto"/>
            <w:shd w:val="clear" w:color="auto" w:fill="auto"/>
            <w:vAlign w:val="center"/>
          </w:tcPr>
          <w:p w14:paraId="64A886E4" w14:textId="77777777" w:rsidR="008D6614" w:rsidRDefault="008D6614">
            <w:pPr>
              <w:rPr>
                <w:rFonts w:ascii="宋体"/>
                <w:vanish/>
              </w:rPr>
            </w:pPr>
          </w:p>
        </w:tc>
        <w:tc>
          <w:tcPr>
            <w:tcW w:w="0" w:type="auto"/>
            <w:shd w:val="clear" w:color="auto" w:fill="auto"/>
            <w:vAlign w:val="center"/>
          </w:tcPr>
          <w:p w14:paraId="64A886E5"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6E6"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86E7"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6E8" w14:textId="77777777" w:rsidR="008D6614" w:rsidRDefault="00866AF2">
            <w:pPr>
              <w:jc w:val="right"/>
              <w:textAlignment w:val="bottom"/>
            </w:pPr>
            <w:r>
              <w:rPr>
                <w:rFonts w:ascii="Arial" w:eastAsia="宋体" w:hAnsi="Arial" w:cs="Arial"/>
                <w:color w:val="000000"/>
                <w:sz w:val="18"/>
                <w:szCs w:val="18"/>
              </w:rPr>
              <w:t>0.64 </w:t>
            </w:r>
          </w:p>
        </w:tc>
        <w:tc>
          <w:tcPr>
            <w:tcW w:w="0" w:type="auto"/>
            <w:shd w:val="clear" w:color="auto" w:fill="FFFFFF"/>
            <w:tcMar>
              <w:top w:w="40" w:type="dxa"/>
              <w:bottom w:w="40" w:type="dxa"/>
              <w:right w:w="20" w:type="dxa"/>
            </w:tcMar>
            <w:vAlign w:val="bottom"/>
          </w:tcPr>
          <w:p w14:paraId="64A886E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6EA"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86EB"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6EC" w14:textId="77777777" w:rsidR="008D6614" w:rsidRDefault="00866AF2">
            <w:pPr>
              <w:jc w:val="right"/>
              <w:textAlignment w:val="bottom"/>
            </w:pPr>
            <w:r>
              <w:rPr>
                <w:rFonts w:ascii="Arial" w:eastAsia="宋体" w:hAnsi="Arial" w:cs="Arial"/>
                <w:color w:val="000000"/>
                <w:sz w:val="18"/>
                <w:szCs w:val="18"/>
              </w:rPr>
              <w:t>0.58 </w:t>
            </w:r>
          </w:p>
        </w:tc>
        <w:tc>
          <w:tcPr>
            <w:tcW w:w="0" w:type="auto"/>
            <w:shd w:val="clear" w:color="auto" w:fill="FFFFFF"/>
            <w:tcMar>
              <w:top w:w="40" w:type="dxa"/>
              <w:bottom w:w="40" w:type="dxa"/>
              <w:right w:w="20" w:type="dxa"/>
            </w:tcMar>
            <w:vAlign w:val="bottom"/>
          </w:tcPr>
          <w:p w14:paraId="64A886E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6EE" w14:textId="77777777" w:rsidR="008D6614" w:rsidRDefault="008D6614">
            <w:pPr>
              <w:rPr>
                <w:rFonts w:ascii="宋体"/>
              </w:rPr>
            </w:pPr>
          </w:p>
        </w:tc>
        <w:tc>
          <w:tcPr>
            <w:tcW w:w="0" w:type="auto"/>
            <w:shd w:val="clear" w:color="auto" w:fill="auto"/>
            <w:vAlign w:val="center"/>
          </w:tcPr>
          <w:p w14:paraId="64A886EF" w14:textId="77777777" w:rsidR="008D6614" w:rsidRDefault="008D6614">
            <w:pPr>
              <w:rPr>
                <w:rFonts w:ascii="宋体"/>
              </w:rPr>
            </w:pPr>
          </w:p>
        </w:tc>
        <w:tc>
          <w:tcPr>
            <w:tcW w:w="0" w:type="auto"/>
            <w:shd w:val="clear" w:color="auto" w:fill="auto"/>
            <w:vAlign w:val="center"/>
          </w:tcPr>
          <w:p w14:paraId="64A886F0" w14:textId="77777777" w:rsidR="008D6614" w:rsidRDefault="008D6614">
            <w:pPr>
              <w:rPr>
                <w:rFonts w:ascii="宋体"/>
              </w:rPr>
            </w:pPr>
          </w:p>
        </w:tc>
        <w:tc>
          <w:tcPr>
            <w:tcW w:w="0" w:type="auto"/>
            <w:shd w:val="clear" w:color="auto" w:fill="auto"/>
            <w:vAlign w:val="center"/>
          </w:tcPr>
          <w:p w14:paraId="64A886F1" w14:textId="77777777" w:rsidR="008D6614" w:rsidRDefault="008D6614">
            <w:pPr>
              <w:rPr>
                <w:rFonts w:ascii="宋体"/>
              </w:rPr>
            </w:pPr>
          </w:p>
        </w:tc>
        <w:tc>
          <w:tcPr>
            <w:tcW w:w="0" w:type="auto"/>
            <w:shd w:val="clear" w:color="auto" w:fill="auto"/>
            <w:vAlign w:val="center"/>
          </w:tcPr>
          <w:p w14:paraId="64A886F2" w14:textId="77777777" w:rsidR="008D6614" w:rsidRDefault="008D6614">
            <w:pPr>
              <w:rPr>
                <w:rFonts w:ascii="宋体"/>
              </w:rPr>
            </w:pPr>
          </w:p>
        </w:tc>
        <w:tc>
          <w:tcPr>
            <w:tcW w:w="0" w:type="auto"/>
            <w:shd w:val="clear" w:color="auto" w:fill="auto"/>
            <w:vAlign w:val="center"/>
          </w:tcPr>
          <w:p w14:paraId="64A886F3" w14:textId="77777777" w:rsidR="008D6614" w:rsidRDefault="008D6614">
            <w:pPr>
              <w:rPr>
                <w:rFonts w:ascii="宋体"/>
              </w:rPr>
            </w:pPr>
          </w:p>
        </w:tc>
        <w:tc>
          <w:tcPr>
            <w:tcW w:w="0" w:type="auto"/>
            <w:shd w:val="clear" w:color="auto" w:fill="auto"/>
            <w:vAlign w:val="center"/>
          </w:tcPr>
          <w:p w14:paraId="64A886F4" w14:textId="77777777" w:rsidR="008D6614" w:rsidRDefault="008D6614">
            <w:pPr>
              <w:rPr>
                <w:rFonts w:ascii="宋体"/>
              </w:rPr>
            </w:pPr>
          </w:p>
        </w:tc>
        <w:tc>
          <w:tcPr>
            <w:tcW w:w="0" w:type="auto"/>
            <w:shd w:val="clear" w:color="auto" w:fill="auto"/>
            <w:vAlign w:val="center"/>
          </w:tcPr>
          <w:p w14:paraId="64A886F5" w14:textId="77777777" w:rsidR="008D6614" w:rsidRDefault="008D6614">
            <w:pPr>
              <w:rPr>
                <w:rFonts w:ascii="宋体"/>
              </w:rPr>
            </w:pPr>
          </w:p>
        </w:tc>
        <w:tc>
          <w:tcPr>
            <w:tcW w:w="0" w:type="auto"/>
            <w:shd w:val="clear" w:color="auto" w:fill="auto"/>
            <w:vAlign w:val="center"/>
          </w:tcPr>
          <w:p w14:paraId="64A886F6" w14:textId="77777777" w:rsidR="008D6614" w:rsidRDefault="008D6614">
            <w:pPr>
              <w:rPr>
                <w:rFonts w:ascii="宋体"/>
              </w:rPr>
            </w:pPr>
          </w:p>
        </w:tc>
      </w:tr>
      <w:tr w:rsidR="008D6614" w14:paraId="64A8870B" w14:textId="77777777">
        <w:trPr>
          <w:jc w:val="center"/>
        </w:trPr>
        <w:tc>
          <w:tcPr>
            <w:tcW w:w="0" w:type="auto"/>
            <w:gridSpan w:val="3"/>
            <w:shd w:val="clear" w:color="auto" w:fill="E2E2E2"/>
            <w:tcMar>
              <w:top w:w="40" w:type="dxa"/>
              <w:left w:w="495" w:type="dxa"/>
              <w:bottom w:w="40" w:type="dxa"/>
              <w:right w:w="20" w:type="dxa"/>
            </w:tcMar>
            <w:vAlign w:val="bottom"/>
          </w:tcPr>
          <w:p w14:paraId="64A886F8" w14:textId="77777777" w:rsidR="008D6614" w:rsidRDefault="00866AF2">
            <w:pPr>
              <w:textAlignment w:val="bottom"/>
            </w:pPr>
            <w:r>
              <w:rPr>
                <w:rFonts w:ascii="Arial" w:eastAsia="宋体" w:hAnsi="Arial" w:cs="Arial"/>
                <w:color w:val="000000"/>
                <w:sz w:val="18"/>
                <w:szCs w:val="18"/>
              </w:rPr>
              <w:t>Discontinued operations</w:t>
            </w:r>
          </w:p>
        </w:tc>
        <w:tc>
          <w:tcPr>
            <w:tcW w:w="0" w:type="auto"/>
            <w:shd w:val="clear" w:color="auto" w:fill="auto"/>
            <w:vAlign w:val="center"/>
          </w:tcPr>
          <w:p w14:paraId="64A886F9" w14:textId="77777777" w:rsidR="008D6614" w:rsidRDefault="008D6614">
            <w:pPr>
              <w:rPr>
                <w:rFonts w:ascii="宋体"/>
                <w:vanish/>
              </w:rPr>
            </w:pPr>
          </w:p>
        </w:tc>
        <w:tc>
          <w:tcPr>
            <w:tcW w:w="0" w:type="auto"/>
            <w:shd w:val="clear" w:color="auto" w:fill="auto"/>
            <w:vAlign w:val="center"/>
          </w:tcPr>
          <w:p w14:paraId="64A886FA" w14:textId="77777777" w:rsidR="008D6614" w:rsidRDefault="008D6614">
            <w:pPr>
              <w:rPr>
                <w:rFonts w:ascii="宋体"/>
                <w:vanish/>
              </w:rPr>
            </w:pPr>
          </w:p>
        </w:tc>
        <w:tc>
          <w:tcPr>
            <w:tcW w:w="0" w:type="auto"/>
            <w:shd w:val="clear" w:color="auto" w:fill="auto"/>
            <w:vAlign w:val="center"/>
          </w:tcPr>
          <w:p w14:paraId="64A886FB"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6F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6FD" w14:textId="77777777" w:rsidR="008D6614" w:rsidRDefault="00866AF2">
            <w:pPr>
              <w:jc w:val="right"/>
              <w:textAlignment w:val="bottom"/>
            </w:pPr>
            <w:r>
              <w:rPr>
                <w:rFonts w:ascii="Arial" w:eastAsia="宋体" w:hAnsi="Arial" w:cs="Arial"/>
                <w:color w:val="000000"/>
                <w:sz w:val="18"/>
                <w:szCs w:val="18"/>
              </w:rPr>
              <w:t>3.89 </w:t>
            </w:r>
          </w:p>
        </w:tc>
        <w:tc>
          <w:tcPr>
            <w:tcW w:w="0" w:type="auto"/>
            <w:shd w:val="clear" w:color="auto" w:fill="E2E2E2"/>
            <w:tcMar>
              <w:top w:w="40" w:type="dxa"/>
              <w:bottom w:w="40" w:type="dxa"/>
              <w:right w:w="20" w:type="dxa"/>
            </w:tcMar>
            <w:vAlign w:val="bottom"/>
          </w:tcPr>
          <w:p w14:paraId="64A886F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6F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70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870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702" w14:textId="77777777" w:rsidR="008D6614" w:rsidRDefault="008D6614">
            <w:pPr>
              <w:rPr>
                <w:rFonts w:ascii="宋体"/>
              </w:rPr>
            </w:pPr>
          </w:p>
        </w:tc>
        <w:tc>
          <w:tcPr>
            <w:tcW w:w="0" w:type="auto"/>
            <w:shd w:val="clear" w:color="auto" w:fill="auto"/>
            <w:vAlign w:val="center"/>
          </w:tcPr>
          <w:p w14:paraId="64A88703" w14:textId="77777777" w:rsidR="008D6614" w:rsidRDefault="008D6614">
            <w:pPr>
              <w:rPr>
                <w:rFonts w:ascii="宋体"/>
              </w:rPr>
            </w:pPr>
          </w:p>
        </w:tc>
        <w:tc>
          <w:tcPr>
            <w:tcW w:w="0" w:type="auto"/>
            <w:shd w:val="clear" w:color="auto" w:fill="auto"/>
            <w:vAlign w:val="center"/>
          </w:tcPr>
          <w:p w14:paraId="64A88704" w14:textId="77777777" w:rsidR="008D6614" w:rsidRDefault="008D6614">
            <w:pPr>
              <w:rPr>
                <w:rFonts w:ascii="宋体"/>
              </w:rPr>
            </w:pPr>
          </w:p>
        </w:tc>
        <w:tc>
          <w:tcPr>
            <w:tcW w:w="0" w:type="auto"/>
            <w:shd w:val="clear" w:color="auto" w:fill="auto"/>
            <w:vAlign w:val="center"/>
          </w:tcPr>
          <w:p w14:paraId="64A88705" w14:textId="77777777" w:rsidR="008D6614" w:rsidRDefault="008D6614">
            <w:pPr>
              <w:rPr>
                <w:rFonts w:ascii="宋体"/>
              </w:rPr>
            </w:pPr>
          </w:p>
        </w:tc>
        <w:tc>
          <w:tcPr>
            <w:tcW w:w="0" w:type="auto"/>
            <w:shd w:val="clear" w:color="auto" w:fill="auto"/>
            <w:vAlign w:val="center"/>
          </w:tcPr>
          <w:p w14:paraId="64A88706" w14:textId="77777777" w:rsidR="008D6614" w:rsidRDefault="008D6614">
            <w:pPr>
              <w:rPr>
                <w:rFonts w:ascii="宋体"/>
              </w:rPr>
            </w:pPr>
          </w:p>
        </w:tc>
        <w:tc>
          <w:tcPr>
            <w:tcW w:w="0" w:type="auto"/>
            <w:shd w:val="clear" w:color="auto" w:fill="auto"/>
            <w:vAlign w:val="center"/>
          </w:tcPr>
          <w:p w14:paraId="64A88707" w14:textId="77777777" w:rsidR="008D6614" w:rsidRDefault="008D6614">
            <w:pPr>
              <w:rPr>
                <w:rFonts w:ascii="宋体"/>
              </w:rPr>
            </w:pPr>
          </w:p>
        </w:tc>
        <w:tc>
          <w:tcPr>
            <w:tcW w:w="0" w:type="auto"/>
            <w:shd w:val="clear" w:color="auto" w:fill="auto"/>
            <w:vAlign w:val="center"/>
          </w:tcPr>
          <w:p w14:paraId="64A88708" w14:textId="77777777" w:rsidR="008D6614" w:rsidRDefault="008D6614">
            <w:pPr>
              <w:rPr>
                <w:rFonts w:ascii="宋体"/>
              </w:rPr>
            </w:pPr>
          </w:p>
        </w:tc>
        <w:tc>
          <w:tcPr>
            <w:tcW w:w="0" w:type="auto"/>
            <w:shd w:val="clear" w:color="auto" w:fill="auto"/>
            <w:vAlign w:val="center"/>
          </w:tcPr>
          <w:p w14:paraId="64A88709" w14:textId="77777777" w:rsidR="008D6614" w:rsidRDefault="008D6614">
            <w:pPr>
              <w:rPr>
                <w:rFonts w:ascii="宋体"/>
              </w:rPr>
            </w:pPr>
          </w:p>
        </w:tc>
        <w:tc>
          <w:tcPr>
            <w:tcW w:w="0" w:type="auto"/>
            <w:shd w:val="clear" w:color="auto" w:fill="auto"/>
            <w:vAlign w:val="center"/>
          </w:tcPr>
          <w:p w14:paraId="64A8870A" w14:textId="77777777" w:rsidR="008D6614" w:rsidRDefault="008D6614">
            <w:pPr>
              <w:rPr>
                <w:rFonts w:ascii="宋体"/>
              </w:rPr>
            </w:pPr>
          </w:p>
        </w:tc>
      </w:tr>
      <w:tr w:rsidR="008D6614" w14:paraId="64A88721" w14:textId="77777777">
        <w:trPr>
          <w:jc w:val="center"/>
        </w:trPr>
        <w:tc>
          <w:tcPr>
            <w:tcW w:w="0" w:type="auto"/>
            <w:gridSpan w:val="3"/>
            <w:shd w:val="clear" w:color="auto" w:fill="FFFFFF"/>
            <w:tcMar>
              <w:top w:w="40" w:type="dxa"/>
              <w:left w:w="20" w:type="dxa"/>
              <w:bottom w:w="40" w:type="dxa"/>
              <w:right w:w="20" w:type="dxa"/>
            </w:tcMar>
            <w:vAlign w:val="bottom"/>
          </w:tcPr>
          <w:p w14:paraId="64A8870C" w14:textId="77777777" w:rsidR="008D6614" w:rsidRDefault="00866AF2">
            <w:pPr>
              <w:textAlignment w:val="bottom"/>
            </w:pPr>
            <w:r>
              <w:rPr>
                <w:rFonts w:ascii="Arial" w:eastAsia="宋体" w:hAnsi="Arial" w:cs="Arial"/>
                <w:color w:val="000000"/>
                <w:sz w:val="18"/>
                <w:szCs w:val="18"/>
              </w:rPr>
              <w:t>Net income per share - basic</w:t>
            </w:r>
          </w:p>
        </w:tc>
        <w:tc>
          <w:tcPr>
            <w:tcW w:w="0" w:type="auto"/>
            <w:shd w:val="clear" w:color="auto" w:fill="auto"/>
            <w:vAlign w:val="center"/>
          </w:tcPr>
          <w:p w14:paraId="64A8870D" w14:textId="77777777" w:rsidR="008D6614" w:rsidRDefault="008D6614">
            <w:pPr>
              <w:rPr>
                <w:rFonts w:ascii="宋体"/>
                <w:vanish/>
              </w:rPr>
            </w:pPr>
          </w:p>
        </w:tc>
        <w:tc>
          <w:tcPr>
            <w:tcW w:w="0" w:type="auto"/>
            <w:shd w:val="clear" w:color="auto" w:fill="auto"/>
            <w:vAlign w:val="center"/>
          </w:tcPr>
          <w:p w14:paraId="64A8870E" w14:textId="77777777" w:rsidR="008D6614" w:rsidRDefault="008D6614">
            <w:pPr>
              <w:rPr>
                <w:rFonts w:ascii="宋体"/>
                <w:vanish/>
              </w:rPr>
            </w:pPr>
          </w:p>
        </w:tc>
        <w:tc>
          <w:tcPr>
            <w:tcW w:w="0" w:type="auto"/>
            <w:shd w:val="clear" w:color="auto" w:fill="auto"/>
            <w:vAlign w:val="center"/>
          </w:tcPr>
          <w:p w14:paraId="64A8870F"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710"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8711"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8712" w14:textId="77777777" w:rsidR="008D6614" w:rsidRDefault="00866AF2">
            <w:pPr>
              <w:jc w:val="right"/>
              <w:textAlignment w:val="bottom"/>
            </w:pPr>
            <w:r>
              <w:rPr>
                <w:rFonts w:ascii="Arial" w:eastAsia="宋体" w:hAnsi="Arial" w:cs="Arial"/>
                <w:color w:val="000000"/>
                <w:sz w:val="18"/>
                <w:szCs w:val="18"/>
              </w:rPr>
              <w:t>4.53 </w:t>
            </w:r>
          </w:p>
        </w:tc>
        <w:tc>
          <w:tcPr>
            <w:tcW w:w="0" w:type="auto"/>
            <w:tcBorders>
              <w:top w:val="single" w:sz="8" w:space="0" w:color="000000"/>
            </w:tcBorders>
            <w:shd w:val="clear" w:color="auto" w:fill="FFFFFF"/>
            <w:tcMar>
              <w:top w:w="40" w:type="dxa"/>
              <w:bottom w:w="40" w:type="dxa"/>
              <w:right w:w="20" w:type="dxa"/>
            </w:tcMar>
            <w:vAlign w:val="bottom"/>
          </w:tcPr>
          <w:p w14:paraId="64A8871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714"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871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8716" w14:textId="77777777" w:rsidR="008D6614" w:rsidRDefault="00866AF2">
            <w:pPr>
              <w:jc w:val="right"/>
              <w:textAlignment w:val="bottom"/>
            </w:pPr>
            <w:r>
              <w:rPr>
                <w:rFonts w:ascii="Arial" w:eastAsia="宋体" w:hAnsi="Arial" w:cs="Arial"/>
                <w:color w:val="000000"/>
                <w:sz w:val="18"/>
                <w:szCs w:val="18"/>
              </w:rPr>
              <w:t>0.58 </w:t>
            </w:r>
          </w:p>
        </w:tc>
        <w:tc>
          <w:tcPr>
            <w:tcW w:w="0" w:type="auto"/>
            <w:tcBorders>
              <w:top w:val="single" w:sz="8" w:space="0" w:color="000000"/>
            </w:tcBorders>
            <w:shd w:val="clear" w:color="auto" w:fill="FFFFFF"/>
            <w:tcMar>
              <w:top w:w="40" w:type="dxa"/>
              <w:bottom w:w="40" w:type="dxa"/>
              <w:right w:w="20" w:type="dxa"/>
            </w:tcMar>
            <w:vAlign w:val="bottom"/>
          </w:tcPr>
          <w:p w14:paraId="64A8871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718" w14:textId="77777777" w:rsidR="008D6614" w:rsidRDefault="008D6614">
            <w:pPr>
              <w:rPr>
                <w:rFonts w:ascii="宋体"/>
              </w:rPr>
            </w:pPr>
          </w:p>
        </w:tc>
        <w:tc>
          <w:tcPr>
            <w:tcW w:w="0" w:type="auto"/>
            <w:shd w:val="clear" w:color="auto" w:fill="auto"/>
            <w:vAlign w:val="center"/>
          </w:tcPr>
          <w:p w14:paraId="64A88719" w14:textId="77777777" w:rsidR="008D6614" w:rsidRDefault="008D6614">
            <w:pPr>
              <w:rPr>
                <w:rFonts w:ascii="宋体"/>
              </w:rPr>
            </w:pPr>
          </w:p>
        </w:tc>
        <w:tc>
          <w:tcPr>
            <w:tcW w:w="0" w:type="auto"/>
            <w:shd w:val="clear" w:color="auto" w:fill="auto"/>
            <w:vAlign w:val="center"/>
          </w:tcPr>
          <w:p w14:paraId="64A8871A" w14:textId="77777777" w:rsidR="008D6614" w:rsidRDefault="008D6614">
            <w:pPr>
              <w:rPr>
                <w:rFonts w:ascii="宋体"/>
              </w:rPr>
            </w:pPr>
          </w:p>
        </w:tc>
        <w:tc>
          <w:tcPr>
            <w:tcW w:w="0" w:type="auto"/>
            <w:shd w:val="clear" w:color="auto" w:fill="auto"/>
            <w:vAlign w:val="center"/>
          </w:tcPr>
          <w:p w14:paraId="64A8871B" w14:textId="77777777" w:rsidR="008D6614" w:rsidRDefault="008D6614">
            <w:pPr>
              <w:rPr>
                <w:rFonts w:ascii="宋体"/>
              </w:rPr>
            </w:pPr>
          </w:p>
        </w:tc>
        <w:tc>
          <w:tcPr>
            <w:tcW w:w="0" w:type="auto"/>
            <w:shd w:val="clear" w:color="auto" w:fill="auto"/>
            <w:vAlign w:val="center"/>
          </w:tcPr>
          <w:p w14:paraId="64A8871C" w14:textId="77777777" w:rsidR="008D6614" w:rsidRDefault="008D6614">
            <w:pPr>
              <w:rPr>
                <w:rFonts w:ascii="宋体"/>
              </w:rPr>
            </w:pPr>
          </w:p>
        </w:tc>
        <w:tc>
          <w:tcPr>
            <w:tcW w:w="0" w:type="auto"/>
            <w:shd w:val="clear" w:color="auto" w:fill="auto"/>
            <w:vAlign w:val="center"/>
          </w:tcPr>
          <w:p w14:paraId="64A8871D" w14:textId="77777777" w:rsidR="008D6614" w:rsidRDefault="008D6614">
            <w:pPr>
              <w:rPr>
                <w:rFonts w:ascii="宋体"/>
              </w:rPr>
            </w:pPr>
          </w:p>
        </w:tc>
        <w:tc>
          <w:tcPr>
            <w:tcW w:w="0" w:type="auto"/>
            <w:shd w:val="clear" w:color="auto" w:fill="auto"/>
            <w:vAlign w:val="center"/>
          </w:tcPr>
          <w:p w14:paraId="64A8871E" w14:textId="77777777" w:rsidR="008D6614" w:rsidRDefault="008D6614">
            <w:pPr>
              <w:rPr>
                <w:rFonts w:ascii="宋体"/>
              </w:rPr>
            </w:pPr>
          </w:p>
        </w:tc>
        <w:tc>
          <w:tcPr>
            <w:tcW w:w="0" w:type="auto"/>
            <w:shd w:val="clear" w:color="auto" w:fill="auto"/>
            <w:vAlign w:val="center"/>
          </w:tcPr>
          <w:p w14:paraId="64A8871F" w14:textId="77777777" w:rsidR="008D6614" w:rsidRDefault="008D6614">
            <w:pPr>
              <w:rPr>
                <w:rFonts w:ascii="宋体"/>
              </w:rPr>
            </w:pPr>
          </w:p>
        </w:tc>
        <w:tc>
          <w:tcPr>
            <w:tcW w:w="0" w:type="auto"/>
            <w:shd w:val="clear" w:color="auto" w:fill="auto"/>
            <w:vAlign w:val="center"/>
          </w:tcPr>
          <w:p w14:paraId="64A88720" w14:textId="77777777" w:rsidR="008D6614" w:rsidRDefault="008D6614">
            <w:pPr>
              <w:rPr>
                <w:rFonts w:ascii="宋体"/>
              </w:rPr>
            </w:pPr>
          </w:p>
        </w:tc>
      </w:tr>
      <w:tr w:rsidR="008D6614" w14:paraId="64A88733" w14:textId="77777777">
        <w:trPr>
          <w:trHeight w:val="300"/>
          <w:jc w:val="center"/>
        </w:trPr>
        <w:tc>
          <w:tcPr>
            <w:tcW w:w="0" w:type="auto"/>
            <w:gridSpan w:val="3"/>
            <w:shd w:val="clear" w:color="auto" w:fill="E2E2E2"/>
            <w:tcMar>
              <w:left w:w="20" w:type="dxa"/>
              <w:right w:w="20" w:type="dxa"/>
            </w:tcMar>
            <w:vAlign w:val="bottom"/>
          </w:tcPr>
          <w:p w14:paraId="64A88722" w14:textId="77777777" w:rsidR="008D6614" w:rsidRDefault="008D6614">
            <w:pPr>
              <w:rPr>
                <w:rFonts w:ascii="宋体"/>
              </w:rPr>
            </w:pPr>
          </w:p>
        </w:tc>
        <w:tc>
          <w:tcPr>
            <w:tcW w:w="0" w:type="auto"/>
            <w:shd w:val="clear" w:color="auto" w:fill="auto"/>
            <w:vAlign w:val="center"/>
          </w:tcPr>
          <w:p w14:paraId="64A88723" w14:textId="77777777" w:rsidR="008D6614" w:rsidRDefault="008D6614">
            <w:pPr>
              <w:rPr>
                <w:rFonts w:ascii="宋体"/>
                <w:vanish/>
              </w:rPr>
            </w:pPr>
          </w:p>
        </w:tc>
        <w:tc>
          <w:tcPr>
            <w:tcW w:w="0" w:type="auto"/>
            <w:shd w:val="clear" w:color="auto" w:fill="auto"/>
            <w:vAlign w:val="center"/>
          </w:tcPr>
          <w:p w14:paraId="64A88724" w14:textId="77777777" w:rsidR="008D6614" w:rsidRDefault="008D6614">
            <w:pPr>
              <w:rPr>
                <w:rFonts w:ascii="宋体"/>
                <w:vanish/>
              </w:rPr>
            </w:pPr>
          </w:p>
        </w:tc>
        <w:tc>
          <w:tcPr>
            <w:tcW w:w="0" w:type="auto"/>
            <w:shd w:val="clear" w:color="auto" w:fill="auto"/>
            <w:vAlign w:val="center"/>
          </w:tcPr>
          <w:p w14:paraId="64A88725"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726"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872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8728"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8729" w14:textId="77777777" w:rsidR="008D6614" w:rsidRDefault="008D6614">
            <w:pPr>
              <w:rPr>
                <w:rFonts w:ascii="宋体"/>
              </w:rPr>
            </w:pPr>
          </w:p>
        </w:tc>
        <w:tc>
          <w:tcPr>
            <w:tcW w:w="0" w:type="auto"/>
            <w:shd w:val="clear" w:color="auto" w:fill="auto"/>
            <w:vAlign w:val="center"/>
          </w:tcPr>
          <w:p w14:paraId="64A8872A" w14:textId="77777777" w:rsidR="008D6614" w:rsidRDefault="008D6614">
            <w:pPr>
              <w:rPr>
                <w:rFonts w:ascii="宋体"/>
              </w:rPr>
            </w:pPr>
          </w:p>
        </w:tc>
        <w:tc>
          <w:tcPr>
            <w:tcW w:w="0" w:type="auto"/>
            <w:shd w:val="clear" w:color="auto" w:fill="auto"/>
            <w:vAlign w:val="center"/>
          </w:tcPr>
          <w:p w14:paraId="64A8872B" w14:textId="77777777" w:rsidR="008D6614" w:rsidRDefault="008D6614">
            <w:pPr>
              <w:rPr>
                <w:rFonts w:ascii="宋体"/>
              </w:rPr>
            </w:pPr>
          </w:p>
        </w:tc>
        <w:tc>
          <w:tcPr>
            <w:tcW w:w="0" w:type="auto"/>
            <w:shd w:val="clear" w:color="auto" w:fill="auto"/>
            <w:vAlign w:val="center"/>
          </w:tcPr>
          <w:p w14:paraId="64A8872C" w14:textId="77777777" w:rsidR="008D6614" w:rsidRDefault="008D6614">
            <w:pPr>
              <w:rPr>
                <w:rFonts w:ascii="宋体"/>
              </w:rPr>
            </w:pPr>
          </w:p>
        </w:tc>
        <w:tc>
          <w:tcPr>
            <w:tcW w:w="0" w:type="auto"/>
            <w:shd w:val="clear" w:color="auto" w:fill="auto"/>
            <w:vAlign w:val="center"/>
          </w:tcPr>
          <w:p w14:paraId="64A8872D" w14:textId="77777777" w:rsidR="008D6614" w:rsidRDefault="008D6614">
            <w:pPr>
              <w:rPr>
                <w:rFonts w:ascii="宋体"/>
              </w:rPr>
            </w:pPr>
          </w:p>
        </w:tc>
        <w:tc>
          <w:tcPr>
            <w:tcW w:w="0" w:type="auto"/>
            <w:shd w:val="clear" w:color="auto" w:fill="auto"/>
            <w:vAlign w:val="center"/>
          </w:tcPr>
          <w:p w14:paraId="64A8872E" w14:textId="77777777" w:rsidR="008D6614" w:rsidRDefault="008D6614">
            <w:pPr>
              <w:rPr>
                <w:rFonts w:ascii="宋体"/>
              </w:rPr>
            </w:pPr>
          </w:p>
        </w:tc>
        <w:tc>
          <w:tcPr>
            <w:tcW w:w="0" w:type="auto"/>
            <w:shd w:val="clear" w:color="auto" w:fill="auto"/>
            <w:vAlign w:val="center"/>
          </w:tcPr>
          <w:p w14:paraId="64A8872F" w14:textId="77777777" w:rsidR="008D6614" w:rsidRDefault="008D6614">
            <w:pPr>
              <w:rPr>
                <w:rFonts w:ascii="宋体"/>
              </w:rPr>
            </w:pPr>
          </w:p>
        </w:tc>
        <w:tc>
          <w:tcPr>
            <w:tcW w:w="0" w:type="auto"/>
            <w:shd w:val="clear" w:color="auto" w:fill="auto"/>
            <w:vAlign w:val="center"/>
          </w:tcPr>
          <w:p w14:paraId="64A88730" w14:textId="77777777" w:rsidR="008D6614" w:rsidRDefault="008D6614">
            <w:pPr>
              <w:rPr>
                <w:rFonts w:ascii="宋体"/>
              </w:rPr>
            </w:pPr>
          </w:p>
        </w:tc>
        <w:tc>
          <w:tcPr>
            <w:tcW w:w="0" w:type="auto"/>
            <w:shd w:val="clear" w:color="auto" w:fill="auto"/>
            <w:vAlign w:val="center"/>
          </w:tcPr>
          <w:p w14:paraId="64A88731" w14:textId="77777777" w:rsidR="008D6614" w:rsidRDefault="008D6614">
            <w:pPr>
              <w:rPr>
                <w:rFonts w:ascii="宋体"/>
              </w:rPr>
            </w:pPr>
          </w:p>
        </w:tc>
        <w:tc>
          <w:tcPr>
            <w:tcW w:w="0" w:type="auto"/>
            <w:shd w:val="clear" w:color="auto" w:fill="auto"/>
            <w:vAlign w:val="center"/>
          </w:tcPr>
          <w:p w14:paraId="64A88732" w14:textId="77777777" w:rsidR="008D6614" w:rsidRDefault="008D6614">
            <w:pPr>
              <w:rPr>
                <w:rFonts w:ascii="宋体"/>
              </w:rPr>
            </w:pPr>
          </w:p>
        </w:tc>
      </w:tr>
      <w:tr w:rsidR="008D6614" w14:paraId="64A88745" w14:textId="77777777">
        <w:trPr>
          <w:jc w:val="center"/>
        </w:trPr>
        <w:tc>
          <w:tcPr>
            <w:tcW w:w="0" w:type="auto"/>
            <w:gridSpan w:val="3"/>
            <w:shd w:val="clear" w:color="auto" w:fill="FFFFFF"/>
            <w:tcMar>
              <w:top w:w="40" w:type="dxa"/>
              <w:left w:w="20" w:type="dxa"/>
              <w:bottom w:w="40" w:type="dxa"/>
              <w:right w:w="20" w:type="dxa"/>
            </w:tcMar>
            <w:vAlign w:val="bottom"/>
          </w:tcPr>
          <w:p w14:paraId="64A88734" w14:textId="77777777" w:rsidR="008D6614" w:rsidRDefault="00866AF2">
            <w:pPr>
              <w:textAlignment w:val="bottom"/>
            </w:pPr>
            <w:r>
              <w:rPr>
                <w:rFonts w:ascii="Arial" w:eastAsia="宋体" w:hAnsi="Arial" w:cs="Arial"/>
                <w:color w:val="000000"/>
                <w:sz w:val="18"/>
                <w:szCs w:val="18"/>
              </w:rPr>
              <w:t>Income per share - diluted:</w:t>
            </w:r>
          </w:p>
        </w:tc>
        <w:tc>
          <w:tcPr>
            <w:tcW w:w="0" w:type="auto"/>
            <w:shd w:val="clear" w:color="auto" w:fill="auto"/>
            <w:vAlign w:val="center"/>
          </w:tcPr>
          <w:p w14:paraId="64A88735" w14:textId="77777777" w:rsidR="008D6614" w:rsidRDefault="008D6614">
            <w:pPr>
              <w:rPr>
                <w:rFonts w:ascii="宋体"/>
                <w:vanish/>
              </w:rPr>
            </w:pPr>
          </w:p>
        </w:tc>
        <w:tc>
          <w:tcPr>
            <w:tcW w:w="0" w:type="auto"/>
            <w:shd w:val="clear" w:color="auto" w:fill="auto"/>
            <w:vAlign w:val="center"/>
          </w:tcPr>
          <w:p w14:paraId="64A88736" w14:textId="77777777" w:rsidR="008D6614" w:rsidRDefault="008D6614">
            <w:pPr>
              <w:rPr>
                <w:rFonts w:ascii="宋体"/>
                <w:vanish/>
              </w:rPr>
            </w:pPr>
          </w:p>
        </w:tc>
        <w:tc>
          <w:tcPr>
            <w:tcW w:w="0" w:type="auto"/>
            <w:shd w:val="clear" w:color="auto" w:fill="auto"/>
            <w:vAlign w:val="center"/>
          </w:tcPr>
          <w:p w14:paraId="64A88737"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738"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739"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73A"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73B" w14:textId="77777777" w:rsidR="008D6614" w:rsidRDefault="008D6614">
            <w:pPr>
              <w:rPr>
                <w:rFonts w:ascii="宋体"/>
              </w:rPr>
            </w:pPr>
          </w:p>
        </w:tc>
        <w:tc>
          <w:tcPr>
            <w:tcW w:w="0" w:type="auto"/>
            <w:shd w:val="clear" w:color="auto" w:fill="auto"/>
            <w:vAlign w:val="center"/>
          </w:tcPr>
          <w:p w14:paraId="64A8873C" w14:textId="77777777" w:rsidR="008D6614" w:rsidRDefault="008D6614">
            <w:pPr>
              <w:rPr>
                <w:rFonts w:ascii="宋体"/>
              </w:rPr>
            </w:pPr>
          </w:p>
        </w:tc>
        <w:tc>
          <w:tcPr>
            <w:tcW w:w="0" w:type="auto"/>
            <w:shd w:val="clear" w:color="auto" w:fill="auto"/>
            <w:vAlign w:val="center"/>
          </w:tcPr>
          <w:p w14:paraId="64A8873D" w14:textId="77777777" w:rsidR="008D6614" w:rsidRDefault="008D6614">
            <w:pPr>
              <w:rPr>
                <w:rFonts w:ascii="宋体"/>
              </w:rPr>
            </w:pPr>
          </w:p>
        </w:tc>
        <w:tc>
          <w:tcPr>
            <w:tcW w:w="0" w:type="auto"/>
            <w:shd w:val="clear" w:color="auto" w:fill="auto"/>
            <w:vAlign w:val="center"/>
          </w:tcPr>
          <w:p w14:paraId="64A8873E" w14:textId="77777777" w:rsidR="008D6614" w:rsidRDefault="008D6614">
            <w:pPr>
              <w:rPr>
                <w:rFonts w:ascii="宋体"/>
              </w:rPr>
            </w:pPr>
          </w:p>
        </w:tc>
        <w:tc>
          <w:tcPr>
            <w:tcW w:w="0" w:type="auto"/>
            <w:shd w:val="clear" w:color="auto" w:fill="auto"/>
            <w:vAlign w:val="center"/>
          </w:tcPr>
          <w:p w14:paraId="64A8873F" w14:textId="77777777" w:rsidR="008D6614" w:rsidRDefault="008D6614">
            <w:pPr>
              <w:rPr>
                <w:rFonts w:ascii="宋体"/>
              </w:rPr>
            </w:pPr>
          </w:p>
        </w:tc>
        <w:tc>
          <w:tcPr>
            <w:tcW w:w="0" w:type="auto"/>
            <w:shd w:val="clear" w:color="auto" w:fill="auto"/>
            <w:vAlign w:val="center"/>
          </w:tcPr>
          <w:p w14:paraId="64A88740" w14:textId="77777777" w:rsidR="008D6614" w:rsidRDefault="008D6614">
            <w:pPr>
              <w:rPr>
                <w:rFonts w:ascii="宋体"/>
              </w:rPr>
            </w:pPr>
          </w:p>
        </w:tc>
        <w:tc>
          <w:tcPr>
            <w:tcW w:w="0" w:type="auto"/>
            <w:shd w:val="clear" w:color="auto" w:fill="auto"/>
            <w:vAlign w:val="center"/>
          </w:tcPr>
          <w:p w14:paraId="64A88741" w14:textId="77777777" w:rsidR="008D6614" w:rsidRDefault="008D6614">
            <w:pPr>
              <w:rPr>
                <w:rFonts w:ascii="宋体"/>
              </w:rPr>
            </w:pPr>
          </w:p>
        </w:tc>
        <w:tc>
          <w:tcPr>
            <w:tcW w:w="0" w:type="auto"/>
            <w:shd w:val="clear" w:color="auto" w:fill="auto"/>
            <w:vAlign w:val="center"/>
          </w:tcPr>
          <w:p w14:paraId="64A88742" w14:textId="77777777" w:rsidR="008D6614" w:rsidRDefault="008D6614">
            <w:pPr>
              <w:rPr>
                <w:rFonts w:ascii="宋体"/>
              </w:rPr>
            </w:pPr>
          </w:p>
        </w:tc>
        <w:tc>
          <w:tcPr>
            <w:tcW w:w="0" w:type="auto"/>
            <w:shd w:val="clear" w:color="auto" w:fill="auto"/>
            <w:vAlign w:val="center"/>
          </w:tcPr>
          <w:p w14:paraId="64A88743" w14:textId="77777777" w:rsidR="008D6614" w:rsidRDefault="008D6614">
            <w:pPr>
              <w:rPr>
                <w:rFonts w:ascii="宋体"/>
              </w:rPr>
            </w:pPr>
          </w:p>
        </w:tc>
        <w:tc>
          <w:tcPr>
            <w:tcW w:w="0" w:type="auto"/>
            <w:shd w:val="clear" w:color="auto" w:fill="auto"/>
            <w:vAlign w:val="center"/>
          </w:tcPr>
          <w:p w14:paraId="64A88744" w14:textId="77777777" w:rsidR="008D6614" w:rsidRDefault="008D6614">
            <w:pPr>
              <w:rPr>
                <w:rFonts w:ascii="宋体"/>
              </w:rPr>
            </w:pPr>
          </w:p>
        </w:tc>
      </w:tr>
      <w:tr w:rsidR="008D6614" w14:paraId="64A8875B" w14:textId="77777777">
        <w:trPr>
          <w:jc w:val="center"/>
        </w:trPr>
        <w:tc>
          <w:tcPr>
            <w:tcW w:w="0" w:type="auto"/>
            <w:gridSpan w:val="3"/>
            <w:shd w:val="clear" w:color="auto" w:fill="E2E2E2"/>
            <w:tcMar>
              <w:top w:w="40" w:type="dxa"/>
              <w:left w:w="495" w:type="dxa"/>
              <w:bottom w:w="40" w:type="dxa"/>
              <w:right w:w="20" w:type="dxa"/>
            </w:tcMar>
            <w:vAlign w:val="bottom"/>
          </w:tcPr>
          <w:p w14:paraId="64A88746" w14:textId="77777777" w:rsidR="008D6614" w:rsidRDefault="00866AF2">
            <w:pPr>
              <w:textAlignment w:val="bottom"/>
            </w:pPr>
            <w:r>
              <w:rPr>
                <w:rFonts w:ascii="Arial" w:eastAsia="宋体" w:hAnsi="Arial" w:cs="Arial"/>
                <w:color w:val="000000"/>
                <w:sz w:val="18"/>
                <w:szCs w:val="18"/>
              </w:rPr>
              <w:t>Continuing operations</w:t>
            </w:r>
          </w:p>
        </w:tc>
        <w:tc>
          <w:tcPr>
            <w:tcW w:w="0" w:type="auto"/>
            <w:shd w:val="clear" w:color="auto" w:fill="auto"/>
            <w:vAlign w:val="center"/>
          </w:tcPr>
          <w:p w14:paraId="64A88747" w14:textId="77777777" w:rsidR="008D6614" w:rsidRDefault="008D6614">
            <w:pPr>
              <w:rPr>
                <w:rFonts w:ascii="宋体"/>
                <w:vanish/>
              </w:rPr>
            </w:pPr>
          </w:p>
        </w:tc>
        <w:tc>
          <w:tcPr>
            <w:tcW w:w="0" w:type="auto"/>
            <w:shd w:val="clear" w:color="auto" w:fill="auto"/>
            <w:vAlign w:val="center"/>
          </w:tcPr>
          <w:p w14:paraId="64A88748" w14:textId="77777777" w:rsidR="008D6614" w:rsidRDefault="008D6614">
            <w:pPr>
              <w:rPr>
                <w:rFonts w:ascii="宋体"/>
                <w:vanish/>
              </w:rPr>
            </w:pPr>
          </w:p>
        </w:tc>
        <w:tc>
          <w:tcPr>
            <w:tcW w:w="0" w:type="auto"/>
            <w:shd w:val="clear" w:color="auto" w:fill="auto"/>
            <w:vAlign w:val="center"/>
          </w:tcPr>
          <w:p w14:paraId="64A88749"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74A"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874B"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74C" w14:textId="77777777" w:rsidR="008D6614" w:rsidRDefault="00866AF2">
            <w:pPr>
              <w:jc w:val="right"/>
              <w:textAlignment w:val="bottom"/>
            </w:pPr>
            <w:r>
              <w:rPr>
                <w:rFonts w:ascii="Arial" w:eastAsia="宋体" w:hAnsi="Arial" w:cs="Arial"/>
                <w:color w:val="000000"/>
                <w:sz w:val="18"/>
                <w:szCs w:val="18"/>
              </w:rPr>
              <w:t>0.64 </w:t>
            </w:r>
          </w:p>
        </w:tc>
        <w:tc>
          <w:tcPr>
            <w:tcW w:w="0" w:type="auto"/>
            <w:shd w:val="clear" w:color="auto" w:fill="E2E2E2"/>
            <w:tcMar>
              <w:top w:w="40" w:type="dxa"/>
              <w:bottom w:w="40" w:type="dxa"/>
              <w:right w:w="20" w:type="dxa"/>
            </w:tcMar>
            <w:vAlign w:val="bottom"/>
          </w:tcPr>
          <w:p w14:paraId="64A8874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74E"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874F"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750" w14:textId="77777777" w:rsidR="008D6614" w:rsidRDefault="00866AF2">
            <w:pPr>
              <w:jc w:val="right"/>
              <w:textAlignment w:val="bottom"/>
            </w:pPr>
            <w:r>
              <w:rPr>
                <w:rFonts w:ascii="Arial" w:eastAsia="宋体" w:hAnsi="Arial" w:cs="Arial"/>
                <w:color w:val="000000"/>
                <w:sz w:val="18"/>
                <w:szCs w:val="18"/>
              </w:rPr>
              <w:t>0.57 </w:t>
            </w:r>
          </w:p>
        </w:tc>
        <w:tc>
          <w:tcPr>
            <w:tcW w:w="0" w:type="auto"/>
            <w:shd w:val="clear" w:color="auto" w:fill="E2E2E2"/>
            <w:tcMar>
              <w:top w:w="40" w:type="dxa"/>
              <w:bottom w:w="40" w:type="dxa"/>
              <w:right w:w="20" w:type="dxa"/>
            </w:tcMar>
            <w:vAlign w:val="bottom"/>
          </w:tcPr>
          <w:p w14:paraId="64A8875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752" w14:textId="77777777" w:rsidR="008D6614" w:rsidRDefault="008D6614">
            <w:pPr>
              <w:rPr>
                <w:rFonts w:ascii="宋体"/>
              </w:rPr>
            </w:pPr>
          </w:p>
        </w:tc>
        <w:tc>
          <w:tcPr>
            <w:tcW w:w="0" w:type="auto"/>
            <w:shd w:val="clear" w:color="auto" w:fill="auto"/>
            <w:vAlign w:val="center"/>
          </w:tcPr>
          <w:p w14:paraId="64A88753" w14:textId="77777777" w:rsidR="008D6614" w:rsidRDefault="008D6614">
            <w:pPr>
              <w:rPr>
                <w:rFonts w:ascii="宋体"/>
              </w:rPr>
            </w:pPr>
          </w:p>
        </w:tc>
        <w:tc>
          <w:tcPr>
            <w:tcW w:w="0" w:type="auto"/>
            <w:shd w:val="clear" w:color="auto" w:fill="auto"/>
            <w:vAlign w:val="center"/>
          </w:tcPr>
          <w:p w14:paraId="64A88754" w14:textId="77777777" w:rsidR="008D6614" w:rsidRDefault="008D6614">
            <w:pPr>
              <w:rPr>
                <w:rFonts w:ascii="宋体"/>
              </w:rPr>
            </w:pPr>
          </w:p>
        </w:tc>
        <w:tc>
          <w:tcPr>
            <w:tcW w:w="0" w:type="auto"/>
            <w:shd w:val="clear" w:color="auto" w:fill="auto"/>
            <w:vAlign w:val="center"/>
          </w:tcPr>
          <w:p w14:paraId="64A88755" w14:textId="77777777" w:rsidR="008D6614" w:rsidRDefault="008D6614">
            <w:pPr>
              <w:rPr>
                <w:rFonts w:ascii="宋体"/>
              </w:rPr>
            </w:pPr>
          </w:p>
        </w:tc>
        <w:tc>
          <w:tcPr>
            <w:tcW w:w="0" w:type="auto"/>
            <w:shd w:val="clear" w:color="auto" w:fill="auto"/>
            <w:vAlign w:val="center"/>
          </w:tcPr>
          <w:p w14:paraId="64A88756" w14:textId="77777777" w:rsidR="008D6614" w:rsidRDefault="008D6614">
            <w:pPr>
              <w:rPr>
                <w:rFonts w:ascii="宋体"/>
              </w:rPr>
            </w:pPr>
          </w:p>
        </w:tc>
        <w:tc>
          <w:tcPr>
            <w:tcW w:w="0" w:type="auto"/>
            <w:shd w:val="clear" w:color="auto" w:fill="auto"/>
            <w:vAlign w:val="center"/>
          </w:tcPr>
          <w:p w14:paraId="64A88757" w14:textId="77777777" w:rsidR="008D6614" w:rsidRDefault="008D6614">
            <w:pPr>
              <w:rPr>
                <w:rFonts w:ascii="宋体"/>
              </w:rPr>
            </w:pPr>
          </w:p>
        </w:tc>
        <w:tc>
          <w:tcPr>
            <w:tcW w:w="0" w:type="auto"/>
            <w:shd w:val="clear" w:color="auto" w:fill="auto"/>
            <w:vAlign w:val="center"/>
          </w:tcPr>
          <w:p w14:paraId="64A88758" w14:textId="77777777" w:rsidR="008D6614" w:rsidRDefault="008D6614">
            <w:pPr>
              <w:rPr>
                <w:rFonts w:ascii="宋体"/>
              </w:rPr>
            </w:pPr>
          </w:p>
        </w:tc>
        <w:tc>
          <w:tcPr>
            <w:tcW w:w="0" w:type="auto"/>
            <w:shd w:val="clear" w:color="auto" w:fill="auto"/>
            <w:vAlign w:val="center"/>
          </w:tcPr>
          <w:p w14:paraId="64A88759" w14:textId="77777777" w:rsidR="008D6614" w:rsidRDefault="008D6614">
            <w:pPr>
              <w:rPr>
                <w:rFonts w:ascii="宋体"/>
              </w:rPr>
            </w:pPr>
          </w:p>
        </w:tc>
        <w:tc>
          <w:tcPr>
            <w:tcW w:w="0" w:type="auto"/>
            <w:shd w:val="clear" w:color="auto" w:fill="auto"/>
            <w:vAlign w:val="center"/>
          </w:tcPr>
          <w:p w14:paraId="64A8875A" w14:textId="77777777" w:rsidR="008D6614" w:rsidRDefault="008D6614">
            <w:pPr>
              <w:rPr>
                <w:rFonts w:ascii="宋体"/>
              </w:rPr>
            </w:pPr>
          </w:p>
        </w:tc>
      </w:tr>
      <w:tr w:rsidR="008D6614" w14:paraId="64A8876F" w14:textId="77777777">
        <w:trPr>
          <w:jc w:val="center"/>
        </w:trPr>
        <w:tc>
          <w:tcPr>
            <w:tcW w:w="0" w:type="auto"/>
            <w:gridSpan w:val="3"/>
            <w:shd w:val="clear" w:color="auto" w:fill="FFFFFF"/>
            <w:tcMar>
              <w:top w:w="40" w:type="dxa"/>
              <w:left w:w="495" w:type="dxa"/>
              <w:bottom w:w="40" w:type="dxa"/>
              <w:right w:w="20" w:type="dxa"/>
            </w:tcMar>
            <w:vAlign w:val="bottom"/>
          </w:tcPr>
          <w:p w14:paraId="64A8875C" w14:textId="77777777" w:rsidR="008D6614" w:rsidRDefault="00866AF2">
            <w:pPr>
              <w:textAlignment w:val="bottom"/>
            </w:pPr>
            <w:r>
              <w:rPr>
                <w:rFonts w:ascii="Arial" w:eastAsia="宋体" w:hAnsi="Arial" w:cs="Arial"/>
                <w:color w:val="000000"/>
                <w:sz w:val="18"/>
                <w:szCs w:val="18"/>
              </w:rPr>
              <w:t>Discontinued operations</w:t>
            </w:r>
          </w:p>
        </w:tc>
        <w:tc>
          <w:tcPr>
            <w:tcW w:w="0" w:type="auto"/>
            <w:shd w:val="clear" w:color="auto" w:fill="auto"/>
            <w:vAlign w:val="center"/>
          </w:tcPr>
          <w:p w14:paraId="64A8875D" w14:textId="77777777" w:rsidR="008D6614" w:rsidRDefault="008D6614">
            <w:pPr>
              <w:rPr>
                <w:rFonts w:ascii="宋体"/>
                <w:vanish/>
              </w:rPr>
            </w:pPr>
          </w:p>
        </w:tc>
        <w:tc>
          <w:tcPr>
            <w:tcW w:w="0" w:type="auto"/>
            <w:shd w:val="clear" w:color="auto" w:fill="auto"/>
            <w:vAlign w:val="center"/>
          </w:tcPr>
          <w:p w14:paraId="64A8875E" w14:textId="77777777" w:rsidR="008D6614" w:rsidRDefault="008D6614">
            <w:pPr>
              <w:rPr>
                <w:rFonts w:ascii="宋体"/>
                <w:vanish/>
              </w:rPr>
            </w:pPr>
          </w:p>
        </w:tc>
        <w:tc>
          <w:tcPr>
            <w:tcW w:w="0" w:type="auto"/>
            <w:shd w:val="clear" w:color="auto" w:fill="auto"/>
            <w:vAlign w:val="center"/>
          </w:tcPr>
          <w:p w14:paraId="64A8875F"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76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761" w14:textId="77777777" w:rsidR="008D6614" w:rsidRDefault="00866AF2">
            <w:pPr>
              <w:jc w:val="right"/>
              <w:textAlignment w:val="bottom"/>
            </w:pPr>
            <w:r>
              <w:rPr>
                <w:rFonts w:ascii="Arial" w:eastAsia="宋体" w:hAnsi="Arial" w:cs="Arial"/>
                <w:color w:val="000000"/>
                <w:sz w:val="18"/>
                <w:szCs w:val="18"/>
              </w:rPr>
              <w:t>3.87 </w:t>
            </w:r>
          </w:p>
        </w:tc>
        <w:tc>
          <w:tcPr>
            <w:tcW w:w="0" w:type="auto"/>
            <w:shd w:val="clear" w:color="auto" w:fill="FFFFFF"/>
            <w:tcMar>
              <w:top w:w="40" w:type="dxa"/>
              <w:bottom w:w="40" w:type="dxa"/>
              <w:right w:w="20" w:type="dxa"/>
            </w:tcMar>
            <w:vAlign w:val="bottom"/>
          </w:tcPr>
          <w:p w14:paraId="64A8876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76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76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876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766" w14:textId="77777777" w:rsidR="008D6614" w:rsidRDefault="008D6614">
            <w:pPr>
              <w:rPr>
                <w:rFonts w:ascii="宋体"/>
              </w:rPr>
            </w:pPr>
          </w:p>
        </w:tc>
        <w:tc>
          <w:tcPr>
            <w:tcW w:w="0" w:type="auto"/>
            <w:shd w:val="clear" w:color="auto" w:fill="auto"/>
            <w:vAlign w:val="center"/>
          </w:tcPr>
          <w:p w14:paraId="64A88767" w14:textId="77777777" w:rsidR="008D6614" w:rsidRDefault="008D6614">
            <w:pPr>
              <w:rPr>
                <w:rFonts w:ascii="宋体"/>
              </w:rPr>
            </w:pPr>
          </w:p>
        </w:tc>
        <w:tc>
          <w:tcPr>
            <w:tcW w:w="0" w:type="auto"/>
            <w:shd w:val="clear" w:color="auto" w:fill="auto"/>
            <w:vAlign w:val="center"/>
          </w:tcPr>
          <w:p w14:paraId="64A88768" w14:textId="77777777" w:rsidR="008D6614" w:rsidRDefault="008D6614">
            <w:pPr>
              <w:rPr>
                <w:rFonts w:ascii="宋体"/>
              </w:rPr>
            </w:pPr>
          </w:p>
        </w:tc>
        <w:tc>
          <w:tcPr>
            <w:tcW w:w="0" w:type="auto"/>
            <w:shd w:val="clear" w:color="auto" w:fill="auto"/>
            <w:vAlign w:val="center"/>
          </w:tcPr>
          <w:p w14:paraId="64A88769" w14:textId="77777777" w:rsidR="008D6614" w:rsidRDefault="008D6614">
            <w:pPr>
              <w:rPr>
                <w:rFonts w:ascii="宋体"/>
              </w:rPr>
            </w:pPr>
          </w:p>
        </w:tc>
        <w:tc>
          <w:tcPr>
            <w:tcW w:w="0" w:type="auto"/>
            <w:shd w:val="clear" w:color="auto" w:fill="auto"/>
            <w:vAlign w:val="center"/>
          </w:tcPr>
          <w:p w14:paraId="64A8876A" w14:textId="77777777" w:rsidR="008D6614" w:rsidRDefault="008D6614">
            <w:pPr>
              <w:rPr>
                <w:rFonts w:ascii="宋体"/>
              </w:rPr>
            </w:pPr>
          </w:p>
        </w:tc>
        <w:tc>
          <w:tcPr>
            <w:tcW w:w="0" w:type="auto"/>
            <w:shd w:val="clear" w:color="auto" w:fill="auto"/>
            <w:vAlign w:val="center"/>
          </w:tcPr>
          <w:p w14:paraId="64A8876B" w14:textId="77777777" w:rsidR="008D6614" w:rsidRDefault="008D6614">
            <w:pPr>
              <w:rPr>
                <w:rFonts w:ascii="宋体"/>
              </w:rPr>
            </w:pPr>
          </w:p>
        </w:tc>
        <w:tc>
          <w:tcPr>
            <w:tcW w:w="0" w:type="auto"/>
            <w:shd w:val="clear" w:color="auto" w:fill="auto"/>
            <w:vAlign w:val="center"/>
          </w:tcPr>
          <w:p w14:paraId="64A8876C" w14:textId="77777777" w:rsidR="008D6614" w:rsidRDefault="008D6614">
            <w:pPr>
              <w:rPr>
                <w:rFonts w:ascii="宋体"/>
              </w:rPr>
            </w:pPr>
          </w:p>
        </w:tc>
        <w:tc>
          <w:tcPr>
            <w:tcW w:w="0" w:type="auto"/>
            <w:shd w:val="clear" w:color="auto" w:fill="auto"/>
            <w:vAlign w:val="center"/>
          </w:tcPr>
          <w:p w14:paraId="64A8876D" w14:textId="77777777" w:rsidR="008D6614" w:rsidRDefault="008D6614">
            <w:pPr>
              <w:rPr>
                <w:rFonts w:ascii="宋体"/>
              </w:rPr>
            </w:pPr>
          </w:p>
        </w:tc>
        <w:tc>
          <w:tcPr>
            <w:tcW w:w="0" w:type="auto"/>
            <w:shd w:val="clear" w:color="auto" w:fill="auto"/>
            <w:vAlign w:val="center"/>
          </w:tcPr>
          <w:p w14:paraId="64A8876E" w14:textId="77777777" w:rsidR="008D6614" w:rsidRDefault="008D6614">
            <w:pPr>
              <w:rPr>
                <w:rFonts w:ascii="宋体"/>
              </w:rPr>
            </w:pPr>
          </w:p>
        </w:tc>
      </w:tr>
      <w:tr w:rsidR="008D6614" w14:paraId="64A88785" w14:textId="77777777">
        <w:trPr>
          <w:jc w:val="center"/>
        </w:trPr>
        <w:tc>
          <w:tcPr>
            <w:tcW w:w="0" w:type="auto"/>
            <w:gridSpan w:val="3"/>
            <w:shd w:val="clear" w:color="auto" w:fill="E2E2E2"/>
            <w:tcMar>
              <w:top w:w="40" w:type="dxa"/>
              <w:left w:w="20" w:type="dxa"/>
              <w:bottom w:w="40" w:type="dxa"/>
              <w:right w:w="20" w:type="dxa"/>
            </w:tcMar>
            <w:vAlign w:val="bottom"/>
          </w:tcPr>
          <w:p w14:paraId="64A88770" w14:textId="77777777" w:rsidR="008D6614" w:rsidRDefault="00866AF2">
            <w:pPr>
              <w:textAlignment w:val="bottom"/>
            </w:pPr>
            <w:r>
              <w:rPr>
                <w:rFonts w:ascii="Arial" w:eastAsia="宋体" w:hAnsi="Arial" w:cs="Arial"/>
                <w:color w:val="000000"/>
                <w:sz w:val="18"/>
                <w:szCs w:val="18"/>
              </w:rPr>
              <w:t>Net income per share - diluted</w:t>
            </w:r>
          </w:p>
        </w:tc>
        <w:tc>
          <w:tcPr>
            <w:tcW w:w="0" w:type="auto"/>
            <w:shd w:val="clear" w:color="auto" w:fill="auto"/>
            <w:vAlign w:val="center"/>
          </w:tcPr>
          <w:p w14:paraId="64A88771" w14:textId="77777777" w:rsidR="008D6614" w:rsidRDefault="008D6614">
            <w:pPr>
              <w:rPr>
                <w:rFonts w:ascii="宋体"/>
                <w:vanish/>
              </w:rPr>
            </w:pPr>
          </w:p>
        </w:tc>
        <w:tc>
          <w:tcPr>
            <w:tcW w:w="0" w:type="auto"/>
            <w:shd w:val="clear" w:color="auto" w:fill="auto"/>
            <w:vAlign w:val="center"/>
          </w:tcPr>
          <w:p w14:paraId="64A88772" w14:textId="77777777" w:rsidR="008D6614" w:rsidRDefault="008D6614">
            <w:pPr>
              <w:rPr>
                <w:rFonts w:ascii="宋体"/>
                <w:vanish/>
              </w:rPr>
            </w:pPr>
          </w:p>
        </w:tc>
        <w:tc>
          <w:tcPr>
            <w:tcW w:w="0" w:type="auto"/>
            <w:shd w:val="clear" w:color="auto" w:fill="auto"/>
            <w:vAlign w:val="center"/>
          </w:tcPr>
          <w:p w14:paraId="64A88773"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774"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877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8776" w14:textId="77777777" w:rsidR="008D6614" w:rsidRDefault="00866AF2">
            <w:pPr>
              <w:jc w:val="right"/>
              <w:textAlignment w:val="bottom"/>
            </w:pPr>
            <w:r>
              <w:rPr>
                <w:rFonts w:ascii="Arial" w:eastAsia="宋体" w:hAnsi="Arial" w:cs="Arial"/>
                <w:color w:val="000000"/>
                <w:sz w:val="18"/>
                <w:szCs w:val="18"/>
              </w:rPr>
              <w:t>4.51 </w:t>
            </w:r>
          </w:p>
        </w:tc>
        <w:tc>
          <w:tcPr>
            <w:tcW w:w="0" w:type="auto"/>
            <w:tcBorders>
              <w:top w:val="single" w:sz="8" w:space="0" w:color="000000"/>
            </w:tcBorders>
            <w:shd w:val="clear" w:color="auto" w:fill="E2E2E2"/>
            <w:tcMar>
              <w:top w:w="40" w:type="dxa"/>
              <w:bottom w:w="40" w:type="dxa"/>
              <w:right w:w="20" w:type="dxa"/>
            </w:tcMar>
            <w:vAlign w:val="bottom"/>
          </w:tcPr>
          <w:p w14:paraId="64A8877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778"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877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877A" w14:textId="77777777" w:rsidR="008D6614" w:rsidRDefault="00866AF2">
            <w:pPr>
              <w:jc w:val="right"/>
              <w:textAlignment w:val="bottom"/>
            </w:pPr>
            <w:r>
              <w:rPr>
                <w:rFonts w:ascii="Arial" w:eastAsia="宋体" w:hAnsi="Arial" w:cs="Arial"/>
                <w:color w:val="000000"/>
                <w:sz w:val="18"/>
                <w:szCs w:val="18"/>
              </w:rPr>
              <w:t>0.57 </w:t>
            </w:r>
          </w:p>
        </w:tc>
        <w:tc>
          <w:tcPr>
            <w:tcW w:w="0" w:type="auto"/>
            <w:tcBorders>
              <w:top w:val="single" w:sz="8" w:space="0" w:color="000000"/>
            </w:tcBorders>
            <w:shd w:val="clear" w:color="auto" w:fill="E2E2E2"/>
            <w:tcMar>
              <w:top w:w="40" w:type="dxa"/>
              <w:bottom w:w="40" w:type="dxa"/>
              <w:right w:w="20" w:type="dxa"/>
            </w:tcMar>
            <w:vAlign w:val="bottom"/>
          </w:tcPr>
          <w:p w14:paraId="64A8877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77C" w14:textId="77777777" w:rsidR="008D6614" w:rsidRDefault="008D6614">
            <w:pPr>
              <w:rPr>
                <w:rFonts w:ascii="宋体"/>
              </w:rPr>
            </w:pPr>
          </w:p>
        </w:tc>
        <w:tc>
          <w:tcPr>
            <w:tcW w:w="0" w:type="auto"/>
            <w:shd w:val="clear" w:color="auto" w:fill="auto"/>
            <w:vAlign w:val="center"/>
          </w:tcPr>
          <w:p w14:paraId="64A8877D" w14:textId="77777777" w:rsidR="008D6614" w:rsidRDefault="008D6614">
            <w:pPr>
              <w:rPr>
                <w:rFonts w:ascii="宋体"/>
              </w:rPr>
            </w:pPr>
          </w:p>
        </w:tc>
        <w:tc>
          <w:tcPr>
            <w:tcW w:w="0" w:type="auto"/>
            <w:shd w:val="clear" w:color="auto" w:fill="auto"/>
            <w:vAlign w:val="center"/>
          </w:tcPr>
          <w:p w14:paraId="64A8877E" w14:textId="77777777" w:rsidR="008D6614" w:rsidRDefault="008D6614">
            <w:pPr>
              <w:rPr>
                <w:rFonts w:ascii="宋体"/>
              </w:rPr>
            </w:pPr>
          </w:p>
        </w:tc>
        <w:tc>
          <w:tcPr>
            <w:tcW w:w="0" w:type="auto"/>
            <w:shd w:val="clear" w:color="auto" w:fill="auto"/>
            <w:vAlign w:val="center"/>
          </w:tcPr>
          <w:p w14:paraId="64A8877F" w14:textId="77777777" w:rsidR="008D6614" w:rsidRDefault="008D6614">
            <w:pPr>
              <w:rPr>
                <w:rFonts w:ascii="宋体"/>
              </w:rPr>
            </w:pPr>
          </w:p>
        </w:tc>
        <w:tc>
          <w:tcPr>
            <w:tcW w:w="0" w:type="auto"/>
            <w:shd w:val="clear" w:color="auto" w:fill="auto"/>
            <w:vAlign w:val="center"/>
          </w:tcPr>
          <w:p w14:paraId="64A88780" w14:textId="77777777" w:rsidR="008D6614" w:rsidRDefault="008D6614">
            <w:pPr>
              <w:rPr>
                <w:rFonts w:ascii="宋体"/>
              </w:rPr>
            </w:pPr>
          </w:p>
        </w:tc>
        <w:tc>
          <w:tcPr>
            <w:tcW w:w="0" w:type="auto"/>
            <w:shd w:val="clear" w:color="auto" w:fill="auto"/>
            <w:vAlign w:val="center"/>
          </w:tcPr>
          <w:p w14:paraId="64A88781" w14:textId="77777777" w:rsidR="008D6614" w:rsidRDefault="008D6614">
            <w:pPr>
              <w:rPr>
                <w:rFonts w:ascii="宋体"/>
              </w:rPr>
            </w:pPr>
          </w:p>
        </w:tc>
        <w:tc>
          <w:tcPr>
            <w:tcW w:w="0" w:type="auto"/>
            <w:shd w:val="clear" w:color="auto" w:fill="auto"/>
            <w:vAlign w:val="center"/>
          </w:tcPr>
          <w:p w14:paraId="64A88782" w14:textId="77777777" w:rsidR="008D6614" w:rsidRDefault="008D6614">
            <w:pPr>
              <w:rPr>
                <w:rFonts w:ascii="宋体"/>
              </w:rPr>
            </w:pPr>
          </w:p>
        </w:tc>
        <w:tc>
          <w:tcPr>
            <w:tcW w:w="0" w:type="auto"/>
            <w:shd w:val="clear" w:color="auto" w:fill="auto"/>
            <w:vAlign w:val="center"/>
          </w:tcPr>
          <w:p w14:paraId="64A88783" w14:textId="77777777" w:rsidR="008D6614" w:rsidRDefault="008D6614">
            <w:pPr>
              <w:rPr>
                <w:rFonts w:ascii="宋体"/>
              </w:rPr>
            </w:pPr>
          </w:p>
        </w:tc>
        <w:tc>
          <w:tcPr>
            <w:tcW w:w="0" w:type="auto"/>
            <w:shd w:val="clear" w:color="auto" w:fill="auto"/>
            <w:vAlign w:val="center"/>
          </w:tcPr>
          <w:p w14:paraId="64A88784" w14:textId="77777777" w:rsidR="008D6614" w:rsidRDefault="008D6614">
            <w:pPr>
              <w:rPr>
                <w:rFonts w:ascii="宋体"/>
              </w:rPr>
            </w:pPr>
          </w:p>
        </w:tc>
      </w:tr>
      <w:tr w:rsidR="008D6614" w14:paraId="64A88797" w14:textId="77777777">
        <w:trPr>
          <w:trHeight w:val="300"/>
          <w:jc w:val="center"/>
        </w:trPr>
        <w:tc>
          <w:tcPr>
            <w:tcW w:w="0" w:type="auto"/>
            <w:gridSpan w:val="3"/>
            <w:shd w:val="clear" w:color="auto" w:fill="FFFFFF"/>
            <w:tcMar>
              <w:left w:w="20" w:type="dxa"/>
              <w:right w:w="20" w:type="dxa"/>
            </w:tcMar>
            <w:vAlign w:val="bottom"/>
          </w:tcPr>
          <w:p w14:paraId="64A88786" w14:textId="77777777" w:rsidR="008D6614" w:rsidRDefault="008D6614">
            <w:pPr>
              <w:rPr>
                <w:rFonts w:ascii="宋体"/>
              </w:rPr>
            </w:pPr>
          </w:p>
        </w:tc>
        <w:tc>
          <w:tcPr>
            <w:tcW w:w="0" w:type="auto"/>
            <w:shd w:val="clear" w:color="auto" w:fill="auto"/>
            <w:vAlign w:val="center"/>
          </w:tcPr>
          <w:p w14:paraId="64A88787" w14:textId="77777777" w:rsidR="008D6614" w:rsidRDefault="008D6614">
            <w:pPr>
              <w:rPr>
                <w:rFonts w:ascii="宋体"/>
                <w:vanish/>
              </w:rPr>
            </w:pPr>
          </w:p>
        </w:tc>
        <w:tc>
          <w:tcPr>
            <w:tcW w:w="0" w:type="auto"/>
            <w:shd w:val="clear" w:color="auto" w:fill="auto"/>
            <w:vAlign w:val="center"/>
          </w:tcPr>
          <w:p w14:paraId="64A88788" w14:textId="77777777" w:rsidR="008D6614" w:rsidRDefault="008D6614">
            <w:pPr>
              <w:rPr>
                <w:rFonts w:ascii="宋体"/>
                <w:vanish/>
              </w:rPr>
            </w:pPr>
          </w:p>
        </w:tc>
        <w:tc>
          <w:tcPr>
            <w:tcW w:w="0" w:type="auto"/>
            <w:shd w:val="clear" w:color="auto" w:fill="auto"/>
            <w:vAlign w:val="center"/>
          </w:tcPr>
          <w:p w14:paraId="64A88789"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78A"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878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78C"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878D" w14:textId="77777777" w:rsidR="008D6614" w:rsidRDefault="008D6614">
            <w:pPr>
              <w:rPr>
                <w:rFonts w:ascii="宋体"/>
              </w:rPr>
            </w:pPr>
          </w:p>
        </w:tc>
        <w:tc>
          <w:tcPr>
            <w:tcW w:w="0" w:type="auto"/>
            <w:shd w:val="clear" w:color="auto" w:fill="auto"/>
            <w:vAlign w:val="center"/>
          </w:tcPr>
          <w:p w14:paraId="64A8878E" w14:textId="77777777" w:rsidR="008D6614" w:rsidRDefault="008D6614">
            <w:pPr>
              <w:rPr>
                <w:rFonts w:ascii="宋体"/>
              </w:rPr>
            </w:pPr>
          </w:p>
        </w:tc>
        <w:tc>
          <w:tcPr>
            <w:tcW w:w="0" w:type="auto"/>
            <w:shd w:val="clear" w:color="auto" w:fill="auto"/>
            <w:vAlign w:val="center"/>
          </w:tcPr>
          <w:p w14:paraId="64A8878F" w14:textId="77777777" w:rsidR="008D6614" w:rsidRDefault="008D6614">
            <w:pPr>
              <w:rPr>
                <w:rFonts w:ascii="宋体"/>
              </w:rPr>
            </w:pPr>
          </w:p>
        </w:tc>
        <w:tc>
          <w:tcPr>
            <w:tcW w:w="0" w:type="auto"/>
            <w:shd w:val="clear" w:color="auto" w:fill="auto"/>
            <w:vAlign w:val="center"/>
          </w:tcPr>
          <w:p w14:paraId="64A88790" w14:textId="77777777" w:rsidR="008D6614" w:rsidRDefault="008D6614">
            <w:pPr>
              <w:rPr>
                <w:rFonts w:ascii="宋体"/>
              </w:rPr>
            </w:pPr>
          </w:p>
        </w:tc>
        <w:tc>
          <w:tcPr>
            <w:tcW w:w="0" w:type="auto"/>
            <w:shd w:val="clear" w:color="auto" w:fill="auto"/>
            <w:vAlign w:val="center"/>
          </w:tcPr>
          <w:p w14:paraId="64A88791" w14:textId="77777777" w:rsidR="008D6614" w:rsidRDefault="008D6614">
            <w:pPr>
              <w:rPr>
                <w:rFonts w:ascii="宋体"/>
              </w:rPr>
            </w:pPr>
          </w:p>
        </w:tc>
        <w:tc>
          <w:tcPr>
            <w:tcW w:w="0" w:type="auto"/>
            <w:shd w:val="clear" w:color="auto" w:fill="auto"/>
            <w:vAlign w:val="center"/>
          </w:tcPr>
          <w:p w14:paraId="64A88792" w14:textId="77777777" w:rsidR="008D6614" w:rsidRDefault="008D6614">
            <w:pPr>
              <w:rPr>
                <w:rFonts w:ascii="宋体"/>
              </w:rPr>
            </w:pPr>
          </w:p>
        </w:tc>
        <w:tc>
          <w:tcPr>
            <w:tcW w:w="0" w:type="auto"/>
            <w:shd w:val="clear" w:color="auto" w:fill="auto"/>
            <w:vAlign w:val="center"/>
          </w:tcPr>
          <w:p w14:paraId="64A88793" w14:textId="77777777" w:rsidR="008D6614" w:rsidRDefault="008D6614">
            <w:pPr>
              <w:rPr>
                <w:rFonts w:ascii="宋体"/>
              </w:rPr>
            </w:pPr>
          </w:p>
        </w:tc>
        <w:tc>
          <w:tcPr>
            <w:tcW w:w="0" w:type="auto"/>
            <w:shd w:val="clear" w:color="auto" w:fill="auto"/>
            <w:vAlign w:val="center"/>
          </w:tcPr>
          <w:p w14:paraId="64A88794" w14:textId="77777777" w:rsidR="008D6614" w:rsidRDefault="008D6614">
            <w:pPr>
              <w:rPr>
                <w:rFonts w:ascii="宋体"/>
              </w:rPr>
            </w:pPr>
          </w:p>
        </w:tc>
        <w:tc>
          <w:tcPr>
            <w:tcW w:w="0" w:type="auto"/>
            <w:shd w:val="clear" w:color="auto" w:fill="auto"/>
            <w:vAlign w:val="center"/>
          </w:tcPr>
          <w:p w14:paraId="64A88795" w14:textId="77777777" w:rsidR="008D6614" w:rsidRDefault="008D6614">
            <w:pPr>
              <w:rPr>
                <w:rFonts w:ascii="宋体"/>
              </w:rPr>
            </w:pPr>
          </w:p>
        </w:tc>
        <w:tc>
          <w:tcPr>
            <w:tcW w:w="0" w:type="auto"/>
            <w:shd w:val="clear" w:color="auto" w:fill="auto"/>
            <w:vAlign w:val="center"/>
          </w:tcPr>
          <w:p w14:paraId="64A88796" w14:textId="77777777" w:rsidR="008D6614" w:rsidRDefault="008D6614">
            <w:pPr>
              <w:rPr>
                <w:rFonts w:ascii="宋体"/>
              </w:rPr>
            </w:pPr>
          </w:p>
        </w:tc>
      </w:tr>
      <w:tr w:rsidR="008D6614" w14:paraId="64A887A9" w14:textId="77777777">
        <w:trPr>
          <w:jc w:val="center"/>
        </w:trPr>
        <w:tc>
          <w:tcPr>
            <w:tcW w:w="0" w:type="auto"/>
            <w:gridSpan w:val="3"/>
            <w:shd w:val="clear" w:color="auto" w:fill="E2E2E2"/>
            <w:tcMar>
              <w:top w:w="40" w:type="dxa"/>
              <w:left w:w="20" w:type="dxa"/>
              <w:bottom w:w="40" w:type="dxa"/>
              <w:right w:w="20" w:type="dxa"/>
            </w:tcMar>
            <w:vAlign w:val="bottom"/>
          </w:tcPr>
          <w:p w14:paraId="64A88798" w14:textId="77777777" w:rsidR="008D6614" w:rsidRDefault="00866AF2">
            <w:pPr>
              <w:textAlignment w:val="bottom"/>
            </w:pPr>
            <w:r>
              <w:rPr>
                <w:rFonts w:ascii="Arial" w:eastAsia="宋体" w:hAnsi="Arial" w:cs="Arial"/>
                <w:color w:val="000000"/>
                <w:sz w:val="18"/>
                <w:szCs w:val="18"/>
              </w:rPr>
              <w:t>Weighted-average shares:</w:t>
            </w:r>
          </w:p>
        </w:tc>
        <w:tc>
          <w:tcPr>
            <w:tcW w:w="0" w:type="auto"/>
            <w:shd w:val="clear" w:color="auto" w:fill="auto"/>
            <w:vAlign w:val="center"/>
          </w:tcPr>
          <w:p w14:paraId="64A88799" w14:textId="77777777" w:rsidR="008D6614" w:rsidRDefault="008D6614">
            <w:pPr>
              <w:rPr>
                <w:rFonts w:ascii="宋体"/>
                <w:vanish/>
              </w:rPr>
            </w:pPr>
          </w:p>
        </w:tc>
        <w:tc>
          <w:tcPr>
            <w:tcW w:w="0" w:type="auto"/>
            <w:shd w:val="clear" w:color="auto" w:fill="auto"/>
            <w:vAlign w:val="center"/>
          </w:tcPr>
          <w:p w14:paraId="64A8879A" w14:textId="77777777" w:rsidR="008D6614" w:rsidRDefault="008D6614">
            <w:pPr>
              <w:rPr>
                <w:rFonts w:ascii="宋体"/>
                <w:vanish/>
              </w:rPr>
            </w:pPr>
          </w:p>
        </w:tc>
        <w:tc>
          <w:tcPr>
            <w:tcW w:w="0" w:type="auto"/>
            <w:shd w:val="clear" w:color="auto" w:fill="auto"/>
            <w:vAlign w:val="center"/>
          </w:tcPr>
          <w:p w14:paraId="64A8879B"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79C"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879D"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79E"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879F" w14:textId="77777777" w:rsidR="008D6614" w:rsidRDefault="00866AF2">
            <w:pPr>
              <w:textAlignment w:val="bottom"/>
            </w:pPr>
            <w:r>
              <w:rPr>
                <w:rFonts w:ascii="Arial" w:eastAsia="宋体" w:hAnsi="Arial" w:cs="Arial"/>
                <w:color w:val="000000"/>
                <w:sz w:val="18"/>
                <w:szCs w:val="18"/>
              </w:rPr>
              <w:t> </w:t>
            </w:r>
          </w:p>
        </w:tc>
        <w:tc>
          <w:tcPr>
            <w:tcW w:w="0" w:type="auto"/>
            <w:shd w:val="clear" w:color="auto" w:fill="auto"/>
            <w:vAlign w:val="center"/>
          </w:tcPr>
          <w:p w14:paraId="64A887A0" w14:textId="77777777" w:rsidR="008D6614" w:rsidRDefault="008D6614">
            <w:pPr>
              <w:rPr>
                <w:rFonts w:ascii="宋体"/>
              </w:rPr>
            </w:pPr>
          </w:p>
        </w:tc>
        <w:tc>
          <w:tcPr>
            <w:tcW w:w="0" w:type="auto"/>
            <w:shd w:val="clear" w:color="auto" w:fill="auto"/>
            <w:vAlign w:val="center"/>
          </w:tcPr>
          <w:p w14:paraId="64A887A1" w14:textId="77777777" w:rsidR="008D6614" w:rsidRDefault="008D6614">
            <w:pPr>
              <w:rPr>
                <w:rFonts w:ascii="宋体"/>
              </w:rPr>
            </w:pPr>
          </w:p>
        </w:tc>
        <w:tc>
          <w:tcPr>
            <w:tcW w:w="0" w:type="auto"/>
            <w:shd w:val="clear" w:color="auto" w:fill="auto"/>
            <w:vAlign w:val="center"/>
          </w:tcPr>
          <w:p w14:paraId="64A887A2" w14:textId="77777777" w:rsidR="008D6614" w:rsidRDefault="008D6614">
            <w:pPr>
              <w:rPr>
                <w:rFonts w:ascii="宋体"/>
              </w:rPr>
            </w:pPr>
          </w:p>
        </w:tc>
        <w:tc>
          <w:tcPr>
            <w:tcW w:w="0" w:type="auto"/>
            <w:shd w:val="clear" w:color="auto" w:fill="auto"/>
            <w:vAlign w:val="center"/>
          </w:tcPr>
          <w:p w14:paraId="64A887A3" w14:textId="77777777" w:rsidR="008D6614" w:rsidRDefault="008D6614">
            <w:pPr>
              <w:rPr>
                <w:rFonts w:ascii="宋体"/>
              </w:rPr>
            </w:pPr>
          </w:p>
        </w:tc>
        <w:tc>
          <w:tcPr>
            <w:tcW w:w="0" w:type="auto"/>
            <w:shd w:val="clear" w:color="auto" w:fill="auto"/>
            <w:vAlign w:val="center"/>
          </w:tcPr>
          <w:p w14:paraId="64A887A4" w14:textId="77777777" w:rsidR="008D6614" w:rsidRDefault="008D6614">
            <w:pPr>
              <w:rPr>
                <w:rFonts w:ascii="宋体"/>
              </w:rPr>
            </w:pPr>
          </w:p>
        </w:tc>
        <w:tc>
          <w:tcPr>
            <w:tcW w:w="0" w:type="auto"/>
            <w:shd w:val="clear" w:color="auto" w:fill="auto"/>
            <w:vAlign w:val="center"/>
          </w:tcPr>
          <w:p w14:paraId="64A887A5" w14:textId="77777777" w:rsidR="008D6614" w:rsidRDefault="008D6614">
            <w:pPr>
              <w:rPr>
                <w:rFonts w:ascii="宋体"/>
              </w:rPr>
            </w:pPr>
          </w:p>
        </w:tc>
        <w:tc>
          <w:tcPr>
            <w:tcW w:w="0" w:type="auto"/>
            <w:shd w:val="clear" w:color="auto" w:fill="auto"/>
            <w:vAlign w:val="center"/>
          </w:tcPr>
          <w:p w14:paraId="64A887A6" w14:textId="77777777" w:rsidR="008D6614" w:rsidRDefault="008D6614">
            <w:pPr>
              <w:rPr>
                <w:rFonts w:ascii="宋体"/>
              </w:rPr>
            </w:pPr>
          </w:p>
        </w:tc>
        <w:tc>
          <w:tcPr>
            <w:tcW w:w="0" w:type="auto"/>
            <w:shd w:val="clear" w:color="auto" w:fill="auto"/>
            <w:vAlign w:val="center"/>
          </w:tcPr>
          <w:p w14:paraId="64A887A7" w14:textId="77777777" w:rsidR="008D6614" w:rsidRDefault="008D6614">
            <w:pPr>
              <w:rPr>
                <w:rFonts w:ascii="宋体"/>
              </w:rPr>
            </w:pPr>
          </w:p>
        </w:tc>
        <w:tc>
          <w:tcPr>
            <w:tcW w:w="0" w:type="auto"/>
            <w:shd w:val="clear" w:color="auto" w:fill="auto"/>
            <w:vAlign w:val="center"/>
          </w:tcPr>
          <w:p w14:paraId="64A887A8" w14:textId="77777777" w:rsidR="008D6614" w:rsidRDefault="008D6614">
            <w:pPr>
              <w:rPr>
                <w:rFonts w:ascii="宋体"/>
              </w:rPr>
            </w:pPr>
          </w:p>
        </w:tc>
      </w:tr>
      <w:tr w:rsidR="008D6614" w14:paraId="64A887BD" w14:textId="77777777">
        <w:trPr>
          <w:jc w:val="center"/>
        </w:trPr>
        <w:tc>
          <w:tcPr>
            <w:tcW w:w="0" w:type="auto"/>
            <w:gridSpan w:val="3"/>
            <w:shd w:val="clear" w:color="auto" w:fill="FFFFFF"/>
            <w:tcMar>
              <w:top w:w="40" w:type="dxa"/>
              <w:left w:w="495" w:type="dxa"/>
              <w:bottom w:w="40" w:type="dxa"/>
              <w:right w:w="20" w:type="dxa"/>
            </w:tcMar>
            <w:vAlign w:val="bottom"/>
          </w:tcPr>
          <w:p w14:paraId="64A887AA" w14:textId="77777777" w:rsidR="008D6614" w:rsidRDefault="00866AF2">
            <w:pPr>
              <w:textAlignment w:val="bottom"/>
            </w:pPr>
            <w:r>
              <w:rPr>
                <w:rFonts w:ascii="Arial" w:eastAsia="宋体" w:hAnsi="Arial" w:cs="Arial"/>
                <w:color w:val="000000"/>
                <w:sz w:val="18"/>
                <w:szCs w:val="18"/>
              </w:rPr>
              <w:t>Basic</w:t>
            </w:r>
          </w:p>
        </w:tc>
        <w:tc>
          <w:tcPr>
            <w:tcW w:w="0" w:type="auto"/>
            <w:shd w:val="clear" w:color="auto" w:fill="auto"/>
            <w:vAlign w:val="center"/>
          </w:tcPr>
          <w:p w14:paraId="64A887AB" w14:textId="77777777" w:rsidR="008D6614" w:rsidRDefault="008D6614">
            <w:pPr>
              <w:rPr>
                <w:rFonts w:ascii="宋体"/>
                <w:vanish/>
              </w:rPr>
            </w:pPr>
          </w:p>
        </w:tc>
        <w:tc>
          <w:tcPr>
            <w:tcW w:w="0" w:type="auto"/>
            <w:shd w:val="clear" w:color="auto" w:fill="auto"/>
            <w:vAlign w:val="center"/>
          </w:tcPr>
          <w:p w14:paraId="64A887AC" w14:textId="77777777" w:rsidR="008D6614" w:rsidRDefault="008D6614">
            <w:pPr>
              <w:rPr>
                <w:rFonts w:ascii="宋体"/>
                <w:vanish/>
              </w:rPr>
            </w:pPr>
          </w:p>
        </w:tc>
        <w:tc>
          <w:tcPr>
            <w:tcW w:w="0" w:type="auto"/>
            <w:shd w:val="clear" w:color="auto" w:fill="auto"/>
            <w:vAlign w:val="center"/>
          </w:tcPr>
          <w:p w14:paraId="64A887AD"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7A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7AF" w14:textId="77777777" w:rsidR="008D6614" w:rsidRDefault="00866AF2">
            <w:pPr>
              <w:jc w:val="right"/>
              <w:textAlignment w:val="bottom"/>
            </w:pPr>
            <w:r>
              <w:rPr>
                <w:rFonts w:ascii="Arial" w:eastAsia="宋体" w:hAnsi="Arial" w:cs="Arial"/>
                <w:color w:val="000000"/>
                <w:sz w:val="18"/>
                <w:szCs w:val="18"/>
              </w:rPr>
              <w:t>753 </w:t>
            </w:r>
          </w:p>
        </w:tc>
        <w:tc>
          <w:tcPr>
            <w:tcW w:w="0" w:type="auto"/>
            <w:shd w:val="clear" w:color="auto" w:fill="FFFFFF"/>
            <w:tcMar>
              <w:top w:w="40" w:type="dxa"/>
              <w:bottom w:w="40" w:type="dxa"/>
              <w:right w:w="20" w:type="dxa"/>
            </w:tcMar>
            <w:vAlign w:val="bottom"/>
          </w:tcPr>
          <w:p w14:paraId="64A887B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7B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7B2" w14:textId="77777777" w:rsidR="008D6614" w:rsidRDefault="00866AF2">
            <w:pPr>
              <w:jc w:val="right"/>
              <w:textAlignment w:val="bottom"/>
            </w:pPr>
            <w:r>
              <w:rPr>
                <w:rFonts w:ascii="Arial" w:eastAsia="宋体" w:hAnsi="Arial" w:cs="Arial"/>
                <w:color w:val="000000"/>
                <w:sz w:val="18"/>
                <w:szCs w:val="18"/>
              </w:rPr>
              <w:t>900 </w:t>
            </w:r>
          </w:p>
        </w:tc>
        <w:tc>
          <w:tcPr>
            <w:tcW w:w="0" w:type="auto"/>
            <w:shd w:val="clear" w:color="auto" w:fill="FFFFFF"/>
            <w:tcMar>
              <w:top w:w="40" w:type="dxa"/>
              <w:bottom w:w="40" w:type="dxa"/>
              <w:right w:w="20" w:type="dxa"/>
            </w:tcMar>
            <w:vAlign w:val="bottom"/>
          </w:tcPr>
          <w:p w14:paraId="64A887B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7B4" w14:textId="77777777" w:rsidR="008D6614" w:rsidRDefault="008D6614">
            <w:pPr>
              <w:rPr>
                <w:rFonts w:ascii="宋体"/>
              </w:rPr>
            </w:pPr>
          </w:p>
        </w:tc>
        <w:tc>
          <w:tcPr>
            <w:tcW w:w="0" w:type="auto"/>
            <w:shd w:val="clear" w:color="auto" w:fill="auto"/>
            <w:vAlign w:val="center"/>
          </w:tcPr>
          <w:p w14:paraId="64A887B5" w14:textId="77777777" w:rsidR="008D6614" w:rsidRDefault="008D6614">
            <w:pPr>
              <w:rPr>
                <w:rFonts w:ascii="宋体"/>
              </w:rPr>
            </w:pPr>
          </w:p>
        </w:tc>
        <w:tc>
          <w:tcPr>
            <w:tcW w:w="0" w:type="auto"/>
            <w:shd w:val="clear" w:color="auto" w:fill="auto"/>
            <w:vAlign w:val="center"/>
          </w:tcPr>
          <w:p w14:paraId="64A887B6" w14:textId="77777777" w:rsidR="008D6614" w:rsidRDefault="008D6614">
            <w:pPr>
              <w:rPr>
                <w:rFonts w:ascii="宋体"/>
              </w:rPr>
            </w:pPr>
          </w:p>
        </w:tc>
        <w:tc>
          <w:tcPr>
            <w:tcW w:w="0" w:type="auto"/>
            <w:shd w:val="clear" w:color="auto" w:fill="auto"/>
            <w:vAlign w:val="center"/>
          </w:tcPr>
          <w:p w14:paraId="64A887B7" w14:textId="77777777" w:rsidR="008D6614" w:rsidRDefault="008D6614">
            <w:pPr>
              <w:rPr>
                <w:rFonts w:ascii="宋体"/>
              </w:rPr>
            </w:pPr>
          </w:p>
        </w:tc>
        <w:tc>
          <w:tcPr>
            <w:tcW w:w="0" w:type="auto"/>
            <w:shd w:val="clear" w:color="auto" w:fill="auto"/>
            <w:vAlign w:val="center"/>
          </w:tcPr>
          <w:p w14:paraId="64A887B8" w14:textId="77777777" w:rsidR="008D6614" w:rsidRDefault="008D6614">
            <w:pPr>
              <w:rPr>
                <w:rFonts w:ascii="宋体"/>
              </w:rPr>
            </w:pPr>
          </w:p>
        </w:tc>
        <w:tc>
          <w:tcPr>
            <w:tcW w:w="0" w:type="auto"/>
            <w:shd w:val="clear" w:color="auto" w:fill="auto"/>
            <w:vAlign w:val="center"/>
          </w:tcPr>
          <w:p w14:paraId="64A887B9" w14:textId="77777777" w:rsidR="008D6614" w:rsidRDefault="008D6614">
            <w:pPr>
              <w:rPr>
                <w:rFonts w:ascii="宋体"/>
              </w:rPr>
            </w:pPr>
          </w:p>
        </w:tc>
        <w:tc>
          <w:tcPr>
            <w:tcW w:w="0" w:type="auto"/>
            <w:shd w:val="clear" w:color="auto" w:fill="auto"/>
            <w:vAlign w:val="center"/>
          </w:tcPr>
          <w:p w14:paraId="64A887BA" w14:textId="77777777" w:rsidR="008D6614" w:rsidRDefault="008D6614">
            <w:pPr>
              <w:rPr>
                <w:rFonts w:ascii="宋体"/>
              </w:rPr>
            </w:pPr>
          </w:p>
        </w:tc>
        <w:tc>
          <w:tcPr>
            <w:tcW w:w="0" w:type="auto"/>
            <w:shd w:val="clear" w:color="auto" w:fill="auto"/>
            <w:vAlign w:val="center"/>
          </w:tcPr>
          <w:p w14:paraId="64A887BB" w14:textId="77777777" w:rsidR="008D6614" w:rsidRDefault="008D6614">
            <w:pPr>
              <w:rPr>
                <w:rFonts w:ascii="宋体"/>
              </w:rPr>
            </w:pPr>
          </w:p>
        </w:tc>
        <w:tc>
          <w:tcPr>
            <w:tcW w:w="0" w:type="auto"/>
            <w:shd w:val="clear" w:color="auto" w:fill="auto"/>
            <w:vAlign w:val="center"/>
          </w:tcPr>
          <w:p w14:paraId="64A887BC" w14:textId="77777777" w:rsidR="008D6614" w:rsidRDefault="008D6614">
            <w:pPr>
              <w:rPr>
                <w:rFonts w:ascii="宋体"/>
              </w:rPr>
            </w:pPr>
          </w:p>
        </w:tc>
      </w:tr>
      <w:tr w:rsidR="008D6614" w14:paraId="64A887D1" w14:textId="77777777">
        <w:trPr>
          <w:jc w:val="center"/>
        </w:trPr>
        <w:tc>
          <w:tcPr>
            <w:tcW w:w="0" w:type="auto"/>
            <w:gridSpan w:val="3"/>
            <w:shd w:val="clear" w:color="auto" w:fill="E2E2E2"/>
            <w:tcMar>
              <w:top w:w="40" w:type="dxa"/>
              <w:left w:w="495" w:type="dxa"/>
              <w:bottom w:w="40" w:type="dxa"/>
              <w:right w:w="20" w:type="dxa"/>
            </w:tcMar>
            <w:vAlign w:val="bottom"/>
          </w:tcPr>
          <w:p w14:paraId="64A887BE" w14:textId="77777777" w:rsidR="008D6614" w:rsidRDefault="00866AF2">
            <w:pPr>
              <w:textAlignment w:val="bottom"/>
            </w:pPr>
            <w:r>
              <w:rPr>
                <w:rFonts w:ascii="Arial" w:eastAsia="宋体" w:hAnsi="Arial" w:cs="Arial"/>
                <w:color w:val="000000"/>
                <w:sz w:val="18"/>
                <w:szCs w:val="18"/>
              </w:rPr>
              <w:t>Diluted</w:t>
            </w:r>
          </w:p>
        </w:tc>
        <w:tc>
          <w:tcPr>
            <w:tcW w:w="0" w:type="auto"/>
            <w:shd w:val="clear" w:color="auto" w:fill="auto"/>
            <w:vAlign w:val="center"/>
          </w:tcPr>
          <w:p w14:paraId="64A887BF" w14:textId="77777777" w:rsidR="008D6614" w:rsidRDefault="008D6614">
            <w:pPr>
              <w:rPr>
                <w:rFonts w:ascii="宋体"/>
                <w:vanish/>
              </w:rPr>
            </w:pPr>
          </w:p>
        </w:tc>
        <w:tc>
          <w:tcPr>
            <w:tcW w:w="0" w:type="auto"/>
            <w:shd w:val="clear" w:color="auto" w:fill="auto"/>
            <w:vAlign w:val="center"/>
          </w:tcPr>
          <w:p w14:paraId="64A887C0" w14:textId="77777777" w:rsidR="008D6614" w:rsidRDefault="008D6614">
            <w:pPr>
              <w:rPr>
                <w:rFonts w:ascii="宋体"/>
                <w:vanish/>
              </w:rPr>
            </w:pPr>
          </w:p>
        </w:tc>
        <w:tc>
          <w:tcPr>
            <w:tcW w:w="0" w:type="auto"/>
            <w:shd w:val="clear" w:color="auto" w:fill="auto"/>
            <w:vAlign w:val="center"/>
          </w:tcPr>
          <w:p w14:paraId="64A887C1"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7C2" w14:textId="77777777" w:rsidR="008D6614" w:rsidRDefault="008D6614">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A887C3" w14:textId="77777777" w:rsidR="008D6614" w:rsidRDefault="00866AF2">
            <w:pPr>
              <w:jc w:val="right"/>
              <w:textAlignment w:val="bottom"/>
            </w:pPr>
            <w:r>
              <w:rPr>
                <w:rFonts w:ascii="Arial" w:eastAsia="宋体" w:hAnsi="Arial" w:cs="Arial"/>
                <w:color w:val="000000"/>
                <w:sz w:val="18"/>
                <w:szCs w:val="18"/>
              </w:rPr>
              <w:t>757 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64A887C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7C5" w14:textId="77777777" w:rsidR="008D6614" w:rsidRDefault="008D6614">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A887C6" w14:textId="77777777" w:rsidR="008D6614" w:rsidRDefault="00866AF2">
            <w:pPr>
              <w:jc w:val="right"/>
              <w:textAlignment w:val="bottom"/>
            </w:pPr>
            <w:r>
              <w:rPr>
                <w:rFonts w:ascii="Arial" w:eastAsia="宋体" w:hAnsi="Arial" w:cs="Arial"/>
                <w:color w:val="000000"/>
                <w:sz w:val="18"/>
                <w:szCs w:val="18"/>
              </w:rPr>
              <w:t>908 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64A887C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7C8" w14:textId="77777777" w:rsidR="008D6614" w:rsidRDefault="008D6614">
            <w:pPr>
              <w:rPr>
                <w:rFonts w:ascii="宋体"/>
              </w:rPr>
            </w:pPr>
          </w:p>
        </w:tc>
        <w:tc>
          <w:tcPr>
            <w:tcW w:w="0" w:type="auto"/>
            <w:shd w:val="clear" w:color="auto" w:fill="auto"/>
            <w:vAlign w:val="center"/>
          </w:tcPr>
          <w:p w14:paraId="64A887C9" w14:textId="77777777" w:rsidR="008D6614" w:rsidRDefault="008D6614">
            <w:pPr>
              <w:rPr>
                <w:rFonts w:ascii="宋体"/>
              </w:rPr>
            </w:pPr>
          </w:p>
        </w:tc>
        <w:tc>
          <w:tcPr>
            <w:tcW w:w="0" w:type="auto"/>
            <w:shd w:val="clear" w:color="auto" w:fill="auto"/>
            <w:vAlign w:val="center"/>
          </w:tcPr>
          <w:p w14:paraId="64A887CA" w14:textId="77777777" w:rsidR="008D6614" w:rsidRDefault="008D6614">
            <w:pPr>
              <w:rPr>
                <w:rFonts w:ascii="宋体"/>
              </w:rPr>
            </w:pPr>
          </w:p>
        </w:tc>
        <w:tc>
          <w:tcPr>
            <w:tcW w:w="0" w:type="auto"/>
            <w:shd w:val="clear" w:color="auto" w:fill="auto"/>
            <w:vAlign w:val="center"/>
          </w:tcPr>
          <w:p w14:paraId="64A887CB" w14:textId="77777777" w:rsidR="008D6614" w:rsidRDefault="008D6614">
            <w:pPr>
              <w:rPr>
                <w:rFonts w:ascii="宋体"/>
              </w:rPr>
            </w:pPr>
          </w:p>
        </w:tc>
        <w:tc>
          <w:tcPr>
            <w:tcW w:w="0" w:type="auto"/>
            <w:shd w:val="clear" w:color="auto" w:fill="auto"/>
            <w:vAlign w:val="center"/>
          </w:tcPr>
          <w:p w14:paraId="64A887CC" w14:textId="77777777" w:rsidR="008D6614" w:rsidRDefault="008D6614">
            <w:pPr>
              <w:rPr>
                <w:rFonts w:ascii="宋体"/>
              </w:rPr>
            </w:pPr>
          </w:p>
        </w:tc>
        <w:tc>
          <w:tcPr>
            <w:tcW w:w="0" w:type="auto"/>
            <w:shd w:val="clear" w:color="auto" w:fill="auto"/>
            <w:vAlign w:val="center"/>
          </w:tcPr>
          <w:p w14:paraId="64A887CD" w14:textId="77777777" w:rsidR="008D6614" w:rsidRDefault="008D6614">
            <w:pPr>
              <w:rPr>
                <w:rFonts w:ascii="宋体"/>
              </w:rPr>
            </w:pPr>
          </w:p>
        </w:tc>
        <w:tc>
          <w:tcPr>
            <w:tcW w:w="0" w:type="auto"/>
            <w:shd w:val="clear" w:color="auto" w:fill="auto"/>
            <w:vAlign w:val="center"/>
          </w:tcPr>
          <w:p w14:paraId="64A887CE" w14:textId="77777777" w:rsidR="008D6614" w:rsidRDefault="008D6614">
            <w:pPr>
              <w:rPr>
                <w:rFonts w:ascii="宋体"/>
              </w:rPr>
            </w:pPr>
          </w:p>
        </w:tc>
        <w:tc>
          <w:tcPr>
            <w:tcW w:w="0" w:type="auto"/>
            <w:shd w:val="clear" w:color="auto" w:fill="auto"/>
            <w:vAlign w:val="center"/>
          </w:tcPr>
          <w:p w14:paraId="64A887CF" w14:textId="77777777" w:rsidR="008D6614" w:rsidRDefault="008D6614">
            <w:pPr>
              <w:rPr>
                <w:rFonts w:ascii="宋体"/>
              </w:rPr>
            </w:pPr>
          </w:p>
        </w:tc>
        <w:tc>
          <w:tcPr>
            <w:tcW w:w="0" w:type="auto"/>
            <w:shd w:val="clear" w:color="auto" w:fill="auto"/>
            <w:vAlign w:val="center"/>
          </w:tcPr>
          <w:p w14:paraId="64A887D0" w14:textId="77777777" w:rsidR="008D6614" w:rsidRDefault="008D6614">
            <w:pPr>
              <w:rPr>
                <w:rFonts w:ascii="宋体"/>
              </w:rPr>
            </w:pPr>
          </w:p>
        </w:tc>
      </w:tr>
    </w:tbl>
    <w:p w14:paraId="64A887D2" w14:textId="77777777" w:rsidR="008D6614" w:rsidRDefault="008D6614">
      <w:pPr>
        <w:jc w:val="center"/>
      </w:pPr>
    </w:p>
    <w:p w14:paraId="64A887D3" w14:textId="77777777" w:rsidR="008D6614" w:rsidRDefault="00866AF2">
      <w:pPr>
        <w:jc w:val="center"/>
      </w:pPr>
      <w:r>
        <w:rPr>
          <w:rFonts w:ascii="Arial" w:eastAsia="宋体" w:hAnsi="Arial" w:cs="Arial"/>
          <w:color w:val="000000"/>
          <w:sz w:val="18"/>
          <w:szCs w:val="18"/>
        </w:rPr>
        <w:t>The</w:t>
      </w:r>
      <w:r>
        <w:rPr>
          <w:rFonts w:ascii="Arial" w:eastAsia="宋体" w:hAnsi="Arial" w:cs="Arial"/>
          <w:color w:val="000000"/>
          <w:sz w:val="18"/>
          <w:szCs w:val="18"/>
        </w:rPr>
        <w:t xml:space="preserve"> accompanying notes are an integral part of these condensed consolidated financial statements. </w:t>
      </w:r>
    </w:p>
    <w:p w14:paraId="64A887D4" w14:textId="77777777" w:rsidR="008D6614" w:rsidRDefault="008D6614">
      <w:pPr>
        <w:jc w:val="center"/>
      </w:pPr>
    </w:p>
    <w:p w14:paraId="64A887D5" w14:textId="77777777" w:rsidR="008D6614" w:rsidRDefault="008D6614">
      <w:pPr>
        <w:jc w:val="center"/>
      </w:pPr>
    </w:p>
    <w:p w14:paraId="64A887D6" w14:textId="77777777" w:rsidR="008D6614" w:rsidRDefault="00866AF2">
      <w:pPr>
        <w:jc w:val="center"/>
      </w:pPr>
      <w:r>
        <w:rPr>
          <w:rFonts w:ascii="Arial" w:eastAsia="宋体" w:hAnsi="Arial" w:cs="Arial"/>
          <w:color w:val="000000"/>
          <w:sz w:val="20"/>
          <w:szCs w:val="20"/>
        </w:rPr>
        <w:t>3</w:t>
      </w:r>
    </w:p>
    <w:p w14:paraId="64A887D7" w14:textId="77777777" w:rsidR="008D6614" w:rsidRDefault="00866AF2">
      <w:r>
        <w:pict w14:anchorId="64A8B9E0">
          <v:rect id="_x0000_i1027" style="width:415.3pt;height:1.5pt" o:hralign="center" o:hrstd="t" o:hr="t" fillcolor="#a0a0a0" stroked="f"/>
        </w:pict>
      </w:r>
    </w:p>
    <w:p w14:paraId="64A887D8" w14:textId="77777777" w:rsidR="008D6614" w:rsidRDefault="008D6614"/>
    <w:p w14:paraId="64A887D9" w14:textId="77777777" w:rsidR="008D6614" w:rsidRDefault="00866AF2">
      <w:pPr>
        <w:jc w:val="center"/>
      </w:pPr>
      <w:r>
        <w:rPr>
          <w:rFonts w:ascii="Arial" w:eastAsia="宋体" w:hAnsi="Arial" w:cs="Arial"/>
          <w:b/>
          <w:bCs/>
          <w:color w:val="000000"/>
          <w:sz w:val="20"/>
          <w:szCs w:val="20"/>
        </w:rPr>
        <w:t>eBay Inc.</w:t>
      </w:r>
    </w:p>
    <w:p w14:paraId="64A887DA" w14:textId="77777777" w:rsidR="008D6614" w:rsidRDefault="00866AF2">
      <w:pPr>
        <w:spacing w:before="80"/>
        <w:jc w:val="center"/>
      </w:pPr>
      <w:r>
        <w:rPr>
          <w:rFonts w:ascii="Arial" w:eastAsia="宋体" w:hAnsi="Arial" w:cs="Arial"/>
          <w:b/>
          <w:bCs/>
          <w:color w:val="000000"/>
          <w:sz w:val="20"/>
          <w:szCs w:val="20"/>
        </w:rPr>
        <w:t>CONDENSED CONSOLIDATED STATEMENT OF COMPREHENSIVE INCOME</w:t>
      </w:r>
    </w:p>
    <w:tbl>
      <w:tblPr>
        <w:tblW w:w="4993" w:type="pct"/>
        <w:jc w:val="center"/>
        <w:tblCellMar>
          <w:top w:w="15" w:type="dxa"/>
          <w:left w:w="15" w:type="dxa"/>
          <w:bottom w:w="15" w:type="dxa"/>
          <w:right w:w="15" w:type="dxa"/>
        </w:tblCellMar>
        <w:tblLook w:val="04A0" w:firstRow="1" w:lastRow="0" w:firstColumn="1" w:lastColumn="0" w:noHBand="0" w:noVBand="1"/>
      </w:tblPr>
      <w:tblGrid>
        <w:gridCol w:w="43"/>
        <w:gridCol w:w="5577"/>
        <w:gridCol w:w="43"/>
        <w:gridCol w:w="36"/>
        <w:gridCol w:w="36"/>
        <w:gridCol w:w="36"/>
        <w:gridCol w:w="36"/>
        <w:gridCol w:w="36"/>
        <w:gridCol w:w="36"/>
        <w:gridCol w:w="136"/>
        <w:gridCol w:w="784"/>
        <w:gridCol w:w="86"/>
        <w:gridCol w:w="36"/>
        <w:gridCol w:w="36"/>
        <w:gridCol w:w="36"/>
        <w:gridCol w:w="136"/>
        <w:gridCol w:w="785"/>
        <w:gridCol w:w="86"/>
        <w:gridCol w:w="36"/>
        <w:gridCol w:w="36"/>
        <w:gridCol w:w="36"/>
        <w:gridCol w:w="36"/>
        <w:gridCol w:w="36"/>
        <w:gridCol w:w="36"/>
        <w:gridCol w:w="36"/>
        <w:gridCol w:w="36"/>
        <w:gridCol w:w="36"/>
      </w:tblGrid>
      <w:tr w:rsidR="008D6614" w14:paraId="64A887ED" w14:textId="77777777">
        <w:trPr>
          <w:gridAfter w:val="9"/>
          <w:jc w:val="center"/>
        </w:trPr>
        <w:tc>
          <w:tcPr>
            <w:tcW w:w="50" w:type="pct"/>
            <w:shd w:val="clear" w:color="auto" w:fill="auto"/>
            <w:vAlign w:val="center"/>
          </w:tcPr>
          <w:p w14:paraId="64A887DB" w14:textId="77777777" w:rsidR="008D6614" w:rsidRDefault="008D6614">
            <w:pPr>
              <w:rPr>
                <w:rFonts w:ascii="宋体"/>
              </w:rPr>
            </w:pPr>
          </w:p>
        </w:tc>
        <w:tc>
          <w:tcPr>
            <w:tcW w:w="3553" w:type="pct"/>
            <w:shd w:val="clear" w:color="auto" w:fill="auto"/>
            <w:vAlign w:val="center"/>
          </w:tcPr>
          <w:p w14:paraId="64A887DC" w14:textId="77777777" w:rsidR="008D6614" w:rsidRDefault="008D6614">
            <w:pPr>
              <w:rPr>
                <w:rFonts w:ascii="宋体"/>
              </w:rPr>
            </w:pPr>
          </w:p>
        </w:tc>
        <w:tc>
          <w:tcPr>
            <w:tcW w:w="50" w:type="pct"/>
            <w:shd w:val="clear" w:color="auto" w:fill="auto"/>
            <w:vAlign w:val="center"/>
          </w:tcPr>
          <w:p w14:paraId="64A887DD" w14:textId="77777777" w:rsidR="008D6614" w:rsidRDefault="008D6614">
            <w:pPr>
              <w:rPr>
                <w:rFonts w:ascii="宋体"/>
              </w:rPr>
            </w:pPr>
          </w:p>
        </w:tc>
        <w:tc>
          <w:tcPr>
            <w:tcW w:w="0" w:type="auto"/>
            <w:shd w:val="clear" w:color="auto" w:fill="auto"/>
            <w:vAlign w:val="center"/>
          </w:tcPr>
          <w:p w14:paraId="64A887DE" w14:textId="77777777" w:rsidR="008D6614" w:rsidRDefault="008D6614">
            <w:pPr>
              <w:rPr>
                <w:rFonts w:ascii="宋体"/>
                <w:vanish/>
              </w:rPr>
            </w:pPr>
          </w:p>
        </w:tc>
        <w:tc>
          <w:tcPr>
            <w:tcW w:w="0" w:type="auto"/>
            <w:shd w:val="clear" w:color="auto" w:fill="auto"/>
            <w:vAlign w:val="center"/>
          </w:tcPr>
          <w:p w14:paraId="64A887DF" w14:textId="77777777" w:rsidR="008D6614" w:rsidRDefault="008D6614">
            <w:pPr>
              <w:rPr>
                <w:rFonts w:ascii="宋体"/>
                <w:vanish/>
              </w:rPr>
            </w:pPr>
          </w:p>
        </w:tc>
        <w:tc>
          <w:tcPr>
            <w:tcW w:w="0" w:type="auto"/>
            <w:shd w:val="clear" w:color="auto" w:fill="auto"/>
            <w:vAlign w:val="center"/>
          </w:tcPr>
          <w:p w14:paraId="64A887E0" w14:textId="77777777" w:rsidR="008D6614" w:rsidRDefault="008D6614">
            <w:pPr>
              <w:rPr>
                <w:rFonts w:ascii="宋体"/>
                <w:vanish/>
              </w:rPr>
            </w:pPr>
          </w:p>
        </w:tc>
        <w:tc>
          <w:tcPr>
            <w:tcW w:w="5" w:type="pct"/>
            <w:shd w:val="clear" w:color="auto" w:fill="auto"/>
            <w:vAlign w:val="center"/>
          </w:tcPr>
          <w:p w14:paraId="64A887E1" w14:textId="77777777" w:rsidR="008D6614" w:rsidRDefault="008D6614">
            <w:pPr>
              <w:rPr>
                <w:rFonts w:ascii="宋体"/>
              </w:rPr>
            </w:pPr>
          </w:p>
        </w:tc>
        <w:tc>
          <w:tcPr>
            <w:tcW w:w="26" w:type="pct"/>
            <w:shd w:val="clear" w:color="auto" w:fill="auto"/>
            <w:vAlign w:val="center"/>
          </w:tcPr>
          <w:p w14:paraId="64A887E2" w14:textId="77777777" w:rsidR="008D6614" w:rsidRDefault="008D6614">
            <w:pPr>
              <w:rPr>
                <w:rFonts w:ascii="宋体"/>
              </w:rPr>
            </w:pPr>
          </w:p>
        </w:tc>
        <w:tc>
          <w:tcPr>
            <w:tcW w:w="5" w:type="pct"/>
            <w:shd w:val="clear" w:color="auto" w:fill="auto"/>
            <w:vAlign w:val="center"/>
          </w:tcPr>
          <w:p w14:paraId="64A887E3" w14:textId="77777777" w:rsidR="008D6614" w:rsidRDefault="008D6614">
            <w:pPr>
              <w:rPr>
                <w:rFonts w:ascii="宋体"/>
              </w:rPr>
            </w:pPr>
          </w:p>
        </w:tc>
        <w:tc>
          <w:tcPr>
            <w:tcW w:w="50" w:type="pct"/>
            <w:shd w:val="clear" w:color="auto" w:fill="auto"/>
            <w:vAlign w:val="center"/>
          </w:tcPr>
          <w:p w14:paraId="64A887E4" w14:textId="77777777" w:rsidR="008D6614" w:rsidRDefault="008D6614">
            <w:pPr>
              <w:rPr>
                <w:rFonts w:ascii="宋体"/>
              </w:rPr>
            </w:pPr>
          </w:p>
        </w:tc>
        <w:tc>
          <w:tcPr>
            <w:tcW w:w="536" w:type="pct"/>
            <w:shd w:val="clear" w:color="auto" w:fill="auto"/>
            <w:vAlign w:val="center"/>
          </w:tcPr>
          <w:p w14:paraId="64A887E5" w14:textId="77777777" w:rsidR="008D6614" w:rsidRDefault="008D6614">
            <w:pPr>
              <w:rPr>
                <w:rFonts w:ascii="宋体"/>
              </w:rPr>
            </w:pPr>
          </w:p>
        </w:tc>
        <w:tc>
          <w:tcPr>
            <w:tcW w:w="50" w:type="pct"/>
            <w:shd w:val="clear" w:color="auto" w:fill="auto"/>
            <w:vAlign w:val="center"/>
          </w:tcPr>
          <w:p w14:paraId="64A887E6" w14:textId="77777777" w:rsidR="008D6614" w:rsidRDefault="008D6614">
            <w:pPr>
              <w:rPr>
                <w:rFonts w:ascii="宋体"/>
              </w:rPr>
            </w:pPr>
          </w:p>
        </w:tc>
        <w:tc>
          <w:tcPr>
            <w:tcW w:w="5" w:type="pct"/>
            <w:shd w:val="clear" w:color="auto" w:fill="auto"/>
            <w:vAlign w:val="center"/>
          </w:tcPr>
          <w:p w14:paraId="64A887E7" w14:textId="77777777" w:rsidR="008D6614" w:rsidRDefault="008D6614">
            <w:pPr>
              <w:rPr>
                <w:rFonts w:ascii="宋体"/>
              </w:rPr>
            </w:pPr>
          </w:p>
        </w:tc>
        <w:tc>
          <w:tcPr>
            <w:tcW w:w="26" w:type="pct"/>
            <w:shd w:val="clear" w:color="auto" w:fill="auto"/>
            <w:vAlign w:val="center"/>
          </w:tcPr>
          <w:p w14:paraId="64A887E8" w14:textId="77777777" w:rsidR="008D6614" w:rsidRDefault="008D6614">
            <w:pPr>
              <w:rPr>
                <w:rFonts w:ascii="宋体"/>
              </w:rPr>
            </w:pPr>
          </w:p>
        </w:tc>
        <w:tc>
          <w:tcPr>
            <w:tcW w:w="5" w:type="pct"/>
            <w:shd w:val="clear" w:color="auto" w:fill="auto"/>
            <w:vAlign w:val="center"/>
          </w:tcPr>
          <w:p w14:paraId="64A887E9" w14:textId="77777777" w:rsidR="008D6614" w:rsidRDefault="008D6614">
            <w:pPr>
              <w:rPr>
                <w:rFonts w:ascii="宋体"/>
              </w:rPr>
            </w:pPr>
          </w:p>
        </w:tc>
        <w:tc>
          <w:tcPr>
            <w:tcW w:w="50" w:type="pct"/>
            <w:shd w:val="clear" w:color="auto" w:fill="auto"/>
            <w:vAlign w:val="center"/>
          </w:tcPr>
          <w:p w14:paraId="64A887EA" w14:textId="77777777" w:rsidR="008D6614" w:rsidRDefault="008D6614">
            <w:pPr>
              <w:rPr>
                <w:rFonts w:ascii="宋体"/>
              </w:rPr>
            </w:pPr>
          </w:p>
        </w:tc>
        <w:tc>
          <w:tcPr>
            <w:tcW w:w="536" w:type="pct"/>
            <w:shd w:val="clear" w:color="auto" w:fill="auto"/>
            <w:vAlign w:val="center"/>
          </w:tcPr>
          <w:p w14:paraId="64A887EB" w14:textId="77777777" w:rsidR="008D6614" w:rsidRDefault="008D6614">
            <w:pPr>
              <w:rPr>
                <w:rFonts w:ascii="宋体"/>
              </w:rPr>
            </w:pPr>
          </w:p>
        </w:tc>
        <w:tc>
          <w:tcPr>
            <w:tcW w:w="50" w:type="pct"/>
            <w:shd w:val="clear" w:color="auto" w:fill="auto"/>
            <w:vAlign w:val="center"/>
          </w:tcPr>
          <w:p w14:paraId="64A887EC" w14:textId="77777777" w:rsidR="008D6614" w:rsidRDefault="008D6614">
            <w:pPr>
              <w:rPr>
                <w:rFonts w:ascii="宋体"/>
              </w:rPr>
            </w:pPr>
          </w:p>
        </w:tc>
      </w:tr>
      <w:tr w:rsidR="008D6614" w14:paraId="64A887F6" w14:textId="77777777">
        <w:trPr>
          <w:gridAfter w:val="3"/>
          <w:jc w:val="center"/>
        </w:trPr>
        <w:tc>
          <w:tcPr>
            <w:tcW w:w="0" w:type="auto"/>
            <w:gridSpan w:val="3"/>
            <w:shd w:val="clear" w:color="auto" w:fill="auto"/>
            <w:tcMar>
              <w:left w:w="20" w:type="dxa"/>
              <w:right w:w="20" w:type="dxa"/>
            </w:tcMar>
            <w:vAlign w:val="bottom"/>
          </w:tcPr>
          <w:p w14:paraId="64A887EE" w14:textId="77777777" w:rsidR="008D6614" w:rsidRDefault="008D6614">
            <w:pPr>
              <w:rPr>
                <w:rFonts w:ascii="宋体"/>
              </w:rPr>
            </w:pPr>
          </w:p>
        </w:tc>
        <w:tc>
          <w:tcPr>
            <w:tcW w:w="0" w:type="auto"/>
            <w:shd w:val="clear" w:color="auto" w:fill="auto"/>
            <w:vAlign w:val="center"/>
          </w:tcPr>
          <w:p w14:paraId="64A887EF" w14:textId="77777777" w:rsidR="008D6614" w:rsidRDefault="008D6614">
            <w:pPr>
              <w:rPr>
                <w:rFonts w:ascii="宋体"/>
                <w:vanish/>
              </w:rPr>
            </w:pPr>
          </w:p>
        </w:tc>
        <w:tc>
          <w:tcPr>
            <w:tcW w:w="0" w:type="auto"/>
            <w:shd w:val="clear" w:color="auto" w:fill="auto"/>
            <w:vAlign w:val="center"/>
          </w:tcPr>
          <w:p w14:paraId="64A887F0" w14:textId="77777777" w:rsidR="008D6614" w:rsidRDefault="008D6614">
            <w:pPr>
              <w:rPr>
                <w:rFonts w:ascii="宋体"/>
                <w:vanish/>
              </w:rPr>
            </w:pPr>
          </w:p>
        </w:tc>
        <w:tc>
          <w:tcPr>
            <w:tcW w:w="0" w:type="auto"/>
            <w:shd w:val="clear" w:color="auto" w:fill="auto"/>
            <w:vAlign w:val="center"/>
          </w:tcPr>
          <w:p w14:paraId="64A887F1"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7F2"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87F3"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vAlign w:val="center"/>
          </w:tcPr>
          <w:p w14:paraId="64A887F4" w14:textId="77777777" w:rsidR="008D6614" w:rsidRDefault="008D6614">
            <w:pPr>
              <w:rPr>
                <w:rFonts w:ascii="宋体"/>
                <w:vanish/>
              </w:rPr>
            </w:pPr>
          </w:p>
        </w:tc>
        <w:tc>
          <w:tcPr>
            <w:tcW w:w="0" w:type="auto"/>
            <w:gridSpan w:val="3"/>
            <w:shd w:val="clear" w:color="auto" w:fill="auto"/>
            <w:vAlign w:val="center"/>
          </w:tcPr>
          <w:p w14:paraId="64A887F5" w14:textId="77777777" w:rsidR="008D6614" w:rsidRDefault="008D6614">
            <w:pPr>
              <w:rPr>
                <w:rFonts w:ascii="宋体"/>
                <w:vanish/>
              </w:rPr>
            </w:pPr>
          </w:p>
        </w:tc>
      </w:tr>
      <w:tr w:rsidR="008D6614" w14:paraId="64A88805" w14:textId="77777777">
        <w:trPr>
          <w:gridAfter w:val="3"/>
          <w:jc w:val="center"/>
        </w:trPr>
        <w:tc>
          <w:tcPr>
            <w:tcW w:w="0" w:type="auto"/>
            <w:gridSpan w:val="3"/>
            <w:shd w:val="clear" w:color="auto" w:fill="auto"/>
            <w:tcMar>
              <w:top w:w="40" w:type="dxa"/>
              <w:left w:w="20" w:type="dxa"/>
              <w:bottom w:w="40" w:type="dxa"/>
              <w:right w:w="20" w:type="dxa"/>
            </w:tcMar>
            <w:vAlign w:val="bottom"/>
          </w:tcPr>
          <w:p w14:paraId="64A887F7" w14:textId="77777777" w:rsidR="008D6614" w:rsidRDefault="00866AF2">
            <w:pPr>
              <w:jc w:val="center"/>
              <w:textAlignment w:val="bottom"/>
            </w:pPr>
            <w:r>
              <w:rPr>
                <w:rFonts w:ascii="Arial" w:eastAsia="宋体" w:hAnsi="Arial" w:cs="Arial"/>
                <w:b/>
                <w:bCs/>
                <w:color w:val="000000"/>
                <w:sz w:val="16"/>
                <w:szCs w:val="16"/>
              </w:rPr>
              <w:t> </w:t>
            </w:r>
          </w:p>
        </w:tc>
        <w:tc>
          <w:tcPr>
            <w:tcW w:w="0" w:type="auto"/>
            <w:shd w:val="clear" w:color="auto" w:fill="auto"/>
            <w:vAlign w:val="center"/>
          </w:tcPr>
          <w:p w14:paraId="64A887F8" w14:textId="77777777" w:rsidR="008D6614" w:rsidRDefault="008D6614">
            <w:pPr>
              <w:rPr>
                <w:rFonts w:ascii="宋体"/>
                <w:vanish/>
              </w:rPr>
            </w:pPr>
          </w:p>
        </w:tc>
        <w:tc>
          <w:tcPr>
            <w:tcW w:w="0" w:type="auto"/>
            <w:shd w:val="clear" w:color="auto" w:fill="auto"/>
            <w:vAlign w:val="center"/>
          </w:tcPr>
          <w:p w14:paraId="64A887F9" w14:textId="77777777" w:rsidR="008D6614" w:rsidRDefault="008D6614">
            <w:pPr>
              <w:rPr>
                <w:rFonts w:ascii="宋体"/>
                <w:vanish/>
              </w:rPr>
            </w:pPr>
          </w:p>
        </w:tc>
        <w:tc>
          <w:tcPr>
            <w:tcW w:w="0" w:type="auto"/>
            <w:shd w:val="clear" w:color="auto" w:fill="auto"/>
            <w:vAlign w:val="center"/>
          </w:tcPr>
          <w:p w14:paraId="64A887FA"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7FB"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87FC"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64A887FD"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87FE"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87FF" w14:textId="77777777" w:rsidR="008D6614" w:rsidRDefault="008D6614">
            <w:pPr>
              <w:rPr>
                <w:rFonts w:ascii="宋体"/>
              </w:rPr>
            </w:pPr>
          </w:p>
        </w:tc>
        <w:tc>
          <w:tcPr>
            <w:tcW w:w="0" w:type="auto"/>
            <w:shd w:val="clear" w:color="auto" w:fill="auto"/>
            <w:vAlign w:val="center"/>
          </w:tcPr>
          <w:p w14:paraId="64A88800" w14:textId="77777777" w:rsidR="008D6614" w:rsidRDefault="008D6614">
            <w:pPr>
              <w:rPr>
                <w:rFonts w:ascii="宋体"/>
              </w:rPr>
            </w:pPr>
          </w:p>
        </w:tc>
        <w:tc>
          <w:tcPr>
            <w:tcW w:w="0" w:type="auto"/>
            <w:shd w:val="clear" w:color="auto" w:fill="auto"/>
            <w:vAlign w:val="center"/>
          </w:tcPr>
          <w:p w14:paraId="64A88801" w14:textId="77777777" w:rsidR="008D6614" w:rsidRDefault="008D6614">
            <w:pPr>
              <w:rPr>
                <w:rFonts w:ascii="宋体"/>
              </w:rPr>
            </w:pPr>
          </w:p>
        </w:tc>
        <w:tc>
          <w:tcPr>
            <w:tcW w:w="0" w:type="auto"/>
            <w:shd w:val="clear" w:color="auto" w:fill="auto"/>
            <w:vAlign w:val="center"/>
          </w:tcPr>
          <w:p w14:paraId="64A88802" w14:textId="77777777" w:rsidR="008D6614" w:rsidRDefault="008D6614">
            <w:pPr>
              <w:rPr>
                <w:rFonts w:ascii="宋体"/>
              </w:rPr>
            </w:pPr>
          </w:p>
        </w:tc>
        <w:tc>
          <w:tcPr>
            <w:tcW w:w="0" w:type="auto"/>
            <w:shd w:val="clear" w:color="auto" w:fill="auto"/>
            <w:vAlign w:val="center"/>
          </w:tcPr>
          <w:p w14:paraId="64A88803" w14:textId="77777777" w:rsidR="008D6614" w:rsidRDefault="008D6614">
            <w:pPr>
              <w:rPr>
                <w:rFonts w:ascii="宋体"/>
              </w:rPr>
            </w:pPr>
          </w:p>
        </w:tc>
        <w:tc>
          <w:tcPr>
            <w:tcW w:w="0" w:type="auto"/>
            <w:shd w:val="clear" w:color="auto" w:fill="auto"/>
            <w:vAlign w:val="center"/>
          </w:tcPr>
          <w:p w14:paraId="64A88804" w14:textId="77777777" w:rsidR="008D6614" w:rsidRDefault="008D6614">
            <w:pPr>
              <w:rPr>
                <w:rFonts w:ascii="宋体"/>
              </w:rPr>
            </w:pPr>
          </w:p>
        </w:tc>
      </w:tr>
      <w:tr w:rsidR="008D6614" w14:paraId="64A8880E" w14:textId="77777777">
        <w:trPr>
          <w:jc w:val="center"/>
        </w:trPr>
        <w:tc>
          <w:tcPr>
            <w:tcW w:w="0" w:type="auto"/>
            <w:gridSpan w:val="3"/>
            <w:shd w:val="clear" w:color="auto" w:fill="auto"/>
            <w:tcMar>
              <w:top w:w="40" w:type="dxa"/>
              <w:left w:w="20" w:type="dxa"/>
              <w:bottom w:w="40" w:type="dxa"/>
              <w:right w:w="20" w:type="dxa"/>
            </w:tcMar>
            <w:vAlign w:val="bottom"/>
          </w:tcPr>
          <w:p w14:paraId="64A88806" w14:textId="77777777" w:rsidR="008D6614" w:rsidRDefault="00866AF2">
            <w:pPr>
              <w:jc w:val="center"/>
              <w:textAlignment w:val="bottom"/>
            </w:pPr>
            <w:r>
              <w:rPr>
                <w:rFonts w:ascii="Arial" w:eastAsia="宋体" w:hAnsi="Arial" w:cs="Arial"/>
                <w:b/>
                <w:bCs/>
                <w:color w:val="000000"/>
                <w:sz w:val="16"/>
                <w:szCs w:val="16"/>
              </w:rPr>
              <w:t> </w:t>
            </w:r>
          </w:p>
        </w:tc>
        <w:tc>
          <w:tcPr>
            <w:tcW w:w="0" w:type="auto"/>
            <w:shd w:val="clear" w:color="auto" w:fill="auto"/>
            <w:vAlign w:val="center"/>
          </w:tcPr>
          <w:p w14:paraId="64A88807" w14:textId="77777777" w:rsidR="008D6614" w:rsidRDefault="008D6614">
            <w:pPr>
              <w:rPr>
                <w:rFonts w:ascii="宋体"/>
                <w:vanish/>
              </w:rPr>
            </w:pPr>
          </w:p>
        </w:tc>
        <w:tc>
          <w:tcPr>
            <w:tcW w:w="0" w:type="auto"/>
            <w:shd w:val="clear" w:color="auto" w:fill="auto"/>
            <w:vAlign w:val="center"/>
          </w:tcPr>
          <w:p w14:paraId="64A88808" w14:textId="77777777" w:rsidR="008D6614" w:rsidRDefault="008D6614">
            <w:pPr>
              <w:rPr>
                <w:rFonts w:ascii="宋体"/>
                <w:vanish/>
              </w:rPr>
            </w:pPr>
          </w:p>
        </w:tc>
        <w:tc>
          <w:tcPr>
            <w:tcW w:w="0" w:type="auto"/>
            <w:shd w:val="clear" w:color="auto" w:fill="auto"/>
            <w:vAlign w:val="center"/>
          </w:tcPr>
          <w:p w14:paraId="64A88809" w14:textId="77777777" w:rsidR="008D6614" w:rsidRDefault="008D6614">
            <w:pPr>
              <w:rPr>
                <w:rFonts w:ascii="宋体"/>
                <w:vanish/>
              </w:rPr>
            </w:pPr>
          </w:p>
        </w:tc>
        <w:tc>
          <w:tcPr>
            <w:tcW w:w="0" w:type="auto"/>
            <w:gridSpan w:val="12"/>
            <w:shd w:val="clear" w:color="auto" w:fill="auto"/>
            <w:tcMar>
              <w:top w:w="40" w:type="dxa"/>
              <w:left w:w="20" w:type="dxa"/>
              <w:bottom w:w="40" w:type="dxa"/>
              <w:right w:w="20" w:type="dxa"/>
            </w:tcMar>
            <w:vAlign w:val="bottom"/>
          </w:tcPr>
          <w:p w14:paraId="64A8880A" w14:textId="77777777" w:rsidR="008D6614" w:rsidRDefault="00866AF2">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vAlign w:val="center"/>
          </w:tcPr>
          <w:p w14:paraId="64A8880B" w14:textId="77777777" w:rsidR="008D6614" w:rsidRDefault="008D6614">
            <w:pPr>
              <w:rPr>
                <w:rFonts w:ascii="宋体"/>
                <w:vanish/>
              </w:rPr>
            </w:pPr>
          </w:p>
        </w:tc>
        <w:tc>
          <w:tcPr>
            <w:tcW w:w="0" w:type="auto"/>
            <w:gridSpan w:val="3"/>
            <w:shd w:val="clear" w:color="auto" w:fill="auto"/>
            <w:vAlign w:val="center"/>
          </w:tcPr>
          <w:p w14:paraId="64A8880C" w14:textId="77777777" w:rsidR="008D6614" w:rsidRDefault="008D6614">
            <w:pPr>
              <w:rPr>
                <w:rFonts w:ascii="宋体"/>
                <w:vanish/>
              </w:rPr>
            </w:pPr>
          </w:p>
        </w:tc>
        <w:tc>
          <w:tcPr>
            <w:tcW w:w="0" w:type="auto"/>
            <w:gridSpan w:val="3"/>
            <w:shd w:val="clear" w:color="auto" w:fill="auto"/>
            <w:vAlign w:val="center"/>
          </w:tcPr>
          <w:p w14:paraId="64A8880D" w14:textId="77777777" w:rsidR="008D6614" w:rsidRDefault="008D6614">
            <w:pPr>
              <w:rPr>
                <w:rFonts w:ascii="宋体"/>
                <w:vanish/>
              </w:rPr>
            </w:pPr>
          </w:p>
        </w:tc>
      </w:tr>
      <w:tr w:rsidR="008D6614" w14:paraId="64A88817" w14:textId="77777777">
        <w:trPr>
          <w:jc w:val="center"/>
        </w:trPr>
        <w:tc>
          <w:tcPr>
            <w:tcW w:w="0" w:type="auto"/>
            <w:gridSpan w:val="3"/>
            <w:shd w:val="clear" w:color="auto" w:fill="auto"/>
            <w:tcMar>
              <w:top w:w="40" w:type="dxa"/>
              <w:left w:w="20" w:type="dxa"/>
              <w:bottom w:w="40" w:type="dxa"/>
              <w:right w:w="20" w:type="dxa"/>
            </w:tcMar>
            <w:vAlign w:val="bottom"/>
          </w:tcPr>
          <w:p w14:paraId="64A8880F" w14:textId="77777777" w:rsidR="008D6614" w:rsidRDefault="00866AF2">
            <w:pPr>
              <w:jc w:val="center"/>
              <w:textAlignment w:val="bottom"/>
            </w:pPr>
            <w:r>
              <w:rPr>
                <w:rFonts w:ascii="Arial" w:eastAsia="宋体" w:hAnsi="Arial" w:cs="Arial"/>
                <w:b/>
                <w:bCs/>
                <w:color w:val="000000"/>
                <w:sz w:val="16"/>
                <w:szCs w:val="16"/>
              </w:rPr>
              <w:t> </w:t>
            </w:r>
          </w:p>
        </w:tc>
        <w:tc>
          <w:tcPr>
            <w:tcW w:w="0" w:type="auto"/>
            <w:shd w:val="clear" w:color="auto" w:fill="auto"/>
            <w:vAlign w:val="center"/>
          </w:tcPr>
          <w:p w14:paraId="64A88810" w14:textId="77777777" w:rsidR="008D6614" w:rsidRDefault="008D6614">
            <w:pPr>
              <w:rPr>
                <w:rFonts w:ascii="宋体"/>
                <w:vanish/>
              </w:rPr>
            </w:pPr>
          </w:p>
        </w:tc>
        <w:tc>
          <w:tcPr>
            <w:tcW w:w="0" w:type="auto"/>
            <w:shd w:val="clear" w:color="auto" w:fill="auto"/>
            <w:vAlign w:val="center"/>
          </w:tcPr>
          <w:p w14:paraId="64A88811" w14:textId="77777777" w:rsidR="008D6614" w:rsidRDefault="008D6614">
            <w:pPr>
              <w:rPr>
                <w:rFonts w:ascii="宋体"/>
                <w:vanish/>
              </w:rPr>
            </w:pPr>
          </w:p>
        </w:tc>
        <w:tc>
          <w:tcPr>
            <w:tcW w:w="0" w:type="auto"/>
            <w:shd w:val="clear" w:color="auto" w:fill="auto"/>
            <w:vAlign w:val="center"/>
          </w:tcPr>
          <w:p w14:paraId="64A88812" w14:textId="77777777" w:rsidR="008D6614" w:rsidRDefault="008D6614">
            <w:pPr>
              <w:rPr>
                <w:rFonts w:ascii="宋体"/>
                <w:vanish/>
              </w:rPr>
            </w:pPr>
          </w:p>
        </w:tc>
        <w:tc>
          <w:tcPr>
            <w:tcW w:w="0" w:type="auto"/>
            <w:gridSpan w:val="12"/>
            <w:shd w:val="clear" w:color="auto" w:fill="auto"/>
            <w:tcMar>
              <w:top w:w="40" w:type="dxa"/>
              <w:left w:w="20" w:type="dxa"/>
              <w:bottom w:w="40" w:type="dxa"/>
              <w:right w:w="20" w:type="dxa"/>
            </w:tcMar>
            <w:vAlign w:val="bottom"/>
          </w:tcPr>
          <w:p w14:paraId="64A88813" w14:textId="77777777" w:rsidR="008D6614" w:rsidRDefault="00866AF2">
            <w:pPr>
              <w:jc w:val="center"/>
              <w:textAlignment w:val="bottom"/>
            </w:pPr>
            <w:r>
              <w:rPr>
                <w:rFonts w:ascii="Arial" w:eastAsia="宋体" w:hAnsi="Arial" w:cs="Arial"/>
                <w:b/>
                <w:bCs/>
                <w:color w:val="000000"/>
                <w:sz w:val="16"/>
                <w:szCs w:val="16"/>
              </w:rPr>
              <w:t>(Unaudited)</w:t>
            </w:r>
          </w:p>
        </w:tc>
        <w:tc>
          <w:tcPr>
            <w:tcW w:w="0" w:type="auto"/>
            <w:gridSpan w:val="3"/>
            <w:shd w:val="clear" w:color="auto" w:fill="auto"/>
            <w:vAlign w:val="center"/>
          </w:tcPr>
          <w:p w14:paraId="64A88814" w14:textId="77777777" w:rsidR="008D6614" w:rsidRDefault="008D6614">
            <w:pPr>
              <w:rPr>
                <w:rFonts w:ascii="宋体"/>
                <w:vanish/>
              </w:rPr>
            </w:pPr>
          </w:p>
        </w:tc>
        <w:tc>
          <w:tcPr>
            <w:tcW w:w="0" w:type="auto"/>
            <w:gridSpan w:val="3"/>
            <w:shd w:val="clear" w:color="auto" w:fill="auto"/>
            <w:vAlign w:val="center"/>
          </w:tcPr>
          <w:p w14:paraId="64A88815" w14:textId="77777777" w:rsidR="008D6614" w:rsidRDefault="008D6614">
            <w:pPr>
              <w:rPr>
                <w:rFonts w:ascii="宋体"/>
                <w:vanish/>
              </w:rPr>
            </w:pPr>
          </w:p>
        </w:tc>
        <w:tc>
          <w:tcPr>
            <w:tcW w:w="0" w:type="auto"/>
            <w:gridSpan w:val="3"/>
            <w:shd w:val="clear" w:color="auto" w:fill="auto"/>
            <w:vAlign w:val="center"/>
          </w:tcPr>
          <w:p w14:paraId="64A88816" w14:textId="77777777" w:rsidR="008D6614" w:rsidRDefault="008D6614">
            <w:pPr>
              <w:rPr>
                <w:rFonts w:ascii="宋体"/>
                <w:vanish/>
              </w:rPr>
            </w:pPr>
          </w:p>
        </w:tc>
      </w:tr>
      <w:tr w:rsidR="008D6614" w14:paraId="64A8882D" w14:textId="77777777">
        <w:trPr>
          <w:jc w:val="center"/>
        </w:trPr>
        <w:tc>
          <w:tcPr>
            <w:tcW w:w="0" w:type="auto"/>
            <w:gridSpan w:val="3"/>
            <w:shd w:val="clear" w:color="auto" w:fill="E2E2E2"/>
            <w:tcMar>
              <w:top w:w="40" w:type="dxa"/>
              <w:left w:w="20" w:type="dxa"/>
              <w:bottom w:w="40" w:type="dxa"/>
              <w:right w:w="20" w:type="dxa"/>
            </w:tcMar>
            <w:vAlign w:val="bottom"/>
          </w:tcPr>
          <w:p w14:paraId="64A88818" w14:textId="77777777" w:rsidR="008D6614" w:rsidRDefault="00866AF2">
            <w:pPr>
              <w:textAlignment w:val="bottom"/>
            </w:pPr>
            <w:r>
              <w:rPr>
                <w:rFonts w:ascii="Arial" w:eastAsia="宋体" w:hAnsi="Arial" w:cs="Arial"/>
                <w:color w:val="000000"/>
                <w:sz w:val="18"/>
                <w:szCs w:val="18"/>
              </w:rPr>
              <w:t>Net income</w:t>
            </w:r>
          </w:p>
        </w:tc>
        <w:tc>
          <w:tcPr>
            <w:tcW w:w="0" w:type="auto"/>
            <w:shd w:val="clear" w:color="auto" w:fill="auto"/>
            <w:vAlign w:val="center"/>
          </w:tcPr>
          <w:p w14:paraId="64A88819" w14:textId="77777777" w:rsidR="008D6614" w:rsidRDefault="008D6614">
            <w:pPr>
              <w:rPr>
                <w:rFonts w:ascii="宋体"/>
                <w:vanish/>
              </w:rPr>
            </w:pPr>
          </w:p>
        </w:tc>
        <w:tc>
          <w:tcPr>
            <w:tcW w:w="0" w:type="auto"/>
            <w:shd w:val="clear" w:color="auto" w:fill="auto"/>
            <w:vAlign w:val="center"/>
          </w:tcPr>
          <w:p w14:paraId="64A8881A" w14:textId="77777777" w:rsidR="008D6614" w:rsidRDefault="008D6614">
            <w:pPr>
              <w:rPr>
                <w:rFonts w:ascii="宋体"/>
                <w:vanish/>
              </w:rPr>
            </w:pPr>
          </w:p>
        </w:tc>
        <w:tc>
          <w:tcPr>
            <w:tcW w:w="0" w:type="auto"/>
            <w:shd w:val="clear" w:color="auto" w:fill="auto"/>
            <w:vAlign w:val="center"/>
          </w:tcPr>
          <w:p w14:paraId="64A8881B"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81C"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881D"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81E" w14:textId="77777777" w:rsidR="008D6614" w:rsidRDefault="00866AF2">
            <w:pPr>
              <w:jc w:val="right"/>
              <w:textAlignment w:val="bottom"/>
            </w:pPr>
            <w:r>
              <w:rPr>
                <w:rFonts w:ascii="Arial" w:eastAsia="宋体" w:hAnsi="Arial" w:cs="Arial"/>
                <w:color w:val="000000"/>
                <w:sz w:val="18"/>
                <w:szCs w:val="18"/>
              </w:rPr>
              <w:t>3,412 </w:t>
            </w:r>
          </w:p>
        </w:tc>
        <w:tc>
          <w:tcPr>
            <w:tcW w:w="0" w:type="auto"/>
            <w:shd w:val="clear" w:color="auto" w:fill="E2E2E2"/>
            <w:tcMar>
              <w:top w:w="40" w:type="dxa"/>
              <w:bottom w:w="40" w:type="dxa"/>
              <w:right w:w="20" w:type="dxa"/>
            </w:tcMar>
            <w:vAlign w:val="bottom"/>
          </w:tcPr>
          <w:p w14:paraId="64A8881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820"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8821"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822" w14:textId="77777777" w:rsidR="008D6614" w:rsidRDefault="00866AF2">
            <w:pPr>
              <w:jc w:val="right"/>
              <w:textAlignment w:val="bottom"/>
            </w:pPr>
            <w:r>
              <w:rPr>
                <w:rFonts w:ascii="Arial" w:eastAsia="宋体" w:hAnsi="Arial" w:cs="Arial"/>
                <w:color w:val="000000"/>
                <w:sz w:val="18"/>
                <w:szCs w:val="18"/>
              </w:rPr>
              <w:t>518 </w:t>
            </w:r>
          </w:p>
        </w:tc>
        <w:tc>
          <w:tcPr>
            <w:tcW w:w="0" w:type="auto"/>
            <w:shd w:val="clear" w:color="auto" w:fill="E2E2E2"/>
            <w:tcMar>
              <w:top w:w="40" w:type="dxa"/>
              <w:bottom w:w="40" w:type="dxa"/>
              <w:right w:w="20" w:type="dxa"/>
            </w:tcMar>
            <w:vAlign w:val="bottom"/>
          </w:tcPr>
          <w:p w14:paraId="64A8882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824" w14:textId="77777777" w:rsidR="008D6614" w:rsidRDefault="008D6614">
            <w:pPr>
              <w:rPr>
                <w:rFonts w:ascii="宋体"/>
              </w:rPr>
            </w:pPr>
          </w:p>
        </w:tc>
        <w:tc>
          <w:tcPr>
            <w:tcW w:w="0" w:type="auto"/>
            <w:shd w:val="clear" w:color="auto" w:fill="auto"/>
            <w:vAlign w:val="center"/>
          </w:tcPr>
          <w:p w14:paraId="64A88825" w14:textId="77777777" w:rsidR="008D6614" w:rsidRDefault="008D6614">
            <w:pPr>
              <w:rPr>
                <w:rFonts w:ascii="宋体"/>
              </w:rPr>
            </w:pPr>
          </w:p>
        </w:tc>
        <w:tc>
          <w:tcPr>
            <w:tcW w:w="0" w:type="auto"/>
            <w:shd w:val="clear" w:color="auto" w:fill="auto"/>
            <w:vAlign w:val="center"/>
          </w:tcPr>
          <w:p w14:paraId="64A88826" w14:textId="77777777" w:rsidR="008D6614" w:rsidRDefault="008D6614">
            <w:pPr>
              <w:rPr>
                <w:rFonts w:ascii="宋体"/>
              </w:rPr>
            </w:pPr>
          </w:p>
        </w:tc>
        <w:tc>
          <w:tcPr>
            <w:tcW w:w="0" w:type="auto"/>
            <w:shd w:val="clear" w:color="auto" w:fill="auto"/>
            <w:vAlign w:val="center"/>
          </w:tcPr>
          <w:p w14:paraId="64A88827" w14:textId="77777777" w:rsidR="008D6614" w:rsidRDefault="008D6614">
            <w:pPr>
              <w:rPr>
                <w:rFonts w:ascii="宋体"/>
              </w:rPr>
            </w:pPr>
          </w:p>
        </w:tc>
        <w:tc>
          <w:tcPr>
            <w:tcW w:w="0" w:type="auto"/>
            <w:shd w:val="clear" w:color="auto" w:fill="auto"/>
            <w:vAlign w:val="center"/>
          </w:tcPr>
          <w:p w14:paraId="64A88828" w14:textId="77777777" w:rsidR="008D6614" w:rsidRDefault="008D6614">
            <w:pPr>
              <w:rPr>
                <w:rFonts w:ascii="宋体"/>
              </w:rPr>
            </w:pPr>
          </w:p>
        </w:tc>
        <w:tc>
          <w:tcPr>
            <w:tcW w:w="0" w:type="auto"/>
            <w:shd w:val="clear" w:color="auto" w:fill="auto"/>
            <w:vAlign w:val="center"/>
          </w:tcPr>
          <w:p w14:paraId="64A88829" w14:textId="77777777" w:rsidR="008D6614" w:rsidRDefault="008D6614">
            <w:pPr>
              <w:rPr>
                <w:rFonts w:ascii="宋体"/>
              </w:rPr>
            </w:pPr>
          </w:p>
        </w:tc>
        <w:tc>
          <w:tcPr>
            <w:tcW w:w="0" w:type="auto"/>
            <w:shd w:val="clear" w:color="auto" w:fill="auto"/>
            <w:vAlign w:val="center"/>
          </w:tcPr>
          <w:p w14:paraId="64A8882A" w14:textId="77777777" w:rsidR="008D6614" w:rsidRDefault="008D6614">
            <w:pPr>
              <w:rPr>
                <w:rFonts w:ascii="宋体"/>
              </w:rPr>
            </w:pPr>
          </w:p>
        </w:tc>
        <w:tc>
          <w:tcPr>
            <w:tcW w:w="0" w:type="auto"/>
            <w:shd w:val="clear" w:color="auto" w:fill="auto"/>
            <w:vAlign w:val="center"/>
          </w:tcPr>
          <w:p w14:paraId="64A8882B" w14:textId="77777777" w:rsidR="008D6614" w:rsidRDefault="008D6614">
            <w:pPr>
              <w:rPr>
                <w:rFonts w:ascii="宋体"/>
              </w:rPr>
            </w:pPr>
          </w:p>
        </w:tc>
        <w:tc>
          <w:tcPr>
            <w:tcW w:w="0" w:type="auto"/>
            <w:shd w:val="clear" w:color="auto" w:fill="auto"/>
            <w:vAlign w:val="center"/>
          </w:tcPr>
          <w:p w14:paraId="64A8882C" w14:textId="77777777" w:rsidR="008D6614" w:rsidRDefault="008D6614">
            <w:pPr>
              <w:rPr>
                <w:rFonts w:ascii="宋体"/>
              </w:rPr>
            </w:pPr>
          </w:p>
        </w:tc>
      </w:tr>
      <w:tr w:rsidR="008D6614" w14:paraId="64A8883F" w14:textId="77777777">
        <w:trPr>
          <w:jc w:val="center"/>
        </w:trPr>
        <w:tc>
          <w:tcPr>
            <w:tcW w:w="0" w:type="auto"/>
            <w:gridSpan w:val="3"/>
            <w:shd w:val="clear" w:color="auto" w:fill="FFFFFF"/>
            <w:tcMar>
              <w:top w:w="40" w:type="dxa"/>
              <w:left w:w="20" w:type="dxa"/>
              <w:bottom w:w="40" w:type="dxa"/>
              <w:right w:w="20" w:type="dxa"/>
            </w:tcMar>
            <w:vAlign w:val="bottom"/>
          </w:tcPr>
          <w:p w14:paraId="64A8882E" w14:textId="77777777" w:rsidR="008D6614" w:rsidRDefault="00866AF2">
            <w:pPr>
              <w:textAlignment w:val="bottom"/>
            </w:pPr>
            <w:r>
              <w:rPr>
                <w:rFonts w:ascii="Arial" w:eastAsia="宋体" w:hAnsi="Arial" w:cs="Arial"/>
                <w:color w:val="000000"/>
                <w:sz w:val="18"/>
                <w:szCs w:val="18"/>
              </w:rPr>
              <w:t>Other comprehensive income (loss), net of reclassification adjustments:</w:t>
            </w:r>
          </w:p>
        </w:tc>
        <w:tc>
          <w:tcPr>
            <w:tcW w:w="0" w:type="auto"/>
            <w:shd w:val="clear" w:color="auto" w:fill="auto"/>
            <w:vAlign w:val="center"/>
          </w:tcPr>
          <w:p w14:paraId="64A8882F" w14:textId="77777777" w:rsidR="008D6614" w:rsidRDefault="008D6614">
            <w:pPr>
              <w:rPr>
                <w:rFonts w:ascii="宋体"/>
                <w:vanish/>
              </w:rPr>
            </w:pPr>
          </w:p>
        </w:tc>
        <w:tc>
          <w:tcPr>
            <w:tcW w:w="0" w:type="auto"/>
            <w:shd w:val="clear" w:color="auto" w:fill="auto"/>
            <w:vAlign w:val="center"/>
          </w:tcPr>
          <w:p w14:paraId="64A88830" w14:textId="77777777" w:rsidR="008D6614" w:rsidRDefault="008D6614">
            <w:pPr>
              <w:rPr>
                <w:rFonts w:ascii="宋体"/>
                <w:vanish/>
              </w:rPr>
            </w:pPr>
          </w:p>
        </w:tc>
        <w:tc>
          <w:tcPr>
            <w:tcW w:w="0" w:type="auto"/>
            <w:shd w:val="clear" w:color="auto" w:fill="auto"/>
            <w:vAlign w:val="center"/>
          </w:tcPr>
          <w:p w14:paraId="64A88831"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832"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83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834"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835" w14:textId="77777777" w:rsidR="008D6614" w:rsidRDefault="008D6614">
            <w:pPr>
              <w:rPr>
                <w:rFonts w:ascii="宋体"/>
              </w:rPr>
            </w:pPr>
          </w:p>
        </w:tc>
        <w:tc>
          <w:tcPr>
            <w:tcW w:w="0" w:type="auto"/>
            <w:shd w:val="clear" w:color="auto" w:fill="auto"/>
            <w:vAlign w:val="center"/>
          </w:tcPr>
          <w:p w14:paraId="64A88836" w14:textId="77777777" w:rsidR="008D6614" w:rsidRDefault="008D6614">
            <w:pPr>
              <w:rPr>
                <w:rFonts w:ascii="宋体"/>
              </w:rPr>
            </w:pPr>
          </w:p>
        </w:tc>
        <w:tc>
          <w:tcPr>
            <w:tcW w:w="0" w:type="auto"/>
            <w:shd w:val="clear" w:color="auto" w:fill="auto"/>
            <w:vAlign w:val="center"/>
          </w:tcPr>
          <w:p w14:paraId="64A88837" w14:textId="77777777" w:rsidR="008D6614" w:rsidRDefault="008D6614">
            <w:pPr>
              <w:rPr>
                <w:rFonts w:ascii="宋体"/>
              </w:rPr>
            </w:pPr>
          </w:p>
        </w:tc>
        <w:tc>
          <w:tcPr>
            <w:tcW w:w="0" w:type="auto"/>
            <w:shd w:val="clear" w:color="auto" w:fill="auto"/>
            <w:vAlign w:val="center"/>
          </w:tcPr>
          <w:p w14:paraId="64A88838" w14:textId="77777777" w:rsidR="008D6614" w:rsidRDefault="008D6614">
            <w:pPr>
              <w:rPr>
                <w:rFonts w:ascii="宋体"/>
              </w:rPr>
            </w:pPr>
          </w:p>
        </w:tc>
        <w:tc>
          <w:tcPr>
            <w:tcW w:w="0" w:type="auto"/>
            <w:shd w:val="clear" w:color="auto" w:fill="auto"/>
            <w:vAlign w:val="center"/>
          </w:tcPr>
          <w:p w14:paraId="64A88839" w14:textId="77777777" w:rsidR="008D6614" w:rsidRDefault="008D6614">
            <w:pPr>
              <w:rPr>
                <w:rFonts w:ascii="宋体"/>
              </w:rPr>
            </w:pPr>
          </w:p>
        </w:tc>
        <w:tc>
          <w:tcPr>
            <w:tcW w:w="0" w:type="auto"/>
            <w:shd w:val="clear" w:color="auto" w:fill="auto"/>
            <w:vAlign w:val="center"/>
          </w:tcPr>
          <w:p w14:paraId="64A8883A" w14:textId="77777777" w:rsidR="008D6614" w:rsidRDefault="008D6614">
            <w:pPr>
              <w:rPr>
                <w:rFonts w:ascii="宋体"/>
              </w:rPr>
            </w:pPr>
          </w:p>
        </w:tc>
        <w:tc>
          <w:tcPr>
            <w:tcW w:w="0" w:type="auto"/>
            <w:shd w:val="clear" w:color="auto" w:fill="auto"/>
            <w:vAlign w:val="center"/>
          </w:tcPr>
          <w:p w14:paraId="64A8883B" w14:textId="77777777" w:rsidR="008D6614" w:rsidRDefault="008D6614">
            <w:pPr>
              <w:rPr>
                <w:rFonts w:ascii="宋体"/>
              </w:rPr>
            </w:pPr>
          </w:p>
        </w:tc>
        <w:tc>
          <w:tcPr>
            <w:tcW w:w="0" w:type="auto"/>
            <w:shd w:val="clear" w:color="auto" w:fill="auto"/>
            <w:vAlign w:val="center"/>
          </w:tcPr>
          <w:p w14:paraId="64A8883C" w14:textId="77777777" w:rsidR="008D6614" w:rsidRDefault="008D6614">
            <w:pPr>
              <w:rPr>
                <w:rFonts w:ascii="宋体"/>
              </w:rPr>
            </w:pPr>
          </w:p>
        </w:tc>
        <w:tc>
          <w:tcPr>
            <w:tcW w:w="0" w:type="auto"/>
            <w:shd w:val="clear" w:color="auto" w:fill="auto"/>
            <w:vAlign w:val="center"/>
          </w:tcPr>
          <w:p w14:paraId="64A8883D" w14:textId="77777777" w:rsidR="008D6614" w:rsidRDefault="008D6614">
            <w:pPr>
              <w:rPr>
                <w:rFonts w:ascii="宋体"/>
              </w:rPr>
            </w:pPr>
          </w:p>
        </w:tc>
        <w:tc>
          <w:tcPr>
            <w:tcW w:w="0" w:type="auto"/>
            <w:shd w:val="clear" w:color="auto" w:fill="auto"/>
            <w:vAlign w:val="center"/>
          </w:tcPr>
          <w:p w14:paraId="64A8883E" w14:textId="77777777" w:rsidR="008D6614" w:rsidRDefault="008D6614">
            <w:pPr>
              <w:rPr>
                <w:rFonts w:ascii="宋体"/>
              </w:rPr>
            </w:pPr>
          </w:p>
        </w:tc>
      </w:tr>
      <w:tr w:rsidR="008D6614" w14:paraId="64A88853" w14:textId="77777777">
        <w:trPr>
          <w:jc w:val="center"/>
        </w:trPr>
        <w:tc>
          <w:tcPr>
            <w:tcW w:w="0" w:type="auto"/>
            <w:gridSpan w:val="3"/>
            <w:shd w:val="clear" w:color="auto" w:fill="E2E2E2"/>
            <w:tcMar>
              <w:top w:w="40" w:type="dxa"/>
              <w:left w:w="495" w:type="dxa"/>
              <w:bottom w:w="40" w:type="dxa"/>
              <w:right w:w="20" w:type="dxa"/>
            </w:tcMar>
            <w:vAlign w:val="bottom"/>
          </w:tcPr>
          <w:p w14:paraId="64A88840" w14:textId="77777777" w:rsidR="008D6614" w:rsidRDefault="00866AF2">
            <w:pPr>
              <w:textAlignment w:val="bottom"/>
            </w:pPr>
            <w:r>
              <w:rPr>
                <w:rFonts w:ascii="Arial" w:eastAsia="宋体" w:hAnsi="Arial" w:cs="Arial"/>
                <w:color w:val="000000"/>
                <w:sz w:val="18"/>
                <w:szCs w:val="18"/>
              </w:rPr>
              <w:t>Foreign currency translation gains (losses)</w:t>
            </w:r>
          </w:p>
        </w:tc>
        <w:tc>
          <w:tcPr>
            <w:tcW w:w="0" w:type="auto"/>
            <w:shd w:val="clear" w:color="auto" w:fill="auto"/>
            <w:vAlign w:val="center"/>
          </w:tcPr>
          <w:p w14:paraId="64A88841" w14:textId="77777777" w:rsidR="008D6614" w:rsidRDefault="008D6614">
            <w:pPr>
              <w:rPr>
                <w:rFonts w:ascii="宋体"/>
                <w:vanish/>
              </w:rPr>
            </w:pPr>
          </w:p>
        </w:tc>
        <w:tc>
          <w:tcPr>
            <w:tcW w:w="0" w:type="auto"/>
            <w:shd w:val="clear" w:color="auto" w:fill="auto"/>
            <w:vAlign w:val="center"/>
          </w:tcPr>
          <w:p w14:paraId="64A88842" w14:textId="77777777" w:rsidR="008D6614" w:rsidRDefault="008D6614">
            <w:pPr>
              <w:rPr>
                <w:rFonts w:ascii="宋体"/>
                <w:vanish/>
              </w:rPr>
            </w:pPr>
          </w:p>
        </w:tc>
        <w:tc>
          <w:tcPr>
            <w:tcW w:w="0" w:type="auto"/>
            <w:shd w:val="clear" w:color="auto" w:fill="auto"/>
            <w:vAlign w:val="center"/>
          </w:tcPr>
          <w:p w14:paraId="64A88843"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844"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845" w14:textId="77777777" w:rsidR="008D6614" w:rsidRDefault="00866AF2">
            <w:pPr>
              <w:jc w:val="right"/>
              <w:textAlignment w:val="bottom"/>
            </w:pPr>
            <w:r>
              <w:rPr>
                <w:rFonts w:ascii="Arial" w:eastAsia="宋体" w:hAnsi="Arial" w:cs="Arial"/>
                <w:color w:val="000000"/>
                <w:sz w:val="18"/>
                <w:szCs w:val="18"/>
              </w:rPr>
              <w:t>(113)</w:t>
            </w:r>
          </w:p>
        </w:tc>
        <w:tc>
          <w:tcPr>
            <w:tcW w:w="0" w:type="auto"/>
            <w:shd w:val="clear" w:color="auto" w:fill="E2E2E2"/>
            <w:tcMar>
              <w:top w:w="40" w:type="dxa"/>
              <w:bottom w:w="40" w:type="dxa"/>
              <w:right w:w="20" w:type="dxa"/>
            </w:tcMar>
            <w:vAlign w:val="bottom"/>
          </w:tcPr>
          <w:p w14:paraId="64A8884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84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848" w14:textId="77777777" w:rsidR="008D6614" w:rsidRDefault="00866AF2">
            <w:pPr>
              <w:jc w:val="right"/>
              <w:textAlignment w:val="bottom"/>
            </w:pPr>
            <w:r>
              <w:rPr>
                <w:rFonts w:ascii="Arial" w:eastAsia="宋体" w:hAnsi="Arial" w:cs="Arial"/>
                <w:color w:val="000000"/>
                <w:sz w:val="18"/>
                <w:szCs w:val="18"/>
              </w:rPr>
              <w:t>(32)</w:t>
            </w:r>
          </w:p>
        </w:tc>
        <w:tc>
          <w:tcPr>
            <w:tcW w:w="0" w:type="auto"/>
            <w:shd w:val="clear" w:color="auto" w:fill="E2E2E2"/>
            <w:tcMar>
              <w:top w:w="40" w:type="dxa"/>
              <w:bottom w:w="40" w:type="dxa"/>
              <w:right w:w="20" w:type="dxa"/>
            </w:tcMar>
            <w:vAlign w:val="bottom"/>
          </w:tcPr>
          <w:p w14:paraId="64A8884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84A" w14:textId="77777777" w:rsidR="008D6614" w:rsidRDefault="008D6614">
            <w:pPr>
              <w:rPr>
                <w:rFonts w:ascii="宋体"/>
              </w:rPr>
            </w:pPr>
          </w:p>
        </w:tc>
        <w:tc>
          <w:tcPr>
            <w:tcW w:w="0" w:type="auto"/>
            <w:shd w:val="clear" w:color="auto" w:fill="auto"/>
            <w:vAlign w:val="center"/>
          </w:tcPr>
          <w:p w14:paraId="64A8884B" w14:textId="77777777" w:rsidR="008D6614" w:rsidRDefault="008D6614">
            <w:pPr>
              <w:rPr>
                <w:rFonts w:ascii="宋体"/>
              </w:rPr>
            </w:pPr>
          </w:p>
        </w:tc>
        <w:tc>
          <w:tcPr>
            <w:tcW w:w="0" w:type="auto"/>
            <w:shd w:val="clear" w:color="auto" w:fill="auto"/>
            <w:vAlign w:val="center"/>
          </w:tcPr>
          <w:p w14:paraId="64A8884C" w14:textId="77777777" w:rsidR="008D6614" w:rsidRDefault="008D6614">
            <w:pPr>
              <w:rPr>
                <w:rFonts w:ascii="宋体"/>
              </w:rPr>
            </w:pPr>
          </w:p>
        </w:tc>
        <w:tc>
          <w:tcPr>
            <w:tcW w:w="0" w:type="auto"/>
            <w:shd w:val="clear" w:color="auto" w:fill="auto"/>
            <w:vAlign w:val="center"/>
          </w:tcPr>
          <w:p w14:paraId="64A8884D" w14:textId="77777777" w:rsidR="008D6614" w:rsidRDefault="008D6614">
            <w:pPr>
              <w:rPr>
                <w:rFonts w:ascii="宋体"/>
              </w:rPr>
            </w:pPr>
          </w:p>
        </w:tc>
        <w:tc>
          <w:tcPr>
            <w:tcW w:w="0" w:type="auto"/>
            <w:shd w:val="clear" w:color="auto" w:fill="auto"/>
            <w:vAlign w:val="center"/>
          </w:tcPr>
          <w:p w14:paraId="64A8884E" w14:textId="77777777" w:rsidR="008D6614" w:rsidRDefault="008D6614">
            <w:pPr>
              <w:rPr>
                <w:rFonts w:ascii="宋体"/>
              </w:rPr>
            </w:pPr>
          </w:p>
        </w:tc>
        <w:tc>
          <w:tcPr>
            <w:tcW w:w="0" w:type="auto"/>
            <w:shd w:val="clear" w:color="auto" w:fill="auto"/>
            <w:vAlign w:val="center"/>
          </w:tcPr>
          <w:p w14:paraId="64A8884F" w14:textId="77777777" w:rsidR="008D6614" w:rsidRDefault="008D6614">
            <w:pPr>
              <w:rPr>
                <w:rFonts w:ascii="宋体"/>
              </w:rPr>
            </w:pPr>
          </w:p>
        </w:tc>
        <w:tc>
          <w:tcPr>
            <w:tcW w:w="0" w:type="auto"/>
            <w:shd w:val="clear" w:color="auto" w:fill="auto"/>
            <w:vAlign w:val="center"/>
          </w:tcPr>
          <w:p w14:paraId="64A88850" w14:textId="77777777" w:rsidR="008D6614" w:rsidRDefault="008D6614">
            <w:pPr>
              <w:rPr>
                <w:rFonts w:ascii="宋体"/>
              </w:rPr>
            </w:pPr>
          </w:p>
        </w:tc>
        <w:tc>
          <w:tcPr>
            <w:tcW w:w="0" w:type="auto"/>
            <w:shd w:val="clear" w:color="auto" w:fill="auto"/>
            <w:vAlign w:val="center"/>
          </w:tcPr>
          <w:p w14:paraId="64A88851" w14:textId="77777777" w:rsidR="008D6614" w:rsidRDefault="008D6614">
            <w:pPr>
              <w:rPr>
                <w:rFonts w:ascii="宋体"/>
              </w:rPr>
            </w:pPr>
          </w:p>
        </w:tc>
        <w:tc>
          <w:tcPr>
            <w:tcW w:w="0" w:type="auto"/>
            <w:shd w:val="clear" w:color="auto" w:fill="auto"/>
            <w:vAlign w:val="center"/>
          </w:tcPr>
          <w:p w14:paraId="64A88852" w14:textId="77777777" w:rsidR="008D6614" w:rsidRDefault="008D6614">
            <w:pPr>
              <w:rPr>
                <w:rFonts w:ascii="宋体"/>
              </w:rPr>
            </w:pPr>
          </w:p>
        </w:tc>
      </w:tr>
      <w:tr w:rsidR="008D6614" w14:paraId="64A88867" w14:textId="77777777">
        <w:trPr>
          <w:jc w:val="center"/>
        </w:trPr>
        <w:tc>
          <w:tcPr>
            <w:tcW w:w="0" w:type="auto"/>
            <w:gridSpan w:val="3"/>
            <w:shd w:val="clear" w:color="auto" w:fill="FFFFFF"/>
            <w:tcMar>
              <w:top w:w="40" w:type="dxa"/>
              <w:left w:w="495" w:type="dxa"/>
              <w:bottom w:w="40" w:type="dxa"/>
              <w:right w:w="20" w:type="dxa"/>
            </w:tcMar>
            <w:vAlign w:val="bottom"/>
          </w:tcPr>
          <w:p w14:paraId="64A88854" w14:textId="77777777" w:rsidR="008D6614" w:rsidRDefault="00866AF2">
            <w:pPr>
              <w:textAlignment w:val="bottom"/>
            </w:pPr>
            <w:r>
              <w:rPr>
                <w:rFonts w:ascii="Arial" w:eastAsia="宋体" w:hAnsi="Arial" w:cs="Arial"/>
                <w:color w:val="000000"/>
                <w:sz w:val="18"/>
                <w:szCs w:val="18"/>
              </w:rPr>
              <w:t>Unrealized gains (losses) on investments, net</w:t>
            </w:r>
          </w:p>
        </w:tc>
        <w:tc>
          <w:tcPr>
            <w:tcW w:w="0" w:type="auto"/>
            <w:shd w:val="clear" w:color="auto" w:fill="auto"/>
            <w:vAlign w:val="center"/>
          </w:tcPr>
          <w:p w14:paraId="64A88855" w14:textId="77777777" w:rsidR="008D6614" w:rsidRDefault="008D6614">
            <w:pPr>
              <w:rPr>
                <w:rFonts w:ascii="宋体"/>
                <w:vanish/>
              </w:rPr>
            </w:pPr>
          </w:p>
        </w:tc>
        <w:tc>
          <w:tcPr>
            <w:tcW w:w="0" w:type="auto"/>
            <w:shd w:val="clear" w:color="auto" w:fill="auto"/>
            <w:vAlign w:val="center"/>
          </w:tcPr>
          <w:p w14:paraId="64A88856" w14:textId="77777777" w:rsidR="008D6614" w:rsidRDefault="008D6614">
            <w:pPr>
              <w:rPr>
                <w:rFonts w:ascii="宋体"/>
                <w:vanish/>
              </w:rPr>
            </w:pPr>
          </w:p>
        </w:tc>
        <w:tc>
          <w:tcPr>
            <w:tcW w:w="0" w:type="auto"/>
            <w:shd w:val="clear" w:color="auto" w:fill="auto"/>
            <w:vAlign w:val="center"/>
          </w:tcPr>
          <w:p w14:paraId="64A88857"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85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859" w14:textId="77777777" w:rsidR="008D6614" w:rsidRDefault="00866AF2">
            <w:pPr>
              <w:jc w:val="right"/>
              <w:textAlignment w:val="bottom"/>
            </w:pPr>
            <w:r>
              <w:rPr>
                <w:rFonts w:ascii="Arial" w:eastAsia="宋体" w:hAnsi="Arial" w:cs="Arial"/>
                <w:color w:val="000000"/>
                <w:sz w:val="18"/>
                <w:szCs w:val="18"/>
              </w:rPr>
              <w:t>(31)</w:t>
            </w:r>
          </w:p>
        </w:tc>
        <w:tc>
          <w:tcPr>
            <w:tcW w:w="0" w:type="auto"/>
            <w:shd w:val="clear" w:color="auto" w:fill="FFFFFF"/>
            <w:tcMar>
              <w:top w:w="40" w:type="dxa"/>
              <w:bottom w:w="40" w:type="dxa"/>
              <w:right w:w="20" w:type="dxa"/>
            </w:tcMar>
            <w:vAlign w:val="bottom"/>
          </w:tcPr>
          <w:p w14:paraId="64A8885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85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85C" w14:textId="77777777" w:rsidR="008D6614" w:rsidRDefault="00866AF2">
            <w:pPr>
              <w:jc w:val="right"/>
              <w:textAlignment w:val="bottom"/>
            </w:pPr>
            <w:r>
              <w:rPr>
                <w:rFonts w:ascii="Arial" w:eastAsia="宋体" w:hAnsi="Arial" w:cs="Arial"/>
                <w:color w:val="000000"/>
                <w:sz w:val="18"/>
                <w:szCs w:val="18"/>
              </w:rPr>
              <w:t>40 </w:t>
            </w:r>
          </w:p>
        </w:tc>
        <w:tc>
          <w:tcPr>
            <w:tcW w:w="0" w:type="auto"/>
            <w:shd w:val="clear" w:color="auto" w:fill="FFFFFF"/>
            <w:tcMar>
              <w:top w:w="40" w:type="dxa"/>
              <w:bottom w:w="40" w:type="dxa"/>
              <w:right w:w="20" w:type="dxa"/>
            </w:tcMar>
            <w:vAlign w:val="bottom"/>
          </w:tcPr>
          <w:p w14:paraId="64A8885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85E" w14:textId="77777777" w:rsidR="008D6614" w:rsidRDefault="008D6614">
            <w:pPr>
              <w:rPr>
                <w:rFonts w:ascii="宋体"/>
              </w:rPr>
            </w:pPr>
          </w:p>
        </w:tc>
        <w:tc>
          <w:tcPr>
            <w:tcW w:w="0" w:type="auto"/>
            <w:shd w:val="clear" w:color="auto" w:fill="auto"/>
            <w:vAlign w:val="center"/>
          </w:tcPr>
          <w:p w14:paraId="64A8885F" w14:textId="77777777" w:rsidR="008D6614" w:rsidRDefault="008D6614">
            <w:pPr>
              <w:rPr>
                <w:rFonts w:ascii="宋体"/>
              </w:rPr>
            </w:pPr>
          </w:p>
        </w:tc>
        <w:tc>
          <w:tcPr>
            <w:tcW w:w="0" w:type="auto"/>
            <w:shd w:val="clear" w:color="auto" w:fill="auto"/>
            <w:vAlign w:val="center"/>
          </w:tcPr>
          <w:p w14:paraId="64A88860" w14:textId="77777777" w:rsidR="008D6614" w:rsidRDefault="008D6614">
            <w:pPr>
              <w:rPr>
                <w:rFonts w:ascii="宋体"/>
              </w:rPr>
            </w:pPr>
          </w:p>
        </w:tc>
        <w:tc>
          <w:tcPr>
            <w:tcW w:w="0" w:type="auto"/>
            <w:shd w:val="clear" w:color="auto" w:fill="auto"/>
            <w:vAlign w:val="center"/>
          </w:tcPr>
          <w:p w14:paraId="64A88861" w14:textId="77777777" w:rsidR="008D6614" w:rsidRDefault="008D6614">
            <w:pPr>
              <w:rPr>
                <w:rFonts w:ascii="宋体"/>
              </w:rPr>
            </w:pPr>
          </w:p>
        </w:tc>
        <w:tc>
          <w:tcPr>
            <w:tcW w:w="0" w:type="auto"/>
            <w:shd w:val="clear" w:color="auto" w:fill="auto"/>
            <w:vAlign w:val="center"/>
          </w:tcPr>
          <w:p w14:paraId="64A88862" w14:textId="77777777" w:rsidR="008D6614" w:rsidRDefault="008D6614">
            <w:pPr>
              <w:rPr>
                <w:rFonts w:ascii="宋体"/>
              </w:rPr>
            </w:pPr>
          </w:p>
        </w:tc>
        <w:tc>
          <w:tcPr>
            <w:tcW w:w="0" w:type="auto"/>
            <w:shd w:val="clear" w:color="auto" w:fill="auto"/>
            <w:vAlign w:val="center"/>
          </w:tcPr>
          <w:p w14:paraId="64A88863" w14:textId="77777777" w:rsidR="008D6614" w:rsidRDefault="008D6614">
            <w:pPr>
              <w:rPr>
                <w:rFonts w:ascii="宋体"/>
              </w:rPr>
            </w:pPr>
          </w:p>
        </w:tc>
        <w:tc>
          <w:tcPr>
            <w:tcW w:w="0" w:type="auto"/>
            <w:shd w:val="clear" w:color="auto" w:fill="auto"/>
            <w:vAlign w:val="center"/>
          </w:tcPr>
          <w:p w14:paraId="64A88864" w14:textId="77777777" w:rsidR="008D6614" w:rsidRDefault="008D6614">
            <w:pPr>
              <w:rPr>
                <w:rFonts w:ascii="宋体"/>
              </w:rPr>
            </w:pPr>
          </w:p>
        </w:tc>
        <w:tc>
          <w:tcPr>
            <w:tcW w:w="0" w:type="auto"/>
            <w:shd w:val="clear" w:color="auto" w:fill="auto"/>
            <w:vAlign w:val="center"/>
          </w:tcPr>
          <w:p w14:paraId="64A88865" w14:textId="77777777" w:rsidR="008D6614" w:rsidRDefault="008D6614">
            <w:pPr>
              <w:rPr>
                <w:rFonts w:ascii="宋体"/>
              </w:rPr>
            </w:pPr>
          </w:p>
        </w:tc>
        <w:tc>
          <w:tcPr>
            <w:tcW w:w="0" w:type="auto"/>
            <w:shd w:val="clear" w:color="auto" w:fill="auto"/>
            <w:vAlign w:val="center"/>
          </w:tcPr>
          <w:p w14:paraId="64A88866" w14:textId="77777777" w:rsidR="008D6614" w:rsidRDefault="008D6614">
            <w:pPr>
              <w:rPr>
                <w:rFonts w:ascii="宋体"/>
              </w:rPr>
            </w:pPr>
          </w:p>
        </w:tc>
      </w:tr>
      <w:tr w:rsidR="008D6614" w14:paraId="64A8887B" w14:textId="77777777">
        <w:trPr>
          <w:jc w:val="center"/>
        </w:trPr>
        <w:tc>
          <w:tcPr>
            <w:tcW w:w="0" w:type="auto"/>
            <w:gridSpan w:val="3"/>
            <w:shd w:val="clear" w:color="auto" w:fill="E2E2E2"/>
            <w:tcMar>
              <w:top w:w="40" w:type="dxa"/>
              <w:left w:w="495" w:type="dxa"/>
              <w:bottom w:w="40" w:type="dxa"/>
              <w:right w:w="20" w:type="dxa"/>
            </w:tcMar>
            <w:vAlign w:val="bottom"/>
          </w:tcPr>
          <w:p w14:paraId="64A88868" w14:textId="77777777" w:rsidR="008D6614" w:rsidRDefault="00866AF2">
            <w:pPr>
              <w:textAlignment w:val="bottom"/>
            </w:pPr>
            <w:r>
              <w:rPr>
                <w:rFonts w:ascii="Arial" w:eastAsia="宋体" w:hAnsi="Arial" w:cs="Arial"/>
                <w:color w:val="000000"/>
                <w:sz w:val="18"/>
                <w:szCs w:val="18"/>
              </w:rPr>
              <w:t xml:space="preserve">Tax </w:t>
            </w:r>
            <w:r>
              <w:rPr>
                <w:rFonts w:ascii="Arial" w:eastAsia="宋体" w:hAnsi="Arial" w:cs="Arial"/>
                <w:color w:val="000000"/>
                <w:sz w:val="18"/>
                <w:szCs w:val="18"/>
              </w:rPr>
              <w:t>benefit (expense) on unrealized gains (losses) on investments, net</w:t>
            </w:r>
          </w:p>
        </w:tc>
        <w:tc>
          <w:tcPr>
            <w:tcW w:w="0" w:type="auto"/>
            <w:shd w:val="clear" w:color="auto" w:fill="auto"/>
            <w:vAlign w:val="center"/>
          </w:tcPr>
          <w:p w14:paraId="64A88869" w14:textId="77777777" w:rsidR="008D6614" w:rsidRDefault="008D6614">
            <w:pPr>
              <w:rPr>
                <w:rFonts w:ascii="宋体"/>
                <w:vanish/>
              </w:rPr>
            </w:pPr>
          </w:p>
        </w:tc>
        <w:tc>
          <w:tcPr>
            <w:tcW w:w="0" w:type="auto"/>
            <w:shd w:val="clear" w:color="auto" w:fill="auto"/>
            <w:vAlign w:val="center"/>
          </w:tcPr>
          <w:p w14:paraId="64A8886A" w14:textId="77777777" w:rsidR="008D6614" w:rsidRDefault="008D6614">
            <w:pPr>
              <w:rPr>
                <w:rFonts w:ascii="宋体"/>
                <w:vanish/>
              </w:rPr>
            </w:pPr>
          </w:p>
        </w:tc>
        <w:tc>
          <w:tcPr>
            <w:tcW w:w="0" w:type="auto"/>
            <w:shd w:val="clear" w:color="auto" w:fill="auto"/>
            <w:vAlign w:val="center"/>
          </w:tcPr>
          <w:p w14:paraId="64A8886B"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86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86D" w14:textId="77777777" w:rsidR="008D6614" w:rsidRDefault="00866AF2">
            <w:pPr>
              <w:jc w:val="right"/>
              <w:textAlignment w:val="bottom"/>
            </w:pPr>
            <w:r>
              <w:rPr>
                <w:rFonts w:ascii="Arial" w:eastAsia="宋体" w:hAnsi="Arial" w:cs="Arial"/>
                <w:color w:val="000000"/>
                <w:sz w:val="18"/>
                <w:szCs w:val="18"/>
              </w:rPr>
              <w:t>8 </w:t>
            </w:r>
          </w:p>
        </w:tc>
        <w:tc>
          <w:tcPr>
            <w:tcW w:w="0" w:type="auto"/>
            <w:shd w:val="clear" w:color="auto" w:fill="E2E2E2"/>
            <w:tcMar>
              <w:top w:w="40" w:type="dxa"/>
              <w:bottom w:w="40" w:type="dxa"/>
              <w:right w:w="20" w:type="dxa"/>
            </w:tcMar>
            <w:vAlign w:val="bottom"/>
          </w:tcPr>
          <w:p w14:paraId="64A8886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86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870" w14:textId="77777777" w:rsidR="008D6614" w:rsidRDefault="00866AF2">
            <w:pPr>
              <w:jc w:val="right"/>
              <w:textAlignment w:val="bottom"/>
            </w:pPr>
            <w:r>
              <w:rPr>
                <w:rFonts w:ascii="Arial" w:eastAsia="宋体" w:hAnsi="Arial" w:cs="Arial"/>
                <w:color w:val="000000"/>
                <w:sz w:val="18"/>
                <w:szCs w:val="18"/>
              </w:rPr>
              <w:t>(10)</w:t>
            </w:r>
          </w:p>
        </w:tc>
        <w:tc>
          <w:tcPr>
            <w:tcW w:w="0" w:type="auto"/>
            <w:shd w:val="clear" w:color="auto" w:fill="E2E2E2"/>
            <w:tcMar>
              <w:top w:w="40" w:type="dxa"/>
              <w:bottom w:w="40" w:type="dxa"/>
              <w:right w:w="20" w:type="dxa"/>
            </w:tcMar>
            <w:vAlign w:val="bottom"/>
          </w:tcPr>
          <w:p w14:paraId="64A8887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872" w14:textId="77777777" w:rsidR="008D6614" w:rsidRDefault="008D6614">
            <w:pPr>
              <w:rPr>
                <w:rFonts w:ascii="宋体"/>
              </w:rPr>
            </w:pPr>
          </w:p>
        </w:tc>
        <w:tc>
          <w:tcPr>
            <w:tcW w:w="0" w:type="auto"/>
            <w:shd w:val="clear" w:color="auto" w:fill="auto"/>
            <w:vAlign w:val="center"/>
          </w:tcPr>
          <w:p w14:paraId="64A88873" w14:textId="77777777" w:rsidR="008D6614" w:rsidRDefault="008D6614">
            <w:pPr>
              <w:rPr>
                <w:rFonts w:ascii="宋体"/>
              </w:rPr>
            </w:pPr>
          </w:p>
        </w:tc>
        <w:tc>
          <w:tcPr>
            <w:tcW w:w="0" w:type="auto"/>
            <w:shd w:val="clear" w:color="auto" w:fill="auto"/>
            <w:vAlign w:val="center"/>
          </w:tcPr>
          <w:p w14:paraId="64A88874" w14:textId="77777777" w:rsidR="008D6614" w:rsidRDefault="008D6614">
            <w:pPr>
              <w:rPr>
                <w:rFonts w:ascii="宋体"/>
              </w:rPr>
            </w:pPr>
          </w:p>
        </w:tc>
        <w:tc>
          <w:tcPr>
            <w:tcW w:w="0" w:type="auto"/>
            <w:shd w:val="clear" w:color="auto" w:fill="auto"/>
            <w:vAlign w:val="center"/>
          </w:tcPr>
          <w:p w14:paraId="64A88875" w14:textId="77777777" w:rsidR="008D6614" w:rsidRDefault="008D6614">
            <w:pPr>
              <w:rPr>
                <w:rFonts w:ascii="宋体"/>
              </w:rPr>
            </w:pPr>
          </w:p>
        </w:tc>
        <w:tc>
          <w:tcPr>
            <w:tcW w:w="0" w:type="auto"/>
            <w:shd w:val="clear" w:color="auto" w:fill="auto"/>
            <w:vAlign w:val="center"/>
          </w:tcPr>
          <w:p w14:paraId="64A88876" w14:textId="77777777" w:rsidR="008D6614" w:rsidRDefault="008D6614">
            <w:pPr>
              <w:rPr>
                <w:rFonts w:ascii="宋体"/>
              </w:rPr>
            </w:pPr>
          </w:p>
        </w:tc>
        <w:tc>
          <w:tcPr>
            <w:tcW w:w="0" w:type="auto"/>
            <w:shd w:val="clear" w:color="auto" w:fill="auto"/>
            <w:vAlign w:val="center"/>
          </w:tcPr>
          <w:p w14:paraId="64A88877" w14:textId="77777777" w:rsidR="008D6614" w:rsidRDefault="008D6614">
            <w:pPr>
              <w:rPr>
                <w:rFonts w:ascii="宋体"/>
              </w:rPr>
            </w:pPr>
          </w:p>
        </w:tc>
        <w:tc>
          <w:tcPr>
            <w:tcW w:w="0" w:type="auto"/>
            <w:shd w:val="clear" w:color="auto" w:fill="auto"/>
            <w:vAlign w:val="center"/>
          </w:tcPr>
          <w:p w14:paraId="64A88878" w14:textId="77777777" w:rsidR="008D6614" w:rsidRDefault="008D6614">
            <w:pPr>
              <w:rPr>
                <w:rFonts w:ascii="宋体"/>
              </w:rPr>
            </w:pPr>
          </w:p>
        </w:tc>
        <w:tc>
          <w:tcPr>
            <w:tcW w:w="0" w:type="auto"/>
            <w:shd w:val="clear" w:color="auto" w:fill="auto"/>
            <w:vAlign w:val="center"/>
          </w:tcPr>
          <w:p w14:paraId="64A88879" w14:textId="77777777" w:rsidR="008D6614" w:rsidRDefault="008D6614">
            <w:pPr>
              <w:rPr>
                <w:rFonts w:ascii="宋体"/>
              </w:rPr>
            </w:pPr>
          </w:p>
        </w:tc>
        <w:tc>
          <w:tcPr>
            <w:tcW w:w="0" w:type="auto"/>
            <w:shd w:val="clear" w:color="auto" w:fill="auto"/>
            <w:vAlign w:val="center"/>
          </w:tcPr>
          <w:p w14:paraId="64A8887A" w14:textId="77777777" w:rsidR="008D6614" w:rsidRDefault="008D6614">
            <w:pPr>
              <w:rPr>
                <w:rFonts w:ascii="宋体"/>
              </w:rPr>
            </w:pPr>
          </w:p>
        </w:tc>
      </w:tr>
      <w:tr w:rsidR="008D6614" w14:paraId="64A8888F" w14:textId="77777777">
        <w:trPr>
          <w:jc w:val="center"/>
        </w:trPr>
        <w:tc>
          <w:tcPr>
            <w:tcW w:w="0" w:type="auto"/>
            <w:gridSpan w:val="3"/>
            <w:shd w:val="clear" w:color="auto" w:fill="FFFFFF"/>
            <w:tcMar>
              <w:top w:w="40" w:type="dxa"/>
              <w:left w:w="495" w:type="dxa"/>
              <w:bottom w:w="40" w:type="dxa"/>
              <w:right w:w="20" w:type="dxa"/>
            </w:tcMar>
            <w:vAlign w:val="bottom"/>
          </w:tcPr>
          <w:p w14:paraId="64A8887C" w14:textId="77777777" w:rsidR="008D6614" w:rsidRDefault="00866AF2">
            <w:pPr>
              <w:textAlignment w:val="bottom"/>
            </w:pPr>
            <w:r>
              <w:rPr>
                <w:rFonts w:ascii="Arial" w:eastAsia="宋体" w:hAnsi="Arial" w:cs="Arial"/>
                <w:color w:val="000000"/>
                <w:sz w:val="18"/>
                <w:szCs w:val="18"/>
              </w:rPr>
              <w:t>Unrealized gains (losses) on hedging activities, net</w:t>
            </w:r>
          </w:p>
        </w:tc>
        <w:tc>
          <w:tcPr>
            <w:tcW w:w="0" w:type="auto"/>
            <w:shd w:val="clear" w:color="auto" w:fill="auto"/>
            <w:vAlign w:val="center"/>
          </w:tcPr>
          <w:p w14:paraId="64A8887D" w14:textId="77777777" w:rsidR="008D6614" w:rsidRDefault="008D6614">
            <w:pPr>
              <w:rPr>
                <w:rFonts w:ascii="宋体"/>
                <w:vanish/>
              </w:rPr>
            </w:pPr>
          </w:p>
        </w:tc>
        <w:tc>
          <w:tcPr>
            <w:tcW w:w="0" w:type="auto"/>
            <w:shd w:val="clear" w:color="auto" w:fill="auto"/>
            <w:vAlign w:val="center"/>
          </w:tcPr>
          <w:p w14:paraId="64A8887E" w14:textId="77777777" w:rsidR="008D6614" w:rsidRDefault="008D6614">
            <w:pPr>
              <w:rPr>
                <w:rFonts w:ascii="宋体"/>
                <w:vanish/>
              </w:rPr>
            </w:pPr>
          </w:p>
        </w:tc>
        <w:tc>
          <w:tcPr>
            <w:tcW w:w="0" w:type="auto"/>
            <w:shd w:val="clear" w:color="auto" w:fill="auto"/>
            <w:vAlign w:val="center"/>
          </w:tcPr>
          <w:p w14:paraId="64A8887F"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88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881" w14:textId="77777777" w:rsidR="008D6614" w:rsidRDefault="00866AF2">
            <w:pPr>
              <w:jc w:val="right"/>
              <w:textAlignment w:val="bottom"/>
            </w:pPr>
            <w:r>
              <w:rPr>
                <w:rFonts w:ascii="Arial" w:eastAsia="宋体" w:hAnsi="Arial" w:cs="Arial"/>
                <w:color w:val="000000"/>
                <w:sz w:val="18"/>
                <w:szCs w:val="18"/>
              </w:rPr>
              <w:t>47 </w:t>
            </w:r>
          </w:p>
        </w:tc>
        <w:tc>
          <w:tcPr>
            <w:tcW w:w="0" w:type="auto"/>
            <w:shd w:val="clear" w:color="auto" w:fill="FFFFFF"/>
            <w:tcMar>
              <w:top w:w="40" w:type="dxa"/>
              <w:bottom w:w="40" w:type="dxa"/>
              <w:right w:w="20" w:type="dxa"/>
            </w:tcMar>
            <w:vAlign w:val="bottom"/>
          </w:tcPr>
          <w:p w14:paraId="64A8888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88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884" w14:textId="77777777" w:rsidR="008D6614" w:rsidRDefault="00866AF2">
            <w:pPr>
              <w:jc w:val="right"/>
              <w:textAlignment w:val="bottom"/>
            </w:pPr>
            <w:r>
              <w:rPr>
                <w:rFonts w:ascii="Arial" w:eastAsia="宋体" w:hAnsi="Arial" w:cs="Arial"/>
                <w:color w:val="000000"/>
                <w:sz w:val="18"/>
                <w:szCs w:val="18"/>
              </w:rPr>
              <w:t>(41)</w:t>
            </w:r>
          </w:p>
        </w:tc>
        <w:tc>
          <w:tcPr>
            <w:tcW w:w="0" w:type="auto"/>
            <w:shd w:val="clear" w:color="auto" w:fill="FFFFFF"/>
            <w:tcMar>
              <w:top w:w="40" w:type="dxa"/>
              <w:bottom w:w="40" w:type="dxa"/>
              <w:right w:w="20" w:type="dxa"/>
            </w:tcMar>
            <w:vAlign w:val="bottom"/>
          </w:tcPr>
          <w:p w14:paraId="64A8888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886" w14:textId="77777777" w:rsidR="008D6614" w:rsidRDefault="008D6614">
            <w:pPr>
              <w:rPr>
                <w:rFonts w:ascii="宋体"/>
              </w:rPr>
            </w:pPr>
          </w:p>
        </w:tc>
        <w:tc>
          <w:tcPr>
            <w:tcW w:w="0" w:type="auto"/>
            <w:shd w:val="clear" w:color="auto" w:fill="auto"/>
            <w:vAlign w:val="center"/>
          </w:tcPr>
          <w:p w14:paraId="64A88887" w14:textId="77777777" w:rsidR="008D6614" w:rsidRDefault="008D6614">
            <w:pPr>
              <w:rPr>
                <w:rFonts w:ascii="宋体"/>
              </w:rPr>
            </w:pPr>
          </w:p>
        </w:tc>
        <w:tc>
          <w:tcPr>
            <w:tcW w:w="0" w:type="auto"/>
            <w:shd w:val="clear" w:color="auto" w:fill="auto"/>
            <w:vAlign w:val="center"/>
          </w:tcPr>
          <w:p w14:paraId="64A88888" w14:textId="77777777" w:rsidR="008D6614" w:rsidRDefault="008D6614">
            <w:pPr>
              <w:rPr>
                <w:rFonts w:ascii="宋体"/>
              </w:rPr>
            </w:pPr>
          </w:p>
        </w:tc>
        <w:tc>
          <w:tcPr>
            <w:tcW w:w="0" w:type="auto"/>
            <w:shd w:val="clear" w:color="auto" w:fill="auto"/>
            <w:vAlign w:val="center"/>
          </w:tcPr>
          <w:p w14:paraId="64A88889" w14:textId="77777777" w:rsidR="008D6614" w:rsidRDefault="008D6614">
            <w:pPr>
              <w:rPr>
                <w:rFonts w:ascii="宋体"/>
              </w:rPr>
            </w:pPr>
          </w:p>
        </w:tc>
        <w:tc>
          <w:tcPr>
            <w:tcW w:w="0" w:type="auto"/>
            <w:shd w:val="clear" w:color="auto" w:fill="auto"/>
            <w:vAlign w:val="center"/>
          </w:tcPr>
          <w:p w14:paraId="64A8888A" w14:textId="77777777" w:rsidR="008D6614" w:rsidRDefault="008D6614">
            <w:pPr>
              <w:rPr>
                <w:rFonts w:ascii="宋体"/>
              </w:rPr>
            </w:pPr>
          </w:p>
        </w:tc>
        <w:tc>
          <w:tcPr>
            <w:tcW w:w="0" w:type="auto"/>
            <w:shd w:val="clear" w:color="auto" w:fill="auto"/>
            <w:vAlign w:val="center"/>
          </w:tcPr>
          <w:p w14:paraId="64A8888B" w14:textId="77777777" w:rsidR="008D6614" w:rsidRDefault="008D6614">
            <w:pPr>
              <w:rPr>
                <w:rFonts w:ascii="宋体"/>
              </w:rPr>
            </w:pPr>
          </w:p>
        </w:tc>
        <w:tc>
          <w:tcPr>
            <w:tcW w:w="0" w:type="auto"/>
            <w:shd w:val="clear" w:color="auto" w:fill="auto"/>
            <w:vAlign w:val="center"/>
          </w:tcPr>
          <w:p w14:paraId="64A8888C" w14:textId="77777777" w:rsidR="008D6614" w:rsidRDefault="008D6614">
            <w:pPr>
              <w:rPr>
                <w:rFonts w:ascii="宋体"/>
              </w:rPr>
            </w:pPr>
          </w:p>
        </w:tc>
        <w:tc>
          <w:tcPr>
            <w:tcW w:w="0" w:type="auto"/>
            <w:shd w:val="clear" w:color="auto" w:fill="auto"/>
            <w:vAlign w:val="center"/>
          </w:tcPr>
          <w:p w14:paraId="64A8888D" w14:textId="77777777" w:rsidR="008D6614" w:rsidRDefault="008D6614">
            <w:pPr>
              <w:rPr>
                <w:rFonts w:ascii="宋体"/>
              </w:rPr>
            </w:pPr>
          </w:p>
        </w:tc>
        <w:tc>
          <w:tcPr>
            <w:tcW w:w="0" w:type="auto"/>
            <w:shd w:val="clear" w:color="auto" w:fill="auto"/>
            <w:vAlign w:val="center"/>
          </w:tcPr>
          <w:p w14:paraId="64A8888E" w14:textId="77777777" w:rsidR="008D6614" w:rsidRDefault="008D6614">
            <w:pPr>
              <w:rPr>
                <w:rFonts w:ascii="宋体"/>
              </w:rPr>
            </w:pPr>
          </w:p>
        </w:tc>
      </w:tr>
      <w:tr w:rsidR="008D6614" w14:paraId="64A888A3" w14:textId="77777777">
        <w:trPr>
          <w:jc w:val="center"/>
        </w:trPr>
        <w:tc>
          <w:tcPr>
            <w:tcW w:w="0" w:type="auto"/>
            <w:gridSpan w:val="3"/>
            <w:shd w:val="clear" w:color="auto" w:fill="E2E2E2"/>
            <w:tcMar>
              <w:top w:w="40" w:type="dxa"/>
              <w:left w:w="495" w:type="dxa"/>
              <w:bottom w:w="40" w:type="dxa"/>
              <w:right w:w="20" w:type="dxa"/>
            </w:tcMar>
            <w:vAlign w:val="bottom"/>
          </w:tcPr>
          <w:p w14:paraId="64A88890" w14:textId="77777777" w:rsidR="008D6614" w:rsidRDefault="00866AF2">
            <w:pPr>
              <w:textAlignment w:val="bottom"/>
            </w:pPr>
            <w:r>
              <w:rPr>
                <w:rFonts w:ascii="Arial" w:eastAsia="宋体" w:hAnsi="Arial" w:cs="Arial"/>
                <w:color w:val="000000"/>
                <w:sz w:val="18"/>
                <w:szCs w:val="18"/>
              </w:rPr>
              <w:t xml:space="preserve">Tax benefit (expense) on unrealized gains (losses) on hedging </w:t>
            </w:r>
            <w:r>
              <w:rPr>
                <w:rFonts w:ascii="Arial" w:eastAsia="宋体" w:hAnsi="Arial" w:cs="Arial"/>
                <w:color w:val="000000"/>
                <w:sz w:val="18"/>
                <w:szCs w:val="18"/>
              </w:rPr>
              <w:t>activities, net</w:t>
            </w:r>
          </w:p>
        </w:tc>
        <w:tc>
          <w:tcPr>
            <w:tcW w:w="0" w:type="auto"/>
            <w:shd w:val="clear" w:color="auto" w:fill="auto"/>
            <w:vAlign w:val="center"/>
          </w:tcPr>
          <w:p w14:paraId="64A88891" w14:textId="77777777" w:rsidR="008D6614" w:rsidRDefault="008D6614">
            <w:pPr>
              <w:rPr>
                <w:rFonts w:ascii="宋体"/>
                <w:vanish/>
              </w:rPr>
            </w:pPr>
          </w:p>
        </w:tc>
        <w:tc>
          <w:tcPr>
            <w:tcW w:w="0" w:type="auto"/>
            <w:shd w:val="clear" w:color="auto" w:fill="auto"/>
            <w:vAlign w:val="center"/>
          </w:tcPr>
          <w:p w14:paraId="64A88892" w14:textId="77777777" w:rsidR="008D6614" w:rsidRDefault="008D6614">
            <w:pPr>
              <w:rPr>
                <w:rFonts w:ascii="宋体"/>
                <w:vanish/>
              </w:rPr>
            </w:pPr>
          </w:p>
        </w:tc>
        <w:tc>
          <w:tcPr>
            <w:tcW w:w="0" w:type="auto"/>
            <w:shd w:val="clear" w:color="auto" w:fill="auto"/>
            <w:vAlign w:val="center"/>
          </w:tcPr>
          <w:p w14:paraId="64A88893"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894"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895" w14:textId="77777777" w:rsidR="008D6614" w:rsidRDefault="00866AF2">
            <w:pPr>
              <w:jc w:val="right"/>
              <w:textAlignment w:val="bottom"/>
            </w:pPr>
            <w:r>
              <w:rPr>
                <w:rFonts w:ascii="Arial" w:eastAsia="宋体" w:hAnsi="Arial" w:cs="Arial"/>
                <w:color w:val="000000"/>
                <w:sz w:val="18"/>
                <w:szCs w:val="18"/>
              </w:rPr>
              <w:t>(10)</w:t>
            </w:r>
          </w:p>
        </w:tc>
        <w:tc>
          <w:tcPr>
            <w:tcW w:w="0" w:type="auto"/>
            <w:shd w:val="clear" w:color="auto" w:fill="E2E2E2"/>
            <w:tcMar>
              <w:top w:w="40" w:type="dxa"/>
              <w:bottom w:w="40" w:type="dxa"/>
              <w:right w:w="20" w:type="dxa"/>
            </w:tcMar>
            <w:vAlign w:val="bottom"/>
          </w:tcPr>
          <w:p w14:paraId="64A8889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89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898" w14:textId="77777777" w:rsidR="008D6614" w:rsidRDefault="00866AF2">
            <w:pPr>
              <w:jc w:val="right"/>
              <w:textAlignment w:val="bottom"/>
            </w:pPr>
            <w:r>
              <w:rPr>
                <w:rFonts w:ascii="Arial" w:eastAsia="宋体" w:hAnsi="Arial" w:cs="Arial"/>
                <w:color w:val="000000"/>
                <w:sz w:val="18"/>
                <w:szCs w:val="18"/>
              </w:rPr>
              <w:t>9 </w:t>
            </w:r>
          </w:p>
        </w:tc>
        <w:tc>
          <w:tcPr>
            <w:tcW w:w="0" w:type="auto"/>
            <w:shd w:val="clear" w:color="auto" w:fill="E2E2E2"/>
            <w:tcMar>
              <w:top w:w="40" w:type="dxa"/>
              <w:bottom w:w="40" w:type="dxa"/>
              <w:right w:w="20" w:type="dxa"/>
            </w:tcMar>
            <w:vAlign w:val="bottom"/>
          </w:tcPr>
          <w:p w14:paraId="64A8889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89A" w14:textId="77777777" w:rsidR="008D6614" w:rsidRDefault="008D6614">
            <w:pPr>
              <w:rPr>
                <w:rFonts w:ascii="宋体"/>
              </w:rPr>
            </w:pPr>
          </w:p>
        </w:tc>
        <w:tc>
          <w:tcPr>
            <w:tcW w:w="0" w:type="auto"/>
            <w:shd w:val="clear" w:color="auto" w:fill="auto"/>
            <w:vAlign w:val="center"/>
          </w:tcPr>
          <w:p w14:paraId="64A8889B" w14:textId="77777777" w:rsidR="008D6614" w:rsidRDefault="008D6614">
            <w:pPr>
              <w:rPr>
                <w:rFonts w:ascii="宋体"/>
              </w:rPr>
            </w:pPr>
          </w:p>
        </w:tc>
        <w:tc>
          <w:tcPr>
            <w:tcW w:w="0" w:type="auto"/>
            <w:shd w:val="clear" w:color="auto" w:fill="auto"/>
            <w:vAlign w:val="center"/>
          </w:tcPr>
          <w:p w14:paraId="64A8889C" w14:textId="77777777" w:rsidR="008D6614" w:rsidRDefault="008D6614">
            <w:pPr>
              <w:rPr>
                <w:rFonts w:ascii="宋体"/>
              </w:rPr>
            </w:pPr>
          </w:p>
        </w:tc>
        <w:tc>
          <w:tcPr>
            <w:tcW w:w="0" w:type="auto"/>
            <w:shd w:val="clear" w:color="auto" w:fill="auto"/>
            <w:vAlign w:val="center"/>
          </w:tcPr>
          <w:p w14:paraId="64A8889D" w14:textId="77777777" w:rsidR="008D6614" w:rsidRDefault="008D6614">
            <w:pPr>
              <w:rPr>
                <w:rFonts w:ascii="宋体"/>
              </w:rPr>
            </w:pPr>
          </w:p>
        </w:tc>
        <w:tc>
          <w:tcPr>
            <w:tcW w:w="0" w:type="auto"/>
            <w:shd w:val="clear" w:color="auto" w:fill="auto"/>
            <w:vAlign w:val="center"/>
          </w:tcPr>
          <w:p w14:paraId="64A8889E" w14:textId="77777777" w:rsidR="008D6614" w:rsidRDefault="008D6614">
            <w:pPr>
              <w:rPr>
                <w:rFonts w:ascii="宋体"/>
              </w:rPr>
            </w:pPr>
          </w:p>
        </w:tc>
        <w:tc>
          <w:tcPr>
            <w:tcW w:w="0" w:type="auto"/>
            <w:shd w:val="clear" w:color="auto" w:fill="auto"/>
            <w:vAlign w:val="center"/>
          </w:tcPr>
          <w:p w14:paraId="64A8889F" w14:textId="77777777" w:rsidR="008D6614" w:rsidRDefault="008D6614">
            <w:pPr>
              <w:rPr>
                <w:rFonts w:ascii="宋体"/>
              </w:rPr>
            </w:pPr>
          </w:p>
        </w:tc>
        <w:tc>
          <w:tcPr>
            <w:tcW w:w="0" w:type="auto"/>
            <w:shd w:val="clear" w:color="auto" w:fill="auto"/>
            <w:vAlign w:val="center"/>
          </w:tcPr>
          <w:p w14:paraId="64A888A0" w14:textId="77777777" w:rsidR="008D6614" w:rsidRDefault="008D6614">
            <w:pPr>
              <w:rPr>
                <w:rFonts w:ascii="宋体"/>
              </w:rPr>
            </w:pPr>
          </w:p>
        </w:tc>
        <w:tc>
          <w:tcPr>
            <w:tcW w:w="0" w:type="auto"/>
            <w:shd w:val="clear" w:color="auto" w:fill="auto"/>
            <w:vAlign w:val="center"/>
          </w:tcPr>
          <w:p w14:paraId="64A888A1" w14:textId="77777777" w:rsidR="008D6614" w:rsidRDefault="008D6614">
            <w:pPr>
              <w:rPr>
                <w:rFonts w:ascii="宋体"/>
              </w:rPr>
            </w:pPr>
          </w:p>
        </w:tc>
        <w:tc>
          <w:tcPr>
            <w:tcW w:w="0" w:type="auto"/>
            <w:shd w:val="clear" w:color="auto" w:fill="auto"/>
            <w:vAlign w:val="center"/>
          </w:tcPr>
          <w:p w14:paraId="64A888A2" w14:textId="77777777" w:rsidR="008D6614" w:rsidRDefault="008D6614">
            <w:pPr>
              <w:rPr>
                <w:rFonts w:ascii="宋体"/>
              </w:rPr>
            </w:pPr>
          </w:p>
        </w:tc>
      </w:tr>
      <w:tr w:rsidR="008D6614" w14:paraId="64A888B7" w14:textId="77777777">
        <w:trPr>
          <w:jc w:val="center"/>
        </w:trPr>
        <w:tc>
          <w:tcPr>
            <w:tcW w:w="0" w:type="auto"/>
            <w:gridSpan w:val="3"/>
            <w:shd w:val="clear" w:color="auto" w:fill="FFFFFF"/>
            <w:tcMar>
              <w:top w:w="40" w:type="dxa"/>
              <w:left w:w="20" w:type="dxa"/>
              <w:bottom w:w="40" w:type="dxa"/>
              <w:right w:w="20" w:type="dxa"/>
            </w:tcMar>
            <w:vAlign w:val="bottom"/>
          </w:tcPr>
          <w:p w14:paraId="64A888A4" w14:textId="77777777" w:rsidR="008D6614" w:rsidRDefault="00866AF2">
            <w:pPr>
              <w:textAlignment w:val="bottom"/>
            </w:pPr>
            <w:r>
              <w:rPr>
                <w:rFonts w:ascii="Arial" w:eastAsia="宋体" w:hAnsi="Arial" w:cs="Arial"/>
                <w:color w:val="000000"/>
                <w:sz w:val="18"/>
                <w:szCs w:val="18"/>
              </w:rPr>
              <w:t>Other comprehensive income (loss), net of tax</w:t>
            </w:r>
          </w:p>
        </w:tc>
        <w:tc>
          <w:tcPr>
            <w:tcW w:w="0" w:type="auto"/>
            <w:shd w:val="clear" w:color="auto" w:fill="auto"/>
            <w:vAlign w:val="center"/>
          </w:tcPr>
          <w:p w14:paraId="64A888A5" w14:textId="77777777" w:rsidR="008D6614" w:rsidRDefault="008D6614">
            <w:pPr>
              <w:rPr>
                <w:rFonts w:ascii="宋体"/>
                <w:vanish/>
              </w:rPr>
            </w:pPr>
          </w:p>
        </w:tc>
        <w:tc>
          <w:tcPr>
            <w:tcW w:w="0" w:type="auto"/>
            <w:shd w:val="clear" w:color="auto" w:fill="auto"/>
            <w:vAlign w:val="center"/>
          </w:tcPr>
          <w:p w14:paraId="64A888A6" w14:textId="77777777" w:rsidR="008D6614" w:rsidRDefault="008D6614">
            <w:pPr>
              <w:rPr>
                <w:rFonts w:ascii="宋体"/>
                <w:vanish/>
              </w:rPr>
            </w:pPr>
          </w:p>
        </w:tc>
        <w:tc>
          <w:tcPr>
            <w:tcW w:w="0" w:type="auto"/>
            <w:shd w:val="clear" w:color="auto" w:fill="auto"/>
            <w:vAlign w:val="center"/>
          </w:tcPr>
          <w:p w14:paraId="64A888A7"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8A8"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8A9" w14:textId="77777777" w:rsidR="008D6614" w:rsidRDefault="00866AF2">
            <w:pPr>
              <w:jc w:val="right"/>
              <w:textAlignment w:val="bottom"/>
            </w:pPr>
            <w:r>
              <w:rPr>
                <w:rFonts w:ascii="Arial" w:eastAsia="宋体" w:hAnsi="Arial" w:cs="Arial"/>
                <w:color w:val="000000"/>
                <w:sz w:val="18"/>
                <w:szCs w:val="18"/>
              </w:rPr>
              <w:t>(99)</w:t>
            </w:r>
          </w:p>
        </w:tc>
        <w:tc>
          <w:tcPr>
            <w:tcW w:w="0" w:type="auto"/>
            <w:tcBorders>
              <w:top w:val="single" w:sz="8" w:space="0" w:color="000000"/>
            </w:tcBorders>
            <w:shd w:val="clear" w:color="auto" w:fill="FFFFFF"/>
            <w:tcMar>
              <w:top w:w="40" w:type="dxa"/>
              <w:bottom w:w="40" w:type="dxa"/>
              <w:right w:w="20" w:type="dxa"/>
            </w:tcMar>
            <w:vAlign w:val="bottom"/>
          </w:tcPr>
          <w:p w14:paraId="64A888A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8AB"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8AC" w14:textId="77777777" w:rsidR="008D6614" w:rsidRDefault="00866AF2">
            <w:pPr>
              <w:jc w:val="right"/>
              <w:textAlignment w:val="bottom"/>
            </w:pPr>
            <w:r>
              <w:rPr>
                <w:rFonts w:ascii="Arial" w:eastAsia="宋体" w:hAnsi="Arial" w:cs="Arial"/>
                <w:color w:val="000000"/>
                <w:sz w:val="18"/>
                <w:szCs w:val="18"/>
              </w:rPr>
              <w:t>(34)</w:t>
            </w:r>
          </w:p>
        </w:tc>
        <w:tc>
          <w:tcPr>
            <w:tcW w:w="0" w:type="auto"/>
            <w:tcBorders>
              <w:top w:val="single" w:sz="8" w:space="0" w:color="000000"/>
            </w:tcBorders>
            <w:shd w:val="clear" w:color="auto" w:fill="FFFFFF"/>
            <w:tcMar>
              <w:top w:w="40" w:type="dxa"/>
              <w:bottom w:w="40" w:type="dxa"/>
              <w:right w:w="20" w:type="dxa"/>
            </w:tcMar>
            <w:vAlign w:val="bottom"/>
          </w:tcPr>
          <w:p w14:paraId="64A888A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8AE" w14:textId="77777777" w:rsidR="008D6614" w:rsidRDefault="008D6614">
            <w:pPr>
              <w:rPr>
                <w:rFonts w:ascii="宋体"/>
              </w:rPr>
            </w:pPr>
          </w:p>
        </w:tc>
        <w:tc>
          <w:tcPr>
            <w:tcW w:w="0" w:type="auto"/>
            <w:shd w:val="clear" w:color="auto" w:fill="auto"/>
            <w:vAlign w:val="center"/>
          </w:tcPr>
          <w:p w14:paraId="64A888AF" w14:textId="77777777" w:rsidR="008D6614" w:rsidRDefault="008D6614">
            <w:pPr>
              <w:rPr>
                <w:rFonts w:ascii="宋体"/>
              </w:rPr>
            </w:pPr>
          </w:p>
        </w:tc>
        <w:tc>
          <w:tcPr>
            <w:tcW w:w="0" w:type="auto"/>
            <w:shd w:val="clear" w:color="auto" w:fill="auto"/>
            <w:vAlign w:val="center"/>
          </w:tcPr>
          <w:p w14:paraId="64A888B0" w14:textId="77777777" w:rsidR="008D6614" w:rsidRDefault="008D6614">
            <w:pPr>
              <w:rPr>
                <w:rFonts w:ascii="宋体"/>
              </w:rPr>
            </w:pPr>
          </w:p>
        </w:tc>
        <w:tc>
          <w:tcPr>
            <w:tcW w:w="0" w:type="auto"/>
            <w:shd w:val="clear" w:color="auto" w:fill="auto"/>
            <w:vAlign w:val="center"/>
          </w:tcPr>
          <w:p w14:paraId="64A888B1" w14:textId="77777777" w:rsidR="008D6614" w:rsidRDefault="008D6614">
            <w:pPr>
              <w:rPr>
                <w:rFonts w:ascii="宋体"/>
              </w:rPr>
            </w:pPr>
          </w:p>
        </w:tc>
        <w:tc>
          <w:tcPr>
            <w:tcW w:w="0" w:type="auto"/>
            <w:shd w:val="clear" w:color="auto" w:fill="auto"/>
            <w:vAlign w:val="center"/>
          </w:tcPr>
          <w:p w14:paraId="64A888B2" w14:textId="77777777" w:rsidR="008D6614" w:rsidRDefault="008D6614">
            <w:pPr>
              <w:rPr>
                <w:rFonts w:ascii="宋体"/>
              </w:rPr>
            </w:pPr>
          </w:p>
        </w:tc>
        <w:tc>
          <w:tcPr>
            <w:tcW w:w="0" w:type="auto"/>
            <w:shd w:val="clear" w:color="auto" w:fill="auto"/>
            <w:vAlign w:val="center"/>
          </w:tcPr>
          <w:p w14:paraId="64A888B3" w14:textId="77777777" w:rsidR="008D6614" w:rsidRDefault="008D6614">
            <w:pPr>
              <w:rPr>
                <w:rFonts w:ascii="宋体"/>
              </w:rPr>
            </w:pPr>
          </w:p>
        </w:tc>
        <w:tc>
          <w:tcPr>
            <w:tcW w:w="0" w:type="auto"/>
            <w:shd w:val="clear" w:color="auto" w:fill="auto"/>
            <w:vAlign w:val="center"/>
          </w:tcPr>
          <w:p w14:paraId="64A888B4" w14:textId="77777777" w:rsidR="008D6614" w:rsidRDefault="008D6614">
            <w:pPr>
              <w:rPr>
                <w:rFonts w:ascii="宋体"/>
              </w:rPr>
            </w:pPr>
          </w:p>
        </w:tc>
        <w:tc>
          <w:tcPr>
            <w:tcW w:w="0" w:type="auto"/>
            <w:shd w:val="clear" w:color="auto" w:fill="auto"/>
            <w:vAlign w:val="center"/>
          </w:tcPr>
          <w:p w14:paraId="64A888B5" w14:textId="77777777" w:rsidR="008D6614" w:rsidRDefault="008D6614">
            <w:pPr>
              <w:rPr>
                <w:rFonts w:ascii="宋体"/>
              </w:rPr>
            </w:pPr>
          </w:p>
        </w:tc>
        <w:tc>
          <w:tcPr>
            <w:tcW w:w="0" w:type="auto"/>
            <w:shd w:val="clear" w:color="auto" w:fill="auto"/>
            <w:vAlign w:val="center"/>
          </w:tcPr>
          <w:p w14:paraId="64A888B6" w14:textId="77777777" w:rsidR="008D6614" w:rsidRDefault="008D6614">
            <w:pPr>
              <w:rPr>
                <w:rFonts w:ascii="宋体"/>
              </w:rPr>
            </w:pPr>
          </w:p>
        </w:tc>
      </w:tr>
      <w:tr w:rsidR="008D6614" w14:paraId="64A888CD" w14:textId="77777777">
        <w:trPr>
          <w:jc w:val="center"/>
        </w:trPr>
        <w:tc>
          <w:tcPr>
            <w:tcW w:w="0" w:type="auto"/>
            <w:gridSpan w:val="3"/>
            <w:shd w:val="clear" w:color="auto" w:fill="E2E2E2"/>
            <w:tcMar>
              <w:top w:w="40" w:type="dxa"/>
              <w:left w:w="20" w:type="dxa"/>
              <w:bottom w:w="40" w:type="dxa"/>
              <w:right w:w="20" w:type="dxa"/>
            </w:tcMar>
            <w:vAlign w:val="bottom"/>
          </w:tcPr>
          <w:p w14:paraId="64A888B8" w14:textId="77777777" w:rsidR="008D6614" w:rsidRDefault="00866AF2">
            <w:pPr>
              <w:textAlignment w:val="bottom"/>
            </w:pPr>
            <w:r>
              <w:rPr>
                <w:rFonts w:ascii="Arial" w:eastAsia="宋体" w:hAnsi="Arial" w:cs="Arial"/>
                <w:color w:val="000000"/>
                <w:sz w:val="18"/>
                <w:szCs w:val="18"/>
              </w:rPr>
              <w:t>Comprehen</w:t>
            </w:r>
            <w:r>
              <w:rPr>
                <w:rFonts w:ascii="Arial" w:eastAsia="宋体" w:hAnsi="Arial" w:cs="Arial"/>
                <w:color w:val="000000"/>
                <w:sz w:val="18"/>
                <w:szCs w:val="18"/>
              </w:rPr>
              <w:t>sive income (loss)</w:t>
            </w:r>
          </w:p>
        </w:tc>
        <w:tc>
          <w:tcPr>
            <w:tcW w:w="0" w:type="auto"/>
            <w:shd w:val="clear" w:color="auto" w:fill="auto"/>
            <w:vAlign w:val="center"/>
          </w:tcPr>
          <w:p w14:paraId="64A888B9" w14:textId="77777777" w:rsidR="008D6614" w:rsidRDefault="008D6614">
            <w:pPr>
              <w:rPr>
                <w:rFonts w:ascii="宋体"/>
                <w:vanish/>
              </w:rPr>
            </w:pPr>
          </w:p>
        </w:tc>
        <w:tc>
          <w:tcPr>
            <w:tcW w:w="0" w:type="auto"/>
            <w:shd w:val="clear" w:color="auto" w:fill="auto"/>
            <w:vAlign w:val="center"/>
          </w:tcPr>
          <w:p w14:paraId="64A888BA" w14:textId="77777777" w:rsidR="008D6614" w:rsidRDefault="008D6614">
            <w:pPr>
              <w:rPr>
                <w:rFonts w:ascii="宋体"/>
                <w:vanish/>
              </w:rPr>
            </w:pPr>
          </w:p>
        </w:tc>
        <w:tc>
          <w:tcPr>
            <w:tcW w:w="0" w:type="auto"/>
            <w:shd w:val="clear" w:color="auto" w:fill="auto"/>
            <w:vAlign w:val="center"/>
          </w:tcPr>
          <w:p w14:paraId="64A888BB"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8BC"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88BD"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88BE" w14:textId="77777777" w:rsidR="008D6614" w:rsidRDefault="00866AF2">
            <w:pPr>
              <w:jc w:val="right"/>
              <w:textAlignment w:val="bottom"/>
            </w:pPr>
            <w:r>
              <w:rPr>
                <w:rFonts w:ascii="Arial" w:eastAsia="宋体" w:hAnsi="Arial" w:cs="Arial"/>
                <w:color w:val="000000"/>
                <w:sz w:val="18"/>
                <w:szCs w:val="18"/>
              </w:rPr>
              <w:t>3,313 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88B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8C0"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88C1"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88C2" w14:textId="77777777" w:rsidR="008D6614" w:rsidRDefault="00866AF2">
            <w:pPr>
              <w:jc w:val="right"/>
              <w:textAlignment w:val="bottom"/>
            </w:pPr>
            <w:r>
              <w:rPr>
                <w:rFonts w:ascii="Arial" w:eastAsia="宋体" w:hAnsi="Arial" w:cs="Arial"/>
                <w:color w:val="000000"/>
                <w:sz w:val="18"/>
                <w:szCs w:val="18"/>
              </w:rPr>
              <w:t>484 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88C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8C4" w14:textId="77777777" w:rsidR="008D6614" w:rsidRDefault="008D6614">
            <w:pPr>
              <w:rPr>
                <w:rFonts w:ascii="宋体"/>
              </w:rPr>
            </w:pPr>
          </w:p>
        </w:tc>
        <w:tc>
          <w:tcPr>
            <w:tcW w:w="0" w:type="auto"/>
            <w:shd w:val="clear" w:color="auto" w:fill="auto"/>
            <w:vAlign w:val="center"/>
          </w:tcPr>
          <w:p w14:paraId="64A888C5" w14:textId="77777777" w:rsidR="008D6614" w:rsidRDefault="008D6614">
            <w:pPr>
              <w:rPr>
                <w:rFonts w:ascii="宋体"/>
              </w:rPr>
            </w:pPr>
          </w:p>
        </w:tc>
        <w:tc>
          <w:tcPr>
            <w:tcW w:w="0" w:type="auto"/>
            <w:shd w:val="clear" w:color="auto" w:fill="auto"/>
            <w:vAlign w:val="center"/>
          </w:tcPr>
          <w:p w14:paraId="64A888C6" w14:textId="77777777" w:rsidR="008D6614" w:rsidRDefault="008D6614">
            <w:pPr>
              <w:rPr>
                <w:rFonts w:ascii="宋体"/>
              </w:rPr>
            </w:pPr>
          </w:p>
        </w:tc>
        <w:tc>
          <w:tcPr>
            <w:tcW w:w="0" w:type="auto"/>
            <w:shd w:val="clear" w:color="auto" w:fill="auto"/>
            <w:vAlign w:val="center"/>
          </w:tcPr>
          <w:p w14:paraId="64A888C7" w14:textId="77777777" w:rsidR="008D6614" w:rsidRDefault="008D6614">
            <w:pPr>
              <w:rPr>
                <w:rFonts w:ascii="宋体"/>
              </w:rPr>
            </w:pPr>
          </w:p>
        </w:tc>
        <w:tc>
          <w:tcPr>
            <w:tcW w:w="0" w:type="auto"/>
            <w:shd w:val="clear" w:color="auto" w:fill="auto"/>
            <w:vAlign w:val="center"/>
          </w:tcPr>
          <w:p w14:paraId="64A888C8" w14:textId="77777777" w:rsidR="008D6614" w:rsidRDefault="008D6614">
            <w:pPr>
              <w:rPr>
                <w:rFonts w:ascii="宋体"/>
              </w:rPr>
            </w:pPr>
          </w:p>
        </w:tc>
        <w:tc>
          <w:tcPr>
            <w:tcW w:w="0" w:type="auto"/>
            <w:shd w:val="clear" w:color="auto" w:fill="auto"/>
            <w:vAlign w:val="center"/>
          </w:tcPr>
          <w:p w14:paraId="64A888C9" w14:textId="77777777" w:rsidR="008D6614" w:rsidRDefault="008D6614">
            <w:pPr>
              <w:rPr>
                <w:rFonts w:ascii="宋体"/>
              </w:rPr>
            </w:pPr>
          </w:p>
        </w:tc>
        <w:tc>
          <w:tcPr>
            <w:tcW w:w="0" w:type="auto"/>
            <w:shd w:val="clear" w:color="auto" w:fill="auto"/>
            <w:vAlign w:val="center"/>
          </w:tcPr>
          <w:p w14:paraId="64A888CA" w14:textId="77777777" w:rsidR="008D6614" w:rsidRDefault="008D6614">
            <w:pPr>
              <w:rPr>
                <w:rFonts w:ascii="宋体"/>
              </w:rPr>
            </w:pPr>
          </w:p>
        </w:tc>
        <w:tc>
          <w:tcPr>
            <w:tcW w:w="0" w:type="auto"/>
            <w:shd w:val="clear" w:color="auto" w:fill="auto"/>
            <w:vAlign w:val="center"/>
          </w:tcPr>
          <w:p w14:paraId="64A888CB" w14:textId="77777777" w:rsidR="008D6614" w:rsidRDefault="008D6614">
            <w:pPr>
              <w:rPr>
                <w:rFonts w:ascii="宋体"/>
              </w:rPr>
            </w:pPr>
          </w:p>
        </w:tc>
        <w:tc>
          <w:tcPr>
            <w:tcW w:w="0" w:type="auto"/>
            <w:shd w:val="clear" w:color="auto" w:fill="auto"/>
            <w:vAlign w:val="center"/>
          </w:tcPr>
          <w:p w14:paraId="64A888CC" w14:textId="77777777" w:rsidR="008D6614" w:rsidRDefault="008D6614">
            <w:pPr>
              <w:rPr>
                <w:rFonts w:ascii="宋体"/>
              </w:rPr>
            </w:pPr>
          </w:p>
        </w:tc>
      </w:tr>
    </w:tbl>
    <w:p w14:paraId="64A888CE" w14:textId="77777777" w:rsidR="008D6614" w:rsidRDefault="008D6614">
      <w:pPr>
        <w:jc w:val="center"/>
      </w:pPr>
    </w:p>
    <w:p w14:paraId="64A888CF" w14:textId="77777777" w:rsidR="008D6614" w:rsidRDefault="00866AF2">
      <w:pPr>
        <w:jc w:val="center"/>
      </w:pPr>
      <w:r>
        <w:rPr>
          <w:rFonts w:ascii="Arial" w:eastAsia="宋体" w:hAnsi="Arial" w:cs="Arial"/>
          <w:color w:val="000000"/>
          <w:sz w:val="18"/>
          <w:szCs w:val="18"/>
        </w:rPr>
        <w:t xml:space="preserve">The accompanying notes are an integral part of these condensed consolidated financial statements. </w:t>
      </w:r>
    </w:p>
    <w:p w14:paraId="64A888D0" w14:textId="77777777" w:rsidR="008D6614" w:rsidRDefault="008D6614">
      <w:pPr>
        <w:jc w:val="center"/>
      </w:pPr>
    </w:p>
    <w:p w14:paraId="64A888D1" w14:textId="77777777" w:rsidR="008D6614" w:rsidRDefault="008D6614">
      <w:pPr>
        <w:jc w:val="center"/>
      </w:pPr>
    </w:p>
    <w:p w14:paraId="64A888D2" w14:textId="77777777" w:rsidR="008D6614" w:rsidRDefault="00866AF2">
      <w:pPr>
        <w:jc w:val="center"/>
      </w:pPr>
      <w:r>
        <w:rPr>
          <w:rFonts w:ascii="Arial" w:eastAsia="宋体" w:hAnsi="Arial" w:cs="Arial"/>
          <w:color w:val="000000"/>
          <w:sz w:val="20"/>
          <w:szCs w:val="20"/>
        </w:rPr>
        <w:t>4</w:t>
      </w:r>
    </w:p>
    <w:p w14:paraId="64A888D3" w14:textId="77777777" w:rsidR="008D6614" w:rsidRDefault="00866AF2">
      <w:r>
        <w:pict w14:anchorId="64A8B9E1">
          <v:rect id="_x0000_i1028" style="width:415.3pt;height:1.5pt" o:hralign="center" o:hrstd="t" o:hr="t" fillcolor="#a0a0a0" stroked="f"/>
        </w:pict>
      </w:r>
    </w:p>
    <w:p w14:paraId="64A888D4" w14:textId="77777777" w:rsidR="008D6614" w:rsidRDefault="008D6614"/>
    <w:p w14:paraId="64A888D5" w14:textId="77777777" w:rsidR="008D6614" w:rsidRDefault="00866AF2">
      <w:pPr>
        <w:jc w:val="center"/>
      </w:pPr>
      <w:r>
        <w:rPr>
          <w:rFonts w:ascii="Arial" w:eastAsia="宋体" w:hAnsi="Arial" w:cs="Arial"/>
          <w:b/>
          <w:bCs/>
          <w:color w:val="000000"/>
          <w:sz w:val="20"/>
          <w:szCs w:val="20"/>
        </w:rPr>
        <w:t xml:space="preserve">eBay Inc. </w:t>
      </w:r>
    </w:p>
    <w:p w14:paraId="64A888D6" w14:textId="77777777" w:rsidR="008D6614" w:rsidRDefault="00866AF2">
      <w:pPr>
        <w:spacing w:before="60"/>
        <w:jc w:val="center"/>
      </w:pPr>
      <w:r>
        <w:rPr>
          <w:rFonts w:ascii="Arial" w:eastAsia="宋体" w:hAnsi="Arial" w:cs="Arial"/>
          <w:b/>
          <w:bCs/>
          <w:color w:val="000000"/>
          <w:sz w:val="20"/>
          <w:szCs w:val="20"/>
        </w:rPr>
        <w:t>CONDENSED CONSOLIDATED STATEMENT OF STOCKHOLDERS’ EQUITY</w:t>
      </w:r>
    </w:p>
    <w:p w14:paraId="64A888D7" w14:textId="77777777" w:rsidR="008D6614" w:rsidRDefault="00866AF2">
      <w:r>
        <w:rPr>
          <w:rFonts w:ascii="Arial" w:eastAsia="宋体" w:hAnsi="Arial" w:cs="Arial"/>
          <w:color w:val="000000"/>
          <w:sz w:val="14"/>
          <w:szCs w:val="14"/>
        </w:rPr>
        <w:t> </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5893"/>
        <w:gridCol w:w="38"/>
        <w:gridCol w:w="36"/>
        <w:gridCol w:w="36"/>
        <w:gridCol w:w="36"/>
        <w:gridCol w:w="36"/>
        <w:gridCol w:w="36"/>
        <w:gridCol w:w="36"/>
        <w:gridCol w:w="137"/>
        <w:gridCol w:w="615"/>
        <w:gridCol w:w="86"/>
        <w:gridCol w:w="36"/>
        <w:gridCol w:w="36"/>
        <w:gridCol w:w="41"/>
        <w:gridCol w:w="137"/>
        <w:gridCol w:w="615"/>
        <w:gridCol w:w="86"/>
        <w:gridCol w:w="36"/>
        <w:gridCol w:w="36"/>
        <w:gridCol w:w="36"/>
        <w:gridCol w:w="36"/>
        <w:gridCol w:w="36"/>
        <w:gridCol w:w="36"/>
        <w:gridCol w:w="36"/>
        <w:gridCol w:w="36"/>
        <w:gridCol w:w="36"/>
      </w:tblGrid>
      <w:tr w:rsidR="008D6614" w14:paraId="64A888EA" w14:textId="77777777">
        <w:trPr>
          <w:gridAfter w:val="9"/>
          <w:jc w:val="center"/>
        </w:trPr>
        <w:tc>
          <w:tcPr>
            <w:tcW w:w="50" w:type="pct"/>
            <w:shd w:val="clear" w:color="auto" w:fill="auto"/>
            <w:vAlign w:val="center"/>
          </w:tcPr>
          <w:p w14:paraId="64A888D8" w14:textId="77777777" w:rsidR="008D6614" w:rsidRDefault="008D6614">
            <w:pPr>
              <w:rPr>
                <w:rFonts w:ascii="宋体"/>
              </w:rPr>
            </w:pPr>
          </w:p>
        </w:tc>
        <w:tc>
          <w:tcPr>
            <w:tcW w:w="3813" w:type="pct"/>
            <w:shd w:val="clear" w:color="auto" w:fill="auto"/>
            <w:vAlign w:val="center"/>
          </w:tcPr>
          <w:p w14:paraId="64A888D9" w14:textId="77777777" w:rsidR="008D6614" w:rsidRDefault="008D6614">
            <w:pPr>
              <w:rPr>
                <w:rFonts w:ascii="宋体"/>
              </w:rPr>
            </w:pPr>
          </w:p>
        </w:tc>
        <w:tc>
          <w:tcPr>
            <w:tcW w:w="50" w:type="pct"/>
            <w:shd w:val="clear" w:color="auto" w:fill="auto"/>
            <w:vAlign w:val="center"/>
          </w:tcPr>
          <w:p w14:paraId="64A888DA" w14:textId="77777777" w:rsidR="008D6614" w:rsidRDefault="008D6614">
            <w:pPr>
              <w:rPr>
                <w:rFonts w:ascii="宋体"/>
              </w:rPr>
            </w:pPr>
          </w:p>
        </w:tc>
        <w:tc>
          <w:tcPr>
            <w:tcW w:w="0" w:type="auto"/>
            <w:shd w:val="clear" w:color="auto" w:fill="auto"/>
            <w:vAlign w:val="center"/>
          </w:tcPr>
          <w:p w14:paraId="64A888DB" w14:textId="77777777" w:rsidR="008D6614" w:rsidRDefault="008D6614">
            <w:pPr>
              <w:rPr>
                <w:rFonts w:ascii="宋体"/>
                <w:vanish/>
              </w:rPr>
            </w:pPr>
          </w:p>
        </w:tc>
        <w:tc>
          <w:tcPr>
            <w:tcW w:w="0" w:type="auto"/>
            <w:shd w:val="clear" w:color="auto" w:fill="auto"/>
            <w:vAlign w:val="center"/>
          </w:tcPr>
          <w:p w14:paraId="64A888DC" w14:textId="77777777" w:rsidR="008D6614" w:rsidRDefault="008D6614">
            <w:pPr>
              <w:rPr>
                <w:rFonts w:ascii="宋体"/>
                <w:vanish/>
              </w:rPr>
            </w:pPr>
          </w:p>
        </w:tc>
        <w:tc>
          <w:tcPr>
            <w:tcW w:w="0" w:type="auto"/>
            <w:shd w:val="clear" w:color="auto" w:fill="auto"/>
            <w:vAlign w:val="center"/>
          </w:tcPr>
          <w:p w14:paraId="64A888DD" w14:textId="77777777" w:rsidR="008D6614" w:rsidRDefault="008D6614">
            <w:pPr>
              <w:rPr>
                <w:rFonts w:ascii="宋体"/>
                <w:vanish/>
              </w:rPr>
            </w:pPr>
          </w:p>
        </w:tc>
        <w:tc>
          <w:tcPr>
            <w:tcW w:w="5" w:type="pct"/>
            <w:shd w:val="clear" w:color="auto" w:fill="auto"/>
            <w:vAlign w:val="center"/>
          </w:tcPr>
          <w:p w14:paraId="64A888DE" w14:textId="77777777" w:rsidR="008D6614" w:rsidRDefault="008D6614">
            <w:pPr>
              <w:rPr>
                <w:rFonts w:ascii="宋体"/>
              </w:rPr>
            </w:pPr>
          </w:p>
        </w:tc>
        <w:tc>
          <w:tcPr>
            <w:tcW w:w="26" w:type="pct"/>
            <w:shd w:val="clear" w:color="auto" w:fill="auto"/>
            <w:vAlign w:val="center"/>
          </w:tcPr>
          <w:p w14:paraId="64A888DF" w14:textId="77777777" w:rsidR="008D6614" w:rsidRDefault="008D6614">
            <w:pPr>
              <w:rPr>
                <w:rFonts w:ascii="宋体"/>
              </w:rPr>
            </w:pPr>
          </w:p>
        </w:tc>
        <w:tc>
          <w:tcPr>
            <w:tcW w:w="5" w:type="pct"/>
            <w:shd w:val="clear" w:color="auto" w:fill="auto"/>
            <w:vAlign w:val="center"/>
          </w:tcPr>
          <w:p w14:paraId="64A888E0" w14:textId="77777777" w:rsidR="008D6614" w:rsidRDefault="008D6614">
            <w:pPr>
              <w:rPr>
                <w:rFonts w:ascii="宋体"/>
              </w:rPr>
            </w:pPr>
          </w:p>
        </w:tc>
        <w:tc>
          <w:tcPr>
            <w:tcW w:w="50" w:type="pct"/>
            <w:shd w:val="clear" w:color="auto" w:fill="auto"/>
            <w:vAlign w:val="center"/>
          </w:tcPr>
          <w:p w14:paraId="64A888E1" w14:textId="77777777" w:rsidR="008D6614" w:rsidRDefault="008D6614">
            <w:pPr>
              <w:rPr>
                <w:rFonts w:ascii="宋体"/>
              </w:rPr>
            </w:pPr>
          </w:p>
        </w:tc>
        <w:tc>
          <w:tcPr>
            <w:tcW w:w="406" w:type="pct"/>
            <w:shd w:val="clear" w:color="auto" w:fill="auto"/>
            <w:vAlign w:val="center"/>
          </w:tcPr>
          <w:p w14:paraId="64A888E2" w14:textId="77777777" w:rsidR="008D6614" w:rsidRDefault="008D6614">
            <w:pPr>
              <w:rPr>
                <w:rFonts w:ascii="宋体"/>
              </w:rPr>
            </w:pPr>
          </w:p>
        </w:tc>
        <w:tc>
          <w:tcPr>
            <w:tcW w:w="50" w:type="pct"/>
            <w:shd w:val="clear" w:color="auto" w:fill="auto"/>
            <w:vAlign w:val="center"/>
          </w:tcPr>
          <w:p w14:paraId="64A888E3" w14:textId="77777777" w:rsidR="008D6614" w:rsidRDefault="008D6614">
            <w:pPr>
              <w:rPr>
                <w:rFonts w:ascii="宋体"/>
              </w:rPr>
            </w:pPr>
          </w:p>
        </w:tc>
        <w:tc>
          <w:tcPr>
            <w:tcW w:w="5" w:type="pct"/>
            <w:shd w:val="clear" w:color="auto" w:fill="auto"/>
            <w:vAlign w:val="center"/>
          </w:tcPr>
          <w:p w14:paraId="64A888E4" w14:textId="77777777" w:rsidR="008D6614" w:rsidRDefault="008D6614">
            <w:pPr>
              <w:rPr>
                <w:rFonts w:ascii="宋体"/>
              </w:rPr>
            </w:pPr>
          </w:p>
        </w:tc>
        <w:tc>
          <w:tcPr>
            <w:tcW w:w="26" w:type="pct"/>
            <w:shd w:val="clear" w:color="auto" w:fill="auto"/>
            <w:vAlign w:val="center"/>
          </w:tcPr>
          <w:p w14:paraId="64A888E5" w14:textId="77777777" w:rsidR="008D6614" w:rsidRDefault="008D6614">
            <w:pPr>
              <w:rPr>
                <w:rFonts w:ascii="宋体"/>
              </w:rPr>
            </w:pPr>
          </w:p>
        </w:tc>
        <w:tc>
          <w:tcPr>
            <w:tcW w:w="5" w:type="pct"/>
            <w:shd w:val="clear" w:color="auto" w:fill="auto"/>
            <w:vAlign w:val="center"/>
          </w:tcPr>
          <w:p w14:paraId="64A888E6" w14:textId="77777777" w:rsidR="008D6614" w:rsidRDefault="008D6614">
            <w:pPr>
              <w:rPr>
                <w:rFonts w:ascii="宋体"/>
              </w:rPr>
            </w:pPr>
          </w:p>
        </w:tc>
        <w:tc>
          <w:tcPr>
            <w:tcW w:w="50" w:type="pct"/>
            <w:shd w:val="clear" w:color="auto" w:fill="auto"/>
            <w:vAlign w:val="center"/>
          </w:tcPr>
          <w:p w14:paraId="64A888E7" w14:textId="77777777" w:rsidR="008D6614" w:rsidRDefault="008D6614">
            <w:pPr>
              <w:rPr>
                <w:rFonts w:ascii="宋体"/>
              </w:rPr>
            </w:pPr>
          </w:p>
        </w:tc>
        <w:tc>
          <w:tcPr>
            <w:tcW w:w="406" w:type="pct"/>
            <w:shd w:val="clear" w:color="auto" w:fill="auto"/>
            <w:vAlign w:val="center"/>
          </w:tcPr>
          <w:p w14:paraId="64A888E8" w14:textId="77777777" w:rsidR="008D6614" w:rsidRDefault="008D6614">
            <w:pPr>
              <w:rPr>
                <w:rFonts w:ascii="宋体"/>
              </w:rPr>
            </w:pPr>
          </w:p>
        </w:tc>
        <w:tc>
          <w:tcPr>
            <w:tcW w:w="50" w:type="pct"/>
            <w:shd w:val="clear" w:color="auto" w:fill="auto"/>
            <w:vAlign w:val="center"/>
          </w:tcPr>
          <w:p w14:paraId="64A888E9" w14:textId="77777777" w:rsidR="008D6614" w:rsidRDefault="008D6614">
            <w:pPr>
              <w:rPr>
                <w:rFonts w:ascii="宋体"/>
              </w:rPr>
            </w:pPr>
          </w:p>
        </w:tc>
      </w:tr>
      <w:tr w:rsidR="008D6614" w14:paraId="64A888F3" w14:textId="77777777">
        <w:trPr>
          <w:gridAfter w:val="3"/>
          <w:jc w:val="center"/>
        </w:trPr>
        <w:tc>
          <w:tcPr>
            <w:tcW w:w="0" w:type="auto"/>
            <w:gridSpan w:val="3"/>
            <w:shd w:val="clear" w:color="auto" w:fill="auto"/>
            <w:tcMar>
              <w:top w:w="40" w:type="dxa"/>
              <w:left w:w="20" w:type="dxa"/>
              <w:bottom w:w="40" w:type="dxa"/>
              <w:right w:w="20" w:type="dxa"/>
            </w:tcMar>
            <w:vAlign w:val="bottom"/>
          </w:tcPr>
          <w:p w14:paraId="64A888EB"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88EC" w14:textId="77777777" w:rsidR="008D6614" w:rsidRDefault="008D6614">
            <w:pPr>
              <w:rPr>
                <w:rFonts w:ascii="宋体"/>
                <w:vanish/>
              </w:rPr>
            </w:pPr>
          </w:p>
        </w:tc>
        <w:tc>
          <w:tcPr>
            <w:tcW w:w="0" w:type="auto"/>
            <w:shd w:val="clear" w:color="auto" w:fill="auto"/>
            <w:vAlign w:val="center"/>
          </w:tcPr>
          <w:p w14:paraId="64A888ED" w14:textId="77777777" w:rsidR="008D6614" w:rsidRDefault="008D6614">
            <w:pPr>
              <w:rPr>
                <w:rFonts w:ascii="宋体"/>
                <w:vanish/>
              </w:rPr>
            </w:pPr>
          </w:p>
        </w:tc>
        <w:tc>
          <w:tcPr>
            <w:tcW w:w="0" w:type="auto"/>
            <w:shd w:val="clear" w:color="auto" w:fill="auto"/>
            <w:vAlign w:val="center"/>
          </w:tcPr>
          <w:p w14:paraId="64A888EE"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8EF"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88F0"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r>
            <w:r>
              <w:rPr>
                <w:rFonts w:ascii="Arial" w:eastAsia="宋体" w:hAnsi="Arial" w:cs="Arial"/>
                <w:b/>
                <w:bCs/>
                <w:color w:val="000000"/>
                <w:sz w:val="16"/>
                <w:szCs w:val="16"/>
              </w:rPr>
              <w:t>March 31,</w:t>
            </w:r>
          </w:p>
        </w:tc>
        <w:tc>
          <w:tcPr>
            <w:tcW w:w="0" w:type="auto"/>
            <w:gridSpan w:val="3"/>
            <w:shd w:val="clear" w:color="auto" w:fill="auto"/>
            <w:vAlign w:val="center"/>
          </w:tcPr>
          <w:p w14:paraId="64A888F1" w14:textId="77777777" w:rsidR="008D6614" w:rsidRDefault="008D6614">
            <w:pPr>
              <w:rPr>
                <w:rFonts w:ascii="宋体"/>
                <w:vanish/>
              </w:rPr>
            </w:pPr>
          </w:p>
        </w:tc>
        <w:tc>
          <w:tcPr>
            <w:tcW w:w="0" w:type="auto"/>
            <w:gridSpan w:val="3"/>
            <w:shd w:val="clear" w:color="auto" w:fill="auto"/>
            <w:vAlign w:val="center"/>
          </w:tcPr>
          <w:p w14:paraId="64A888F2" w14:textId="77777777" w:rsidR="008D6614" w:rsidRDefault="008D6614">
            <w:pPr>
              <w:rPr>
                <w:rFonts w:ascii="宋体"/>
                <w:vanish/>
              </w:rPr>
            </w:pPr>
          </w:p>
        </w:tc>
      </w:tr>
      <w:tr w:rsidR="008D6614" w14:paraId="64A88902" w14:textId="77777777">
        <w:trPr>
          <w:gridAfter w:val="3"/>
          <w:jc w:val="center"/>
        </w:trPr>
        <w:tc>
          <w:tcPr>
            <w:tcW w:w="0" w:type="auto"/>
            <w:gridSpan w:val="3"/>
            <w:shd w:val="clear" w:color="auto" w:fill="auto"/>
            <w:tcMar>
              <w:top w:w="40" w:type="dxa"/>
              <w:left w:w="20" w:type="dxa"/>
              <w:bottom w:w="40" w:type="dxa"/>
              <w:right w:w="20" w:type="dxa"/>
            </w:tcMar>
            <w:vAlign w:val="bottom"/>
          </w:tcPr>
          <w:p w14:paraId="64A888F4"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88F5" w14:textId="77777777" w:rsidR="008D6614" w:rsidRDefault="008D6614">
            <w:pPr>
              <w:rPr>
                <w:rFonts w:ascii="宋体"/>
                <w:vanish/>
              </w:rPr>
            </w:pPr>
          </w:p>
        </w:tc>
        <w:tc>
          <w:tcPr>
            <w:tcW w:w="0" w:type="auto"/>
            <w:shd w:val="clear" w:color="auto" w:fill="auto"/>
            <w:vAlign w:val="center"/>
          </w:tcPr>
          <w:p w14:paraId="64A888F6" w14:textId="77777777" w:rsidR="008D6614" w:rsidRDefault="008D6614">
            <w:pPr>
              <w:rPr>
                <w:rFonts w:ascii="宋体"/>
                <w:vanish/>
              </w:rPr>
            </w:pPr>
          </w:p>
        </w:tc>
        <w:tc>
          <w:tcPr>
            <w:tcW w:w="0" w:type="auto"/>
            <w:shd w:val="clear" w:color="auto" w:fill="auto"/>
            <w:vAlign w:val="center"/>
          </w:tcPr>
          <w:p w14:paraId="64A888F7"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8F8"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88F9" w14:textId="77777777" w:rsidR="008D6614" w:rsidRDefault="00866AF2">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64A888FA"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88FB" w14:textId="77777777" w:rsidR="008D6614" w:rsidRDefault="00866AF2">
            <w:pPr>
              <w:jc w:val="center"/>
              <w:textAlignment w:val="bottom"/>
            </w:pPr>
            <w:r>
              <w:rPr>
                <w:rFonts w:ascii="Arial" w:eastAsia="宋体" w:hAnsi="Arial" w:cs="Arial"/>
                <w:b/>
                <w:bCs/>
                <w:color w:val="000000"/>
                <w:sz w:val="18"/>
                <w:szCs w:val="18"/>
              </w:rPr>
              <w:t>2019</w:t>
            </w:r>
          </w:p>
        </w:tc>
        <w:tc>
          <w:tcPr>
            <w:tcW w:w="0" w:type="auto"/>
            <w:shd w:val="clear" w:color="auto" w:fill="auto"/>
            <w:vAlign w:val="center"/>
          </w:tcPr>
          <w:p w14:paraId="64A888FC" w14:textId="77777777" w:rsidR="008D6614" w:rsidRDefault="008D6614">
            <w:pPr>
              <w:rPr>
                <w:rFonts w:ascii="宋体"/>
              </w:rPr>
            </w:pPr>
          </w:p>
        </w:tc>
        <w:tc>
          <w:tcPr>
            <w:tcW w:w="0" w:type="auto"/>
            <w:shd w:val="clear" w:color="auto" w:fill="auto"/>
            <w:vAlign w:val="center"/>
          </w:tcPr>
          <w:p w14:paraId="64A888FD" w14:textId="77777777" w:rsidR="008D6614" w:rsidRDefault="008D6614">
            <w:pPr>
              <w:rPr>
                <w:rFonts w:ascii="宋体"/>
              </w:rPr>
            </w:pPr>
          </w:p>
        </w:tc>
        <w:tc>
          <w:tcPr>
            <w:tcW w:w="0" w:type="auto"/>
            <w:shd w:val="clear" w:color="auto" w:fill="auto"/>
            <w:vAlign w:val="center"/>
          </w:tcPr>
          <w:p w14:paraId="64A888FE" w14:textId="77777777" w:rsidR="008D6614" w:rsidRDefault="008D6614">
            <w:pPr>
              <w:rPr>
                <w:rFonts w:ascii="宋体"/>
              </w:rPr>
            </w:pPr>
          </w:p>
        </w:tc>
        <w:tc>
          <w:tcPr>
            <w:tcW w:w="0" w:type="auto"/>
            <w:shd w:val="clear" w:color="auto" w:fill="auto"/>
            <w:vAlign w:val="center"/>
          </w:tcPr>
          <w:p w14:paraId="64A888FF" w14:textId="77777777" w:rsidR="008D6614" w:rsidRDefault="008D6614">
            <w:pPr>
              <w:rPr>
                <w:rFonts w:ascii="宋体"/>
              </w:rPr>
            </w:pPr>
          </w:p>
        </w:tc>
        <w:tc>
          <w:tcPr>
            <w:tcW w:w="0" w:type="auto"/>
            <w:shd w:val="clear" w:color="auto" w:fill="auto"/>
            <w:vAlign w:val="center"/>
          </w:tcPr>
          <w:p w14:paraId="64A88900" w14:textId="77777777" w:rsidR="008D6614" w:rsidRDefault="008D6614">
            <w:pPr>
              <w:rPr>
                <w:rFonts w:ascii="宋体"/>
              </w:rPr>
            </w:pPr>
          </w:p>
        </w:tc>
        <w:tc>
          <w:tcPr>
            <w:tcW w:w="0" w:type="auto"/>
            <w:shd w:val="clear" w:color="auto" w:fill="auto"/>
            <w:vAlign w:val="center"/>
          </w:tcPr>
          <w:p w14:paraId="64A88901" w14:textId="77777777" w:rsidR="008D6614" w:rsidRDefault="008D6614">
            <w:pPr>
              <w:rPr>
                <w:rFonts w:ascii="宋体"/>
              </w:rPr>
            </w:pPr>
          </w:p>
        </w:tc>
      </w:tr>
      <w:tr w:rsidR="008D6614" w14:paraId="64A8890B" w14:textId="77777777">
        <w:trPr>
          <w:jc w:val="center"/>
        </w:trPr>
        <w:tc>
          <w:tcPr>
            <w:tcW w:w="0" w:type="auto"/>
            <w:gridSpan w:val="3"/>
            <w:shd w:val="clear" w:color="auto" w:fill="auto"/>
            <w:tcMar>
              <w:top w:w="40" w:type="dxa"/>
              <w:left w:w="20" w:type="dxa"/>
              <w:bottom w:w="40" w:type="dxa"/>
              <w:right w:w="20" w:type="dxa"/>
            </w:tcMar>
            <w:vAlign w:val="bottom"/>
          </w:tcPr>
          <w:p w14:paraId="64A88903"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8904" w14:textId="77777777" w:rsidR="008D6614" w:rsidRDefault="008D6614">
            <w:pPr>
              <w:rPr>
                <w:rFonts w:ascii="宋体"/>
                <w:vanish/>
              </w:rPr>
            </w:pPr>
          </w:p>
        </w:tc>
        <w:tc>
          <w:tcPr>
            <w:tcW w:w="0" w:type="auto"/>
            <w:shd w:val="clear" w:color="auto" w:fill="auto"/>
            <w:vAlign w:val="center"/>
          </w:tcPr>
          <w:p w14:paraId="64A88905" w14:textId="77777777" w:rsidR="008D6614" w:rsidRDefault="008D6614">
            <w:pPr>
              <w:rPr>
                <w:rFonts w:ascii="宋体"/>
                <w:vanish/>
              </w:rPr>
            </w:pPr>
          </w:p>
        </w:tc>
        <w:tc>
          <w:tcPr>
            <w:tcW w:w="0" w:type="auto"/>
            <w:shd w:val="clear" w:color="auto" w:fill="auto"/>
            <w:vAlign w:val="center"/>
          </w:tcPr>
          <w:p w14:paraId="64A88906" w14:textId="77777777" w:rsidR="008D6614" w:rsidRDefault="008D6614">
            <w:pPr>
              <w:rPr>
                <w:rFonts w:ascii="宋体"/>
                <w:vanish/>
              </w:rPr>
            </w:pPr>
          </w:p>
        </w:tc>
        <w:tc>
          <w:tcPr>
            <w:tcW w:w="0" w:type="auto"/>
            <w:gridSpan w:val="12"/>
            <w:shd w:val="clear" w:color="auto" w:fill="auto"/>
            <w:tcMar>
              <w:top w:w="40" w:type="dxa"/>
              <w:left w:w="20" w:type="dxa"/>
              <w:bottom w:w="40" w:type="dxa"/>
              <w:right w:w="20" w:type="dxa"/>
            </w:tcMar>
            <w:vAlign w:val="bottom"/>
          </w:tcPr>
          <w:p w14:paraId="64A88907" w14:textId="77777777" w:rsidR="008D6614" w:rsidRDefault="00866AF2">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vAlign w:val="center"/>
          </w:tcPr>
          <w:p w14:paraId="64A88908" w14:textId="77777777" w:rsidR="008D6614" w:rsidRDefault="008D6614">
            <w:pPr>
              <w:rPr>
                <w:rFonts w:ascii="宋体"/>
                <w:vanish/>
              </w:rPr>
            </w:pPr>
          </w:p>
        </w:tc>
        <w:tc>
          <w:tcPr>
            <w:tcW w:w="0" w:type="auto"/>
            <w:gridSpan w:val="3"/>
            <w:shd w:val="clear" w:color="auto" w:fill="auto"/>
            <w:vAlign w:val="center"/>
          </w:tcPr>
          <w:p w14:paraId="64A88909" w14:textId="77777777" w:rsidR="008D6614" w:rsidRDefault="008D6614">
            <w:pPr>
              <w:rPr>
                <w:rFonts w:ascii="宋体"/>
                <w:vanish/>
              </w:rPr>
            </w:pPr>
          </w:p>
        </w:tc>
        <w:tc>
          <w:tcPr>
            <w:tcW w:w="0" w:type="auto"/>
            <w:gridSpan w:val="3"/>
            <w:shd w:val="clear" w:color="auto" w:fill="auto"/>
            <w:vAlign w:val="center"/>
          </w:tcPr>
          <w:p w14:paraId="64A8890A" w14:textId="77777777" w:rsidR="008D6614" w:rsidRDefault="008D6614">
            <w:pPr>
              <w:rPr>
                <w:rFonts w:ascii="宋体"/>
                <w:vanish/>
              </w:rPr>
            </w:pPr>
          </w:p>
        </w:tc>
      </w:tr>
      <w:tr w:rsidR="008D6614" w14:paraId="64A88914" w14:textId="77777777">
        <w:trPr>
          <w:jc w:val="center"/>
        </w:trPr>
        <w:tc>
          <w:tcPr>
            <w:tcW w:w="0" w:type="auto"/>
            <w:gridSpan w:val="3"/>
            <w:shd w:val="clear" w:color="auto" w:fill="auto"/>
            <w:tcMar>
              <w:left w:w="20" w:type="dxa"/>
              <w:right w:w="20" w:type="dxa"/>
            </w:tcMar>
            <w:vAlign w:val="bottom"/>
          </w:tcPr>
          <w:p w14:paraId="64A8890C" w14:textId="77777777" w:rsidR="008D6614" w:rsidRDefault="008D6614">
            <w:pPr>
              <w:rPr>
                <w:rFonts w:ascii="宋体"/>
              </w:rPr>
            </w:pPr>
          </w:p>
        </w:tc>
        <w:tc>
          <w:tcPr>
            <w:tcW w:w="0" w:type="auto"/>
            <w:shd w:val="clear" w:color="auto" w:fill="auto"/>
            <w:vAlign w:val="center"/>
          </w:tcPr>
          <w:p w14:paraId="64A8890D" w14:textId="77777777" w:rsidR="008D6614" w:rsidRDefault="008D6614">
            <w:pPr>
              <w:rPr>
                <w:rFonts w:ascii="宋体"/>
                <w:vanish/>
              </w:rPr>
            </w:pPr>
          </w:p>
        </w:tc>
        <w:tc>
          <w:tcPr>
            <w:tcW w:w="0" w:type="auto"/>
            <w:shd w:val="clear" w:color="auto" w:fill="auto"/>
            <w:vAlign w:val="center"/>
          </w:tcPr>
          <w:p w14:paraId="64A8890E" w14:textId="77777777" w:rsidR="008D6614" w:rsidRDefault="008D6614">
            <w:pPr>
              <w:rPr>
                <w:rFonts w:ascii="宋体"/>
                <w:vanish/>
              </w:rPr>
            </w:pPr>
          </w:p>
        </w:tc>
        <w:tc>
          <w:tcPr>
            <w:tcW w:w="0" w:type="auto"/>
            <w:shd w:val="clear" w:color="auto" w:fill="auto"/>
            <w:vAlign w:val="center"/>
          </w:tcPr>
          <w:p w14:paraId="64A8890F" w14:textId="77777777" w:rsidR="008D6614" w:rsidRDefault="008D6614">
            <w:pPr>
              <w:rPr>
                <w:rFonts w:ascii="宋体"/>
                <w:vanish/>
              </w:rPr>
            </w:pPr>
          </w:p>
        </w:tc>
        <w:tc>
          <w:tcPr>
            <w:tcW w:w="0" w:type="auto"/>
            <w:gridSpan w:val="12"/>
            <w:shd w:val="clear" w:color="auto" w:fill="FFFFFF"/>
            <w:tcMar>
              <w:top w:w="40" w:type="dxa"/>
              <w:left w:w="20" w:type="dxa"/>
              <w:bottom w:w="40" w:type="dxa"/>
              <w:right w:w="20" w:type="dxa"/>
            </w:tcMar>
            <w:vAlign w:val="bottom"/>
          </w:tcPr>
          <w:p w14:paraId="64A88910" w14:textId="77777777" w:rsidR="008D6614" w:rsidRDefault="00866AF2">
            <w:pPr>
              <w:jc w:val="center"/>
              <w:textAlignment w:val="bottom"/>
            </w:pPr>
            <w:r>
              <w:rPr>
                <w:rFonts w:ascii="Arial" w:eastAsia="宋体" w:hAnsi="Arial" w:cs="Arial"/>
                <w:b/>
                <w:bCs/>
                <w:color w:val="000000"/>
                <w:sz w:val="16"/>
                <w:szCs w:val="16"/>
              </w:rPr>
              <w:t>(Unaudited)</w:t>
            </w:r>
          </w:p>
        </w:tc>
        <w:tc>
          <w:tcPr>
            <w:tcW w:w="0" w:type="auto"/>
            <w:gridSpan w:val="3"/>
            <w:shd w:val="clear" w:color="auto" w:fill="auto"/>
            <w:vAlign w:val="center"/>
          </w:tcPr>
          <w:p w14:paraId="64A88911" w14:textId="77777777" w:rsidR="008D6614" w:rsidRDefault="008D6614">
            <w:pPr>
              <w:rPr>
                <w:rFonts w:ascii="宋体"/>
                <w:vanish/>
              </w:rPr>
            </w:pPr>
          </w:p>
        </w:tc>
        <w:tc>
          <w:tcPr>
            <w:tcW w:w="0" w:type="auto"/>
            <w:gridSpan w:val="3"/>
            <w:shd w:val="clear" w:color="auto" w:fill="auto"/>
            <w:vAlign w:val="center"/>
          </w:tcPr>
          <w:p w14:paraId="64A88912" w14:textId="77777777" w:rsidR="008D6614" w:rsidRDefault="008D6614">
            <w:pPr>
              <w:rPr>
                <w:rFonts w:ascii="宋体"/>
                <w:vanish/>
              </w:rPr>
            </w:pPr>
          </w:p>
        </w:tc>
        <w:tc>
          <w:tcPr>
            <w:tcW w:w="0" w:type="auto"/>
            <w:gridSpan w:val="3"/>
            <w:shd w:val="clear" w:color="auto" w:fill="auto"/>
            <w:vAlign w:val="center"/>
          </w:tcPr>
          <w:p w14:paraId="64A88913" w14:textId="77777777" w:rsidR="008D6614" w:rsidRDefault="008D6614">
            <w:pPr>
              <w:rPr>
                <w:rFonts w:ascii="宋体"/>
                <w:vanish/>
              </w:rPr>
            </w:pPr>
          </w:p>
        </w:tc>
      </w:tr>
      <w:tr w:rsidR="008D6614" w14:paraId="64A88926" w14:textId="77777777">
        <w:trPr>
          <w:jc w:val="center"/>
        </w:trPr>
        <w:tc>
          <w:tcPr>
            <w:tcW w:w="0" w:type="auto"/>
            <w:gridSpan w:val="3"/>
            <w:shd w:val="clear" w:color="auto" w:fill="E2E2E2"/>
            <w:tcMar>
              <w:top w:w="40" w:type="dxa"/>
              <w:left w:w="20" w:type="dxa"/>
              <w:bottom w:w="40" w:type="dxa"/>
              <w:right w:w="20" w:type="dxa"/>
            </w:tcMar>
            <w:vAlign w:val="bottom"/>
          </w:tcPr>
          <w:p w14:paraId="64A88915" w14:textId="77777777" w:rsidR="008D6614" w:rsidRDefault="00866AF2">
            <w:pPr>
              <w:textAlignment w:val="bottom"/>
            </w:pPr>
            <w:r>
              <w:rPr>
                <w:rFonts w:ascii="Arial" w:eastAsia="宋体" w:hAnsi="Arial" w:cs="Arial"/>
                <w:color w:val="000000"/>
                <w:sz w:val="18"/>
                <w:szCs w:val="18"/>
              </w:rPr>
              <w:t>Common stock:</w:t>
            </w:r>
          </w:p>
        </w:tc>
        <w:tc>
          <w:tcPr>
            <w:tcW w:w="0" w:type="auto"/>
            <w:shd w:val="clear" w:color="auto" w:fill="auto"/>
            <w:vAlign w:val="center"/>
          </w:tcPr>
          <w:p w14:paraId="64A88916" w14:textId="77777777" w:rsidR="008D6614" w:rsidRDefault="008D6614">
            <w:pPr>
              <w:rPr>
                <w:rFonts w:ascii="宋体"/>
                <w:vanish/>
              </w:rPr>
            </w:pPr>
          </w:p>
        </w:tc>
        <w:tc>
          <w:tcPr>
            <w:tcW w:w="0" w:type="auto"/>
            <w:shd w:val="clear" w:color="auto" w:fill="auto"/>
            <w:vAlign w:val="center"/>
          </w:tcPr>
          <w:p w14:paraId="64A88917" w14:textId="77777777" w:rsidR="008D6614" w:rsidRDefault="008D6614">
            <w:pPr>
              <w:rPr>
                <w:rFonts w:ascii="宋体"/>
                <w:vanish/>
              </w:rPr>
            </w:pPr>
          </w:p>
        </w:tc>
        <w:tc>
          <w:tcPr>
            <w:tcW w:w="0" w:type="auto"/>
            <w:shd w:val="clear" w:color="auto" w:fill="auto"/>
            <w:vAlign w:val="center"/>
          </w:tcPr>
          <w:p w14:paraId="64A88918"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919"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891A"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891B"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891C" w14:textId="77777777" w:rsidR="008D6614" w:rsidRDefault="008D6614">
            <w:pPr>
              <w:rPr>
                <w:rFonts w:ascii="宋体"/>
              </w:rPr>
            </w:pPr>
          </w:p>
        </w:tc>
        <w:tc>
          <w:tcPr>
            <w:tcW w:w="0" w:type="auto"/>
            <w:shd w:val="clear" w:color="auto" w:fill="auto"/>
            <w:vAlign w:val="center"/>
          </w:tcPr>
          <w:p w14:paraId="64A8891D" w14:textId="77777777" w:rsidR="008D6614" w:rsidRDefault="008D6614">
            <w:pPr>
              <w:rPr>
                <w:rFonts w:ascii="宋体"/>
              </w:rPr>
            </w:pPr>
          </w:p>
        </w:tc>
        <w:tc>
          <w:tcPr>
            <w:tcW w:w="0" w:type="auto"/>
            <w:shd w:val="clear" w:color="auto" w:fill="auto"/>
            <w:vAlign w:val="center"/>
          </w:tcPr>
          <w:p w14:paraId="64A8891E" w14:textId="77777777" w:rsidR="008D6614" w:rsidRDefault="008D6614">
            <w:pPr>
              <w:rPr>
                <w:rFonts w:ascii="宋体"/>
              </w:rPr>
            </w:pPr>
          </w:p>
        </w:tc>
        <w:tc>
          <w:tcPr>
            <w:tcW w:w="0" w:type="auto"/>
            <w:shd w:val="clear" w:color="auto" w:fill="auto"/>
            <w:vAlign w:val="center"/>
          </w:tcPr>
          <w:p w14:paraId="64A8891F" w14:textId="77777777" w:rsidR="008D6614" w:rsidRDefault="008D6614">
            <w:pPr>
              <w:rPr>
                <w:rFonts w:ascii="宋体"/>
              </w:rPr>
            </w:pPr>
          </w:p>
        </w:tc>
        <w:tc>
          <w:tcPr>
            <w:tcW w:w="0" w:type="auto"/>
            <w:shd w:val="clear" w:color="auto" w:fill="auto"/>
            <w:vAlign w:val="center"/>
          </w:tcPr>
          <w:p w14:paraId="64A88920" w14:textId="77777777" w:rsidR="008D6614" w:rsidRDefault="008D6614">
            <w:pPr>
              <w:rPr>
                <w:rFonts w:ascii="宋体"/>
              </w:rPr>
            </w:pPr>
          </w:p>
        </w:tc>
        <w:tc>
          <w:tcPr>
            <w:tcW w:w="0" w:type="auto"/>
            <w:shd w:val="clear" w:color="auto" w:fill="auto"/>
            <w:vAlign w:val="center"/>
          </w:tcPr>
          <w:p w14:paraId="64A88921" w14:textId="77777777" w:rsidR="008D6614" w:rsidRDefault="008D6614">
            <w:pPr>
              <w:rPr>
                <w:rFonts w:ascii="宋体"/>
              </w:rPr>
            </w:pPr>
          </w:p>
        </w:tc>
        <w:tc>
          <w:tcPr>
            <w:tcW w:w="0" w:type="auto"/>
            <w:shd w:val="clear" w:color="auto" w:fill="auto"/>
            <w:vAlign w:val="center"/>
          </w:tcPr>
          <w:p w14:paraId="64A88922" w14:textId="77777777" w:rsidR="008D6614" w:rsidRDefault="008D6614">
            <w:pPr>
              <w:rPr>
                <w:rFonts w:ascii="宋体"/>
              </w:rPr>
            </w:pPr>
          </w:p>
        </w:tc>
        <w:tc>
          <w:tcPr>
            <w:tcW w:w="0" w:type="auto"/>
            <w:shd w:val="clear" w:color="auto" w:fill="auto"/>
            <w:vAlign w:val="center"/>
          </w:tcPr>
          <w:p w14:paraId="64A88923" w14:textId="77777777" w:rsidR="008D6614" w:rsidRDefault="008D6614">
            <w:pPr>
              <w:rPr>
                <w:rFonts w:ascii="宋体"/>
              </w:rPr>
            </w:pPr>
          </w:p>
        </w:tc>
        <w:tc>
          <w:tcPr>
            <w:tcW w:w="0" w:type="auto"/>
            <w:shd w:val="clear" w:color="auto" w:fill="auto"/>
            <w:vAlign w:val="center"/>
          </w:tcPr>
          <w:p w14:paraId="64A88924" w14:textId="77777777" w:rsidR="008D6614" w:rsidRDefault="008D6614">
            <w:pPr>
              <w:rPr>
                <w:rFonts w:ascii="宋体"/>
              </w:rPr>
            </w:pPr>
          </w:p>
        </w:tc>
        <w:tc>
          <w:tcPr>
            <w:tcW w:w="0" w:type="auto"/>
            <w:shd w:val="clear" w:color="auto" w:fill="auto"/>
            <w:vAlign w:val="center"/>
          </w:tcPr>
          <w:p w14:paraId="64A88925" w14:textId="77777777" w:rsidR="008D6614" w:rsidRDefault="008D6614">
            <w:pPr>
              <w:rPr>
                <w:rFonts w:ascii="宋体"/>
              </w:rPr>
            </w:pPr>
          </w:p>
        </w:tc>
      </w:tr>
      <w:tr w:rsidR="008D6614" w14:paraId="64A8893D" w14:textId="77777777">
        <w:trPr>
          <w:jc w:val="center"/>
        </w:trPr>
        <w:tc>
          <w:tcPr>
            <w:tcW w:w="0" w:type="auto"/>
            <w:gridSpan w:val="3"/>
            <w:shd w:val="clear" w:color="auto" w:fill="FFFFFF"/>
            <w:tcMar>
              <w:top w:w="40" w:type="dxa"/>
              <w:left w:w="225" w:type="dxa"/>
              <w:bottom w:w="40" w:type="dxa"/>
              <w:right w:w="20" w:type="dxa"/>
            </w:tcMar>
            <w:vAlign w:val="bottom"/>
          </w:tcPr>
          <w:p w14:paraId="64A88927" w14:textId="77777777" w:rsidR="008D6614" w:rsidRDefault="00866AF2">
            <w:pPr>
              <w:textAlignment w:val="bottom"/>
            </w:pPr>
            <w:r>
              <w:rPr>
                <w:rFonts w:ascii="Arial" w:eastAsia="宋体" w:hAnsi="Arial" w:cs="Arial"/>
                <w:color w:val="000000"/>
                <w:sz w:val="18"/>
                <w:szCs w:val="18"/>
              </w:rPr>
              <w:t>Balance, beginning of period</w:t>
            </w:r>
          </w:p>
        </w:tc>
        <w:tc>
          <w:tcPr>
            <w:tcW w:w="0" w:type="auto"/>
            <w:shd w:val="clear" w:color="auto" w:fill="auto"/>
            <w:vAlign w:val="center"/>
          </w:tcPr>
          <w:p w14:paraId="64A88928" w14:textId="77777777" w:rsidR="008D6614" w:rsidRDefault="008D6614">
            <w:pPr>
              <w:rPr>
                <w:rFonts w:ascii="宋体"/>
                <w:vanish/>
              </w:rPr>
            </w:pPr>
          </w:p>
        </w:tc>
        <w:tc>
          <w:tcPr>
            <w:tcW w:w="0" w:type="auto"/>
            <w:shd w:val="clear" w:color="auto" w:fill="auto"/>
            <w:vAlign w:val="center"/>
          </w:tcPr>
          <w:p w14:paraId="64A88929" w14:textId="77777777" w:rsidR="008D6614" w:rsidRDefault="008D6614">
            <w:pPr>
              <w:rPr>
                <w:rFonts w:ascii="宋体"/>
                <w:vanish/>
              </w:rPr>
            </w:pPr>
          </w:p>
        </w:tc>
        <w:tc>
          <w:tcPr>
            <w:tcW w:w="0" w:type="auto"/>
            <w:shd w:val="clear" w:color="auto" w:fill="auto"/>
            <w:vAlign w:val="center"/>
          </w:tcPr>
          <w:p w14:paraId="64A8892A"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92B"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892C"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92D"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892E"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892F" w14:textId="77777777" w:rsidR="008D6614" w:rsidRDefault="008D6614">
            <w:pPr>
              <w:rPr>
                <w:rFonts w:ascii="宋体"/>
              </w:rPr>
            </w:pPr>
          </w:p>
        </w:tc>
        <w:tc>
          <w:tcPr>
            <w:tcW w:w="0" w:type="auto"/>
            <w:shd w:val="clear" w:color="auto" w:fill="FFFFFF"/>
            <w:tcMar>
              <w:right w:w="20" w:type="dxa"/>
            </w:tcMar>
            <w:vAlign w:val="bottom"/>
          </w:tcPr>
          <w:p w14:paraId="64A88930" w14:textId="77777777" w:rsidR="008D6614" w:rsidRDefault="008D6614">
            <w:pPr>
              <w:jc w:val="right"/>
              <w:rPr>
                <w:rFonts w:ascii="宋体"/>
              </w:rPr>
            </w:pPr>
          </w:p>
        </w:tc>
        <w:tc>
          <w:tcPr>
            <w:tcW w:w="0" w:type="auto"/>
            <w:shd w:val="clear" w:color="auto" w:fill="FFFFFF"/>
            <w:tcMar>
              <w:top w:w="40" w:type="dxa"/>
              <w:left w:w="20" w:type="dxa"/>
              <w:bottom w:w="40" w:type="dxa"/>
            </w:tcMar>
            <w:vAlign w:val="bottom"/>
          </w:tcPr>
          <w:p w14:paraId="64A88931"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932"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893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934" w14:textId="77777777" w:rsidR="008D6614" w:rsidRDefault="008D6614">
            <w:pPr>
              <w:rPr>
                <w:rFonts w:ascii="宋体"/>
              </w:rPr>
            </w:pPr>
          </w:p>
        </w:tc>
        <w:tc>
          <w:tcPr>
            <w:tcW w:w="0" w:type="auto"/>
            <w:shd w:val="clear" w:color="auto" w:fill="auto"/>
            <w:vAlign w:val="center"/>
          </w:tcPr>
          <w:p w14:paraId="64A88935" w14:textId="77777777" w:rsidR="008D6614" w:rsidRDefault="008D6614">
            <w:pPr>
              <w:rPr>
                <w:rFonts w:ascii="宋体"/>
              </w:rPr>
            </w:pPr>
          </w:p>
        </w:tc>
        <w:tc>
          <w:tcPr>
            <w:tcW w:w="0" w:type="auto"/>
            <w:shd w:val="clear" w:color="auto" w:fill="auto"/>
            <w:vAlign w:val="center"/>
          </w:tcPr>
          <w:p w14:paraId="64A88936" w14:textId="77777777" w:rsidR="008D6614" w:rsidRDefault="008D6614">
            <w:pPr>
              <w:rPr>
                <w:rFonts w:ascii="宋体"/>
              </w:rPr>
            </w:pPr>
          </w:p>
        </w:tc>
        <w:tc>
          <w:tcPr>
            <w:tcW w:w="0" w:type="auto"/>
            <w:shd w:val="clear" w:color="auto" w:fill="auto"/>
            <w:vAlign w:val="center"/>
          </w:tcPr>
          <w:p w14:paraId="64A88937" w14:textId="77777777" w:rsidR="008D6614" w:rsidRDefault="008D6614">
            <w:pPr>
              <w:rPr>
                <w:rFonts w:ascii="宋体"/>
              </w:rPr>
            </w:pPr>
          </w:p>
        </w:tc>
        <w:tc>
          <w:tcPr>
            <w:tcW w:w="0" w:type="auto"/>
            <w:shd w:val="clear" w:color="auto" w:fill="auto"/>
            <w:vAlign w:val="center"/>
          </w:tcPr>
          <w:p w14:paraId="64A88938" w14:textId="77777777" w:rsidR="008D6614" w:rsidRDefault="008D6614">
            <w:pPr>
              <w:rPr>
                <w:rFonts w:ascii="宋体"/>
              </w:rPr>
            </w:pPr>
          </w:p>
        </w:tc>
        <w:tc>
          <w:tcPr>
            <w:tcW w:w="0" w:type="auto"/>
            <w:shd w:val="clear" w:color="auto" w:fill="auto"/>
            <w:vAlign w:val="center"/>
          </w:tcPr>
          <w:p w14:paraId="64A88939" w14:textId="77777777" w:rsidR="008D6614" w:rsidRDefault="008D6614">
            <w:pPr>
              <w:rPr>
                <w:rFonts w:ascii="宋体"/>
              </w:rPr>
            </w:pPr>
          </w:p>
        </w:tc>
        <w:tc>
          <w:tcPr>
            <w:tcW w:w="0" w:type="auto"/>
            <w:shd w:val="clear" w:color="auto" w:fill="auto"/>
            <w:vAlign w:val="center"/>
          </w:tcPr>
          <w:p w14:paraId="64A8893A" w14:textId="77777777" w:rsidR="008D6614" w:rsidRDefault="008D6614">
            <w:pPr>
              <w:rPr>
                <w:rFonts w:ascii="宋体"/>
              </w:rPr>
            </w:pPr>
          </w:p>
        </w:tc>
        <w:tc>
          <w:tcPr>
            <w:tcW w:w="0" w:type="auto"/>
            <w:shd w:val="clear" w:color="auto" w:fill="auto"/>
            <w:vAlign w:val="center"/>
          </w:tcPr>
          <w:p w14:paraId="64A8893B" w14:textId="77777777" w:rsidR="008D6614" w:rsidRDefault="008D6614">
            <w:pPr>
              <w:rPr>
                <w:rFonts w:ascii="宋体"/>
              </w:rPr>
            </w:pPr>
          </w:p>
        </w:tc>
        <w:tc>
          <w:tcPr>
            <w:tcW w:w="0" w:type="auto"/>
            <w:shd w:val="clear" w:color="auto" w:fill="auto"/>
            <w:vAlign w:val="center"/>
          </w:tcPr>
          <w:p w14:paraId="64A8893C" w14:textId="77777777" w:rsidR="008D6614" w:rsidRDefault="008D6614">
            <w:pPr>
              <w:rPr>
                <w:rFonts w:ascii="宋体"/>
              </w:rPr>
            </w:pPr>
          </w:p>
        </w:tc>
      </w:tr>
      <w:tr w:rsidR="008D6614" w14:paraId="64A88952" w14:textId="77777777">
        <w:trPr>
          <w:jc w:val="center"/>
        </w:trPr>
        <w:tc>
          <w:tcPr>
            <w:tcW w:w="0" w:type="auto"/>
            <w:gridSpan w:val="3"/>
            <w:shd w:val="clear" w:color="auto" w:fill="E2E2E2"/>
            <w:tcMar>
              <w:top w:w="40" w:type="dxa"/>
              <w:left w:w="225" w:type="dxa"/>
              <w:bottom w:w="40" w:type="dxa"/>
              <w:right w:w="20" w:type="dxa"/>
            </w:tcMar>
            <w:vAlign w:val="bottom"/>
          </w:tcPr>
          <w:p w14:paraId="64A8893E" w14:textId="77777777" w:rsidR="008D6614" w:rsidRDefault="00866AF2">
            <w:pPr>
              <w:textAlignment w:val="bottom"/>
            </w:pPr>
            <w:r>
              <w:rPr>
                <w:rFonts w:ascii="Arial" w:eastAsia="宋体" w:hAnsi="Arial" w:cs="Arial"/>
                <w:color w:val="000000"/>
                <w:sz w:val="18"/>
                <w:szCs w:val="18"/>
              </w:rPr>
              <w:t>Common stock issued</w:t>
            </w:r>
          </w:p>
        </w:tc>
        <w:tc>
          <w:tcPr>
            <w:tcW w:w="0" w:type="auto"/>
            <w:shd w:val="clear" w:color="auto" w:fill="auto"/>
            <w:vAlign w:val="center"/>
          </w:tcPr>
          <w:p w14:paraId="64A8893F" w14:textId="77777777" w:rsidR="008D6614" w:rsidRDefault="008D6614">
            <w:pPr>
              <w:rPr>
                <w:rFonts w:ascii="宋体"/>
                <w:vanish/>
              </w:rPr>
            </w:pPr>
          </w:p>
        </w:tc>
        <w:tc>
          <w:tcPr>
            <w:tcW w:w="0" w:type="auto"/>
            <w:shd w:val="clear" w:color="auto" w:fill="auto"/>
            <w:vAlign w:val="center"/>
          </w:tcPr>
          <w:p w14:paraId="64A88940" w14:textId="77777777" w:rsidR="008D6614" w:rsidRDefault="008D6614">
            <w:pPr>
              <w:rPr>
                <w:rFonts w:ascii="宋体"/>
                <w:vanish/>
              </w:rPr>
            </w:pPr>
          </w:p>
        </w:tc>
        <w:tc>
          <w:tcPr>
            <w:tcW w:w="0" w:type="auto"/>
            <w:shd w:val="clear" w:color="auto" w:fill="auto"/>
            <w:vAlign w:val="center"/>
          </w:tcPr>
          <w:p w14:paraId="64A88941"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94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94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8944"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8945" w14:textId="77777777" w:rsidR="008D6614" w:rsidRDefault="008D6614">
            <w:pPr>
              <w:rPr>
                <w:rFonts w:ascii="宋体"/>
              </w:rPr>
            </w:pPr>
          </w:p>
        </w:tc>
        <w:tc>
          <w:tcPr>
            <w:tcW w:w="0" w:type="auto"/>
            <w:shd w:val="clear" w:color="auto" w:fill="E2E2E2"/>
            <w:tcMar>
              <w:right w:w="20" w:type="dxa"/>
            </w:tcMar>
            <w:vAlign w:val="bottom"/>
          </w:tcPr>
          <w:p w14:paraId="64A88946"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894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894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949" w14:textId="77777777" w:rsidR="008D6614" w:rsidRDefault="008D6614">
            <w:pPr>
              <w:rPr>
                <w:rFonts w:ascii="宋体"/>
              </w:rPr>
            </w:pPr>
          </w:p>
        </w:tc>
        <w:tc>
          <w:tcPr>
            <w:tcW w:w="0" w:type="auto"/>
            <w:shd w:val="clear" w:color="auto" w:fill="auto"/>
            <w:vAlign w:val="center"/>
          </w:tcPr>
          <w:p w14:paraId="64A8894A" w14:textId="77777777" w:rsidR="008D6614" w:rsidRDefault="008D6614">
            <w:pPr>
              <w:rPr>
                <w:rFonts w:ascii="宋体"/>
              </w:rPr>
            </w:pPr>
          </w:p>
        </w:tc>
        <w:tc>
          <w:tcPr>
            <w:tcW w:w="0" w:type="auto"/>
            <w:shd w:val="clear" w:color="auto" w:fill="auto"/>
            <w:vAlign w:val="center"/>
          </w:tcPr>
          <w:p w14:paraId="64A8894B" w14:textId="77777777" w:rsidR="008D6614" w:rsidRDefault="008D6614">
            <w:pPr>
              <w:rPr>
                <w:rFonts w:ascii="宋体"/>
              </w:rPr>
            </w:pPr>
          </w:p>
        </w:tc>
        <w:tc>
          <w:tcPr>
            <w:tcW w:w="0" w:type="auto"/>
            <w:shd w:val="clear" w:color="auto" w:fill="auto"/>
            <w:vAlign w:val="center"/>
          </w:tcPr>
          <w:p w14:paraId="64A8894C" w14:textId="77777777" w:rsidR="008D6614" w:rsidRDefault="008D6614">
            <w:pPr>
              <w:rPr>
                <w:rFonts w:ascii="宋体"/>
              </w:rPr>
            </w:pPr>
          </w:p>
        </w:tc>
        <w:tc>
          <w:tcPr>
            <w:tcW w:w="0" w:type="auto"/>
            <w:shd w:val="clear" w:color="auto" w:fill="auto"/>
            <w:vAlign w:val="center"/>
          </w:tcPr>
          <w:p w14:paraId="64A8894D" w14:textId="77777777" w:rsidR="008D6614" w:rsidRDefault="008D6614">
            <w:pPr>
              <w:rPr>
                <w:rFonts w:ascii="宋体"/>
              </w:rPr>
            </w:pPr>
          </w:p>
        </w:tc>
        <w:tc>
          <w:tcPr>
            <w:tcW w:w="0" w:type="auto"/>
            <w:shd w:val="clear" w:color="auto" w:fill="auto"/>
            <w:vAlign w:val="center"/>
          </w:tcPr>
          <w:p w14:paraId="64A8894E" w14:textId="77777777" w:rsidR="008D6614" w:rsidRDefault="008D6614">
            <w:pPr>
              <w:rPr>
                <w:rFonts w:ascii="宋体"/>
              </w:rPr>
            </w:pPr>
          </w:p>
        </w:tc>
        <w:tc>
          <w:tcPr>
            <w:tcW w:w="0" w:type="auto"/>
            <w:shd w:val="clear" w:color="auto" w:fill="auto"/>
            <w:vAlign w:val="center"/>
          </w:tcPr>
          <w:p w14:paraId="64A8894F" w14:textId="77777777" w:rsidR="008D6614" w:rsidRDefault="008D6614">
            <w:pPr>
              <w:rPr>
                <w:rFonts w:ascii="宋体"/>
              </w:rPr>
            </w:pPr>
          </w:p>
        </w:tc>
        <w:tc>
          <w:tcPr>
            <w:tcW w:w="0" w:type="auto"/>
            <w:shd w:val="clear" w:color="auto" w:fill="auto"/>
            <w:vAlign w:val="center"/>
          </w:tcPr>
          <w:p w14:paraId="64A88950" w14:textId="77777777" w:rsidR="008D6614" w:rsidRDefault="008D6614">
            <w:pPr>
              <w:rPr>
                <w:rFonts w:ascii="宋体"/>
              </w:rPr>
            </w:pPr>
          </w:p>
        </w:tc>
        <w:tc>
          <w:tcPr>
            <w:tcW w:w="0" w:type="auto"/>
            <w:shd w:val="clear" w:color="auto" w:fill="auto"/>
            <w:vAlign w:val="center"/>
          </w:tcPr>
          <w:p w14:paraId="64A88951" w14:textId="77777777" w:rsidR="008D6614" w:rsidRDefault="008D6614">
            <w:pPr>
              <w:rPr>
                <w:rFonts w:ascii="宋体"/>
              </w:rPr>
            </w:pPr>
          </w:p>
        </w:tc>
      </w:tr>
      <w:tr w:rsidR="008D6614" w14:paraId="64A88966" w14:textId="77777777">
        <w:trPr>
          <w:jc w:val="center"/>
        </w:trPr>
        <w:tc>
          <w:tcPr>
            <w:tcW w:w="0" w:type="auto"/>
            <w:gridSpan w:val="3"/>
            <w:shd w:val="clear" w:color="auto" w:fill="FFFFFF"/>
            <w:tcMar>
              <w:top w:w="40" w:type="dxa"/>
              <w:left w:w="225" w:type="dxa"/>
              <w:bottom w:w="40" w:type="dxa"/>
              <w:right w:w="20" w:type="dxa"/>
            </w:tcMar>
            <w:vAlign w:val="bottom"/>
          </w:tcPr>
          <w:p w14:paraId="64A88953" w14:textId="77777777" w:rsidR="008D6614" w:rsidRDefault="00866AF2">
            <w:pPr>
              <w:textAlignment w:val="bottom"/>
            </w:pPr>
            <w:r>
              <w:rPr>
                <w:rFonts w:ascii="Arial" w:eastAsia="宋体" w:hAnsi="Arial" w:cs="Arial"/>
                <w:color w:val="000000"/>
                <w:sz w:val="18"/>
                <w:szCs w:val="18"/>
              </w:rPr>
              <w:t>Common stock repurchased/forfeited</w:t>
            </w:r>
          </w:p>
        </w:tc>
        <w:tc>
          <w:tcPr>
            <w:tcW w:w="0" w:type="auto"/>
            <w:shd w:val="clear" w:color="auto" w:fill="auto"/>
            <w:vAlign w:val="center"/>
          </w:tcPr>
          <w:p w14:paraId="64A88954" w14:textId="77777777" w:rsidR="008D6614" w:rsidRDefault="008D6614">
            <w:pPr>
              <w:rPr>
                <w:rFonts w:ascii="宋体"/>
                <w:vanish/>
              </w:rPr>
            </w:pPr>
          </w:p>
        </w:tc>
        <w:tc>
          <w:tcPr>
            <w:tcW w:w="0" w:type="auto"/>
            <w:shd w:val="clear" w:color="auto" w:fill="auto"/>
            <w:vAlign w:val="center"/>
          </w:tcPr>
          <w:p w14:paraId="64A88955" w14:textId="77777777" w:rsidR="008D6614" w:rsidRDefault="008D6614">
            <w:pPr>
              <w:rPr>
                <w:rFonts w:ascii="宋体"/>
                <w:vanish/>
              </w:rPr>
            </w:pPr>
          </w:p>
        </w:tc>
        <w:tc>
          <w:tcPr>
            <w:tcW w:w="0" w:type="auto"/>
            <w:shd w:val="clear" w:color="auto" w:fill="auto"/>
            <w:vAlign w:val="center"/>
          </w:tcPr>
          <w:p w14:paraId="64A88956"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95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95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895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95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95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895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95D" w14:textId="77777777" w:rsidR="008D6614" w:rsidRDefault="008D6614">
            <w:pPr>
              <w:rPr>
                <w:rFonts w:ascii="宋体"/>
              </w:rPr>
            </w:pPr>
          </w:p>
        </w:tc>
        <w:tc>
          <w:tcPr>
            <w:tcW w:w="0" w:type="auto"/>
            <w:shd w:val="clear" w:color="auto" w:fill="auto"/>
            <w:vAlign w:val="center"/>
          </w:tcPr>
          <w:p w14:paraId="64A8895E" w14:textId="77777777" w:rsidR="008D6614" w:rsidRDefault="008D6614">
            <w:pPr>
              <w:rPr>
                <w:rFonts w:ascii="宋体"/>
              </w:rPr>
            </w:pPr>
          </w:p>
        </w:tc>
        <w:tc>
          <w:tcPr>
            <w:tcW w:w="0" w:type="auto"/>
            <w:shd w:val="clear" w:color="auto" w:fill="auto"/>
            <w:vAlign w:val="center"/>
          </w:tcPr>
          <w:p w14:paraId="64A8895F" w14:textId="77777777" w:rsidR="008D6614" w:rsidRDefault="008D6614">
            <w:pPr>
              <w:rPr>
                <w:rFonts w:ascii="宋体"/>
              </w:rPr>
            </w:pPr>
          </w:p>
        </w:tc>
        <w:tc>
          <w:tcPr>
            <w:tcW w:w="0" w:type="auto"/>
            <w:shd w:val="clear" w:color="auto" w:fill="auto"/>
            <w:vAlign w:val="center"/>
          </w:tcPr>
          <w:p w14:paraId="64A88960" w14:textId="77777777" w:rsidR="008D6614" w:rsidRDefault="008D6614">
            <w:pPr>
              <w:rPr>
                <w:rFonts w:ascii="宋体"/>
              </w:rPr>
            </w:pPr>
          </w:p>
        </w:tc>
        <w:tc>
          <w:tcPr>
            <w:tcW w:w="0" w:type="auto"/>
            <w:shd w:val="clear" w:color="auto" w:fill="auto"/>
            <w:vAlign w:val="center"/>
          </w:tcPr>
          <w:p w14:paraId="64A88961" w14:textId="77777777" w:rsidR="008D6614" w:rsidRDefault="008D6614">
            <w:pPr>
              <w:rPr>
                <w:rFonts w:ascii="宋体"/>
              </w:rPr>
            </w:pPr>
          </w:p>
        </w:tc>
        <w:tc>
          <w:tcPr>
            <w:tcW w:w="0" w:type="auto"/>
            <w:shd w:val="clear" w:color="auto" w:fill="auto"/>
            <w:vAlign w:val="center"/>
          </w:tcPr>
          <w:p w14:paraId="64A88962" w14:textId="77777777" w:rsidR="008D6614" w:rsidRDefault="008D6614">
            <w:pPr>
              <w:rPr>
                <w:rFonts w:ascii="宋体"/>
              </w:rPr>
            </w:pPr>
          </w:p>
        </w:tc>
        <w:tc>
          <w:tcPr>
            <w:tcW w:w="0" w:type="auto"/>
            <w:shd w:val="clear" w:color="auto" w:fill="auto"/>
            <w:vAlign w:val="center"/>
          </w:tcPr>
          <w:p w14:paraId="64A88963" w14:textId="77777777" w:rsidR="008D6614" w:rsidRDefault="008D6614">
            <w:pPr>
              <w:rPr>
                <w:rFonts w:ascii="宋体"/>
              </w:rPr>
            </w:pPr>
          </w:p>
        </w:tc>
        <w:tc>
          <w:tcPr>
            <w:tcW w:w="0" w:type="auto"/>
            <w:shd w:val="clear" w:color="auto" w:fill="auto"/>
            <w:vAlign w:val="center"/>
          </w:tcPr>
          <w:p w14:paraId="64A88964" w14:textId="77777777" w:rsidR="008D6614" w:rsidRDefault="008D6614">
            <w:pPr>
              <w:rPr>
                <w:rFonts w:ascii="宋体"/>
              </w:rPr>
            </w:pPr>
          </w:p>
        </w:tc>
        <w:tc>
          <w:tcPr>
            <w:tcW w:w="0" w:type="auto"/>
            <w:shd w:val="clear" w:color="auto" w:fill="auto"/>
            <w:vAlign w:val="center"/>
          </w:tcPr>
          <w:p w14:paraId="64A88965" w14:textId="77777777" w:rsidR="008D6614" w:rsidRDefault="008D6614">
            <w:pPr>
              <w:rPr>
                <w:rFonts w:ascii="宋体"/>
              </w:rPr>
            </w:pPr>
          </w:p>
        </w:tc>
      </w:tr>
      <w:tr w:rsidR="008D6614" w14:paraId="64A8897B" w14:textId="77777777">
        <w:trPr>
          <w:jc w:val="center"/>
        </w:trPr>
        <w:tc>
          <w:tcPr>
            <w:tcW w:w="0" w:type="auto"/>
            <w:gridSpan w:val="3"/>
            <w:shd w:val="clear" w:color="auto" w:fill="E2E2E2"/>
            <w:tcMar>
              <w:top w:w="40" w:type="dxa"/>
              <w:left w:w="720" w:type="dxa"/>
              <w:bottom w:w="40" w:type="dxa"/>
              <w:right w:w="20" w:type="dxa"/>
            </w:tcMar>
            <w:vAlign w:val="bottom"/>
          </w:tcPr>
          <w:p w14:paraId="64A88967" w14:textId="77777777" w:rsidR="008D6614" w:rsidRDefault="00866AF2">
            <w:pPr>
              <w:textAlignment w:val="bottom"/>
            </w:pPr>
            <w:r>
              <w:rPr>
                <w:rFonts w:ascii="Arial" w:eastAsia="宋体" w:hAnsi="Arial" w:cs="Arial"/>
                <w:color w:val="000000"/>
                <w:sz w:val="18"/>
                <w:szCs w:val="18"/>
              </w:rPr>
              <w:t>Balance, end of period</w:t>
            </w:r>
          </w:p>
        </w:tc>
        <w:tc>
          <w:tcPr>
            <w:tcW w:w="0" w:type="auto"/>
            <w:shd w:val="clear" w:color="auto" w:fill="auto"/>
            <w:vAlign w:val="center"/>
          </w:tcPr>
          <w:p w14:paraId="64A88968" w14:textId="77777777" w:rsidR="008D6614" w:rsidRDefault="008D6614">
            <w:pPr>
              <w:rPr>
                <w:rFonts w:ascii="宋体"/>
                <w:vanish/>
              </w:rPr>
            </w:pPr>
          </w:p>
        </w:tc>
        <w:tc>
          <w:tcPr>
            <w:tcW w:w="0" w:type="auto"/>
            <w:shd w:val="clear" w:color="auto" w:fill="auto"/>
            <w:vAlign w:val="center"/>
          </w:tcPr>
          <w:p w14:paraId="64A88969" w14:textId="77777777" w:rsidR="008D6614" w:rsidRDefault="008D6614">
            <w:pPr>
              <w:rPr>
                <w:rFonts w:ascii="宋体"/>
                <w:vanish/>
              </w:rPr>
            </w:pPr>
          </w:p>
        </w:tc>
        <w:tc>
          <w:tcPr>
            <w:tcW w:w="0" w:type="auto"/>
            <w:shd w:val="clear" w:color="auto" w:fill="auto"/>
            <w:vAlign w:val="center"/>
          </w:tcPr>
          <w:p w14:paraId="64A8896A"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96B"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96C" w14:textId="77777777" w:rsidR="008D6614" w:rsidRDefault="00866AF2">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bottom w:w="40" w:type="dxa"/>
              <w:right w:w="20" w:type="dxa"/>
            </w:tcMar>
            <w:vAlign w:val="bottom"/>
          </w:tcPr>
          <w:p w14:paraId="64A8896D"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896E" w14:textId="77777777" w:rsidR="008D6614" w:rsidRDefault="008D6614">
            <w:pPr>
              <w:rPr>
                <w:rFonts w:ascii="宋体"/>
              </w:rPr>
            </w:pPr>
          </w:p>
        </w:tc>
        <w:tc>
          <w:tcPr>
            <w:tcW w:w="0" w:type="auto"/>
            <w:shd w:val="clear" w:color="auto" w:fill="E2E2E2"/>
            <w:tcMar>
              <w:right w:w="20" w:type="dxa"/>
            </w:tcMar>
            <w:vAlign w:val="bottom"/>
          </w:tcPr>
          <w:p w14:paraId="64A8896F" w14:textId="77777777" w:rsidR="008D6614" w:rsidRDefault="008D6614">
            <w:pPr>
              <w:jc w:val="right"/>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970" w14:textId="77777777" w:rsidR="008D6614" w:rsidRDefault="00866AF2">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bottom w:w="40" w:type="dxa"/>
              <w:right w:w="20" w:type="dxa"/>
            </w:tcMar>
            <w:vAlign w:val="bottom"/>
          </w:tcPr>
          <w:p w14:paraId="64A8897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972" w14:textId="77777777" w:rsidR="008D6614" w:rsidRDefault="008D6614">
            <w:pPr>
              <w:rPr>
                <w:rFonts w:ascii="宋体"/>
              </w:rPr>
            </w:pPr>
          </w:p>
        </w:tc>
        <w:tc>
          <w:tcPr>
            <w:tcW w:w="0" w:type="auto"/>
            <w:shd w:val="clear" w:color="auto" w:fill="auto"/>
            <w:vAlign w:val="center"/>
          </w:tcPr>
          <w:p w14:paraId="64A88973" w14:textId="77777777" w:rsidR="008D6614" w:rsidRDefault="008D6614">
            <w:pPr>
              <w:rPr>
                <w:rFonts w:ascii="宋体"/>
              </w:rPr>
            </w:pPr>
          </w:p>
        </w:tc>
        <w:tc>
          <w:tcPr>
            <w:tcW w:w="0" w:type="auto"/>
            <w:shd w:val="clear" w:color="auto" w:fill="auto"/>
            <w:vAlign w:val="center"/>
          </w:tcPr>
          <w:p w14:paraId="64A88974" w14:textId="77777777" w:rsidR="008D6614" w:rsidRDefault="008D6614">
            <w:pPr>
              <w:rPr>
                <w:rFonts w:ascii="宋体"/>
              </w:rPr>
            </w:pPr>
          </w:p>
        </w:tc>
        <w:tc>
          <w:tcPr>
            <w:tcW w:w="0" w:type="auto"/>
            <w:shd w:val="clear" w:color="auto" w:fill="auto"/>
            <w:vAlign w:val="center"/>
          </w:tcPr>
          <w:p w14:paraId="64A88975" w14:textId="77777777" w:rsidR="008D6614" w:rsidRDefault="008D6614">
            <w:pPr>
              <w:rPr>
                <w:rFonts w:ascii="宋体"/>
              </w:rPr>
            </w:pPr>
          </w:p>
        </w:tc>
        <w:tc>
          <w:tcPr>
            <w:tcW w:w="0" w:type="auto"/>
            <w:shd w:val="clear" w:color="auto" w:fill="auto"/>
            <w:vAlign w:val="center"/>
          </w:tcPr>
          <w:p w14:paraId="64A88976" w14:textId="77777777" w:rsidR="008D6614" w:rsidRDefault="008D6614">
            <w:pPr>
              <w:rPr>
                <w:rFonts w:ascii="宋体"/>
              </w:rPr>
            </w:pPr>
          </w:p>
        </w:tc>
        <w:tc>
          <w:tcPr>
            <w:tcW w:w="0" w:type="auto"/>
            <w:shd w:val="clear" w:color="auto" w:fill="auto"/>
            <w:vAlign w:val="center"/>
          </w:tcPr>
          <w:p w14:paraId="64A88977" w14:textId="77777777" w:rsidR="008D6614" w:rsidRDefault="008D6614">
            <w:pPr>
              <w:rPr>
                <w:rFonts w:ascii="宋体"/>
              </w:rPr>
            </w:pPr>
          </w:p>
        </w:tc>
        <w:tc>
          <w:tcPr>
            <w:tcW w:w="0" w:type="auto"/>
            <w:shd w:val="clear" w:color="auto" w:fill="auto"/>
            <w:vAlign w:val="center"/>
          </w:tcPr>
          <w:p w14:paraId="64A88978" w14:textId="77777777" w:rsidR="008D6614" w:rsidRDefault="008D6614">
            <w:pPr>
              <w:rPr>
                <w:rFonts w:ascii="宋体"/>
              </w:rPr>
            </w:pPr>
          </w:p>
        </w:tc>
        <w:tc>
          <w:tcPr>
            <w:tcW w:w="0" w:type="auto"/>
            <w:shd w:val="clear" w:color="auto" w:fill="auto"/>
            <w:vAlign w:val="center"/>
          </w:tcPr>
          <w:p w14:paraId="64A88979" w14:textId="77777777" w:rsidR="008D6614" w:rsidRDefault="008D6614">
            <w:pPr>
              <w:rPr>
                <w:rFonts w:ascii="宋体"/>
              </w:rPr>
            </w:pPr>
          </w:p>
        </w:tc>
        <w:tc>
          <w:tcPr>
            <w:tcW w:w="0" w:type="auto"/>
            <w:shd w:val="clear" w:color="auto" w:fill="auto"/>
            <w:vAlign w:val="center"/>
          </w:tcPr>
          <w:p w14:paraId="64A8897A" w14:textId="77777777" w:rsidR="008D6614" w:rsidRDefault="008D6614">
            <w:pPr>
              <w:rPr>
                <w:rFonts w:ascii="宋体"/>
              </w:rPr>
            </w:pPr>
          </w:p>
        </w:tc>
      </w:tr>
      <w:tr w:rsidR="008D6614" w14:paraId="64A8898E" w14:textId="77777777">
        <w:trPr>
          <w:jc w:val="center"/>
        </w:trPr>
        <w:tc>
          <w:tcPr>
            <w:tcW w:w="0" w:type="auto"/>
            <w:gridSpan w:val="3"/>
            <w:shd w:val="clear" w:color="auto" w:fill="FFFFFF"/>
            <w:tcMar>
              <w:top w:w="40" w:type="dxa"/>
              <w:left w:w="20" w:type="dxa"/>
              <w:bottom w:w="40" w:type="dxa"/>
              <w:right w:w="20" w:type="dxa"/>
            </w:tcMar>
            <w:vAlign w:val="bottom"/>
          </w:tcPr>
          <w:p w14:paraId="64A8897C" w14:textId="77777777" w:rsidR="008D6614" w:rsidRDefault="00866AF2">
            <w:pPr>
              <w:textAlignment w:val="bottom"/>
            </w:pPr>
            <w:r>
              <w:rPr>
                <w:rFonts w:ascii="Arial" w:eastAsia="宋体" w:hAnsi="Arial" w:cs="Arial"/>
                <w:color w:val="000000"/>
                <w:sz w:val="18"/>
                <w:szCs w:val="18"/>
              </w:rPr>
              <w:t>Additional paid-in-capital:</w:t>
            </w:r>
          </w:p>
        </w:tc>
        <w:tc>
          <w:tcPr>
            <w:tcW w:w="0" w:type="auto"/>
            <w:shd w:val="clear" w:color="auto" w:fill="auto"/>
            <w:vAlign w:val="center"/>
          </w:tcPr>
          <w:p w14:paraId="64A8897D" w14:textId="77777777" w:rsidR="008D6614" w:rsidRDefault="008D6614">
            <w:pPr>
              <w:rPr>
                <w:rFonts w:ascii="宋体"/>
                <w:vanish/>
              </w:rPr>
            </w:pPr>
          </w:p>
        </w:tc>
        <w:tc>
          <w:tcPr>
            <w:tcW w:w="0" w:type="auto"/>
            <w:shd w:val="clear" w:color="auto" w:fill="auto"/>
            <w:vAlign w:val="center"/>
          </w:tcPr>
          <w:p w14:paraId="64A8897E" w14:textId="77777777" w:rsidR="008D6614" w:rsidRDefault="008D6614">
            <w:pPr>
              <w:rPr>
                <w:rFonts w:ascii="宋体"/>
                <w:vanish/>
              </w:rPr>
            </w:pPr>
          </w:p>
        </w:tc>
        <w:tc>
          <w:tcPr>
            <w:tcW w:w="0" w:type="auto"/>
            <w:shd w:val="clear" w:color="auto" w:fill="auto"/>
            <w:vAlign w:val="center"/>
          </w:tcPr>
          <w:p w14:paraId="64A8897F"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980"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981"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8982" w14:textId="77777777" w:rsidR="008D6614" w:rsidRDefault="008D6614">
            <w:pPr>
              <w:rPr>
                <w:rFonts w:ascii="宋体"/>
              </w:rPr>
            </w:pPr>
          </w:p>
        </w:tc>
        <w:tc>
          <w:tcPr>
            <w:tcW w:w="0" w:type="auto"/>
            <w:shd w:val="clear" w:color="auto" w:fill="FFFFFF"/>
            <w:tcMar>
              <w:right w:w="20" w:type="dxa"/>
            </w:tcMar>
            <w:vAlign w:val="bottom"/>
          </w:tcPr>
          <w:p w14:paraId="64A88983" w14:textId="77777777" w:rsidR="008D6614" w:rsidRDefault="008D6614">
            <w:pPr>
              <w:jc w:val="right"/>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984" w14:textId="77777777" w:rsidR="008D6614" w:rsidRDefault="008D6614">
            <w:pPr>
              <w:rPr>
                <w:rFonts w:ascii="宋体"/>
              </w:rPr>
            </w:pPr>
          </w:p>
        </w:tc>
        <w:tc>
          <w:tcPr>
            <w:tcW w:w="0" w:type="auto"/>
            <w:shd w:val="clear" w:color="auto" w:fill="auto"/>
            <w:vAlign w:val="center"/>
          </w:tcPr>
          <w:p w14:paraId="64A88985" w14:textId="77777777" w:rsidR="008D6614" w:rsidRDefault="008D6614">
            <w:pPr>
              <w:rPr>
                <w:rFonts w:ascii="宋体"/>
              </w:rPr>
            </w:pPr>
          </w:p>
        </w:tc>
        <w:tc>
          <w:tcPr>
            <w:tcW w:w="0" w:type="auto"/>
            <w:shd w:val="clear" w:color="auto" w:fill="auto"/>
            <w:vAlign w:val="center"/>
          </w:tcPr>
          <w:p w14:paraId="64A88986" w14:textId="77777777" w:rsidR="008D6614" w:rsidRDefault="008D6614">
            <w:pPr>
              <w:rPr>
                <w:rFonts w:ascii="宋体"/>
              </w:rPr>
            </w:pPr>
          </w:p>
        </w:tc>
        <w:tc>
          <w:tcPr>
            <w:tcW w:w="0" w:type="auto"/>
            <w:shd w:val="clear" w:color="auto" w:fill="auto"/>
            <w:vAlign w:val="center"/>
          </w:tcPr>
          <w:p w14:paraId="64A88987" w14:textId="77777777" w:rsidR="008D6614" w:rsidRDefault="008D6614">
            <w:pPr>
              <w:rPr>
                <w:rFonts w:ascii="宋体"/>
              </w:rPr>
            </w:pPr>
          </w:p>
        </w:tc>
        <w:tc>
          <w:tcPr>
            <w:tcW w:w="0" w:type="auto"/>
            <w:shd w:val="clear" w:color="auto" w:fill="auto"/>
            <w:vAlign w:val="center"/>
          </w:tcPr>
          <w:p w14:paraId="64A88988" w14:textId="77777777" w:rsidR="008D6614" w:rsidRDefault="008D6614">
            <w:pPr>
              <w:rPr>
                <w:rFonts w:ascii="宋体"/>
              </w:rPr>
            </w:pPr>
          </w:p>
        </w:tc>
        <w:tc>
          <w:tcPr>
            <w:tcW w:w="0" w:type="auto"/>
            <w:shd w:val="clear" w:color="auto" w:fill="auto"/>
            <w:vAlign w:val="center"/>
          </w:tcPr>
          <w:p w14:paraId="64A88989" w14:textId="77777777" w:rsidR="008D6614" w:rsidRDefault="008D6614">
            <w:pPr>
              <w:rPr>
                <w:rFonts w:ascii="宋体"/>
              </w:rPr>
            </w:pPr>
          </w:p>
        </w:tc>
        <w:tc>
          <w:tcPr>
            <w:tcW w:w="0" w:type="auto"/>
            <w:shd w:val="clear" w:color="auto" w:fill="auto"/>
            <w:vAlign w:val="center"/>
          </w:tcPr>
          <w:p w14:paraId="64A8898A" w14:textId="77777777" w:rsidR="008D6614" w:rsidRDefault="008D6614">
            <w:pPr>
              <w:rPr>
                <w:rFonts w:ascii="宋体"/>
              </w:rPr>
            </w:pPr>
          </w:p>
        </w:tc>
        <w:tc>
          <w:tcPr>
            <w:tcW w:w="0" w:type="auto"/>
            <w:shd w:val="clear" w:color="auto" w:fill="auto"/>
            <w:vAlign w:val="center"/>
          </w:tcPr>
          <w:p w14:paraId="64A8898B" w14:textId="77777777" w:rsidR="008D6614" w:rsidRDefault="008D6614">
            <w:pPr>
              <w:rPr>
                <w:rFonts w:ascii="宋体"/>
              </w:rPr>
            </w:pPr>
          </w:p>
        </w:tc>
        <w:tc>
          <w:tcPr>
            <w:tcW w:w="0" w:type="auto"/>
            <w:shd w:val="clear" w:color="auto" w:fill="auto"/>
            <w:vAlign w:val="center"/>
          </w:tcPr>
          <w:p w14:paraId="64A8898C" w14:textId="77777777" w:rsidR="008D6614" w:rsidRDefault="008D6614">
            <w:pPr>
              <w:rPr>
                <w:rFonts w:ascii="宋体"/>
              </w:rPr>
            </w:pPr>
          </w:p>
        </w:tc>
        <w:tc>
          <w:tcPr>
            <w:tcW w:w="0" w:type="auto"/>
            <w:shd w:val="clear" w:color="auto" w:fill="auto"/>
            <w:vAlign w:val="center"/>
          </w:tcPr>
          <w:p w14:paraId="64A8898D" w14:textId="77777777" w:rsidR="008D6614" w:rsidRDefault="008D6614">
            <w:pPr>
              <w:rPr>
                <w:rFonts w:ascii="宋体"/>
              </w:rPr>
            </w:pPr>
          </w:p>
        </w:tc>
      </w:tr>
      <w:tr w:rsidR="008D6614" w14:paraId="64A889A3" w14:textId="77777777">
        <w:trPr>
          <w:jc w:val="center"/>
        </w:trPr>
        <w:tc>
          <w:tcPr>
            <w:tcW w:w="0" w:type="auto"/>
            <w:gridSpan w:val="3"/>
            <w:shd w:val="clear" w:color="auto" w:fill="E2E2E2"/>
            <w:tcMar>
              <w:top w:w="40" w:type="dxa"/>
              <w:left w:w="225" w:type="dxa"/>
              <w:bottom w:w="40" w:type="dxa"/>
              <w:right w:w="20" w:type="dxa"/>
            </w:tcMar>
            <w:vAlign w:val="bottom"/>
          </w:tcPr>
          <w:p w14:paraId="64A8898F" w14:textId="77777777" w:rsidR="008D6614" w:rsidRDefault="00866AF2">
            <w:pPr>
              <w:textAlignment w:val="bottom"/>
            </w:pPr>
            <w:r>
              <w:rPr>
                <w:rFonts w:ascii="Arial" w:eastAsia="宋体" w:hAnsi="Arial" w:cs="Arial"/>
                <w:color w:val="000000"/>
                <w:sz w:val="18"/>
                <w:szCs w:val="18"/>
              </w:rPr>
              <w:t>Balance, beginning of period</w:t>
            </w:r>
          </w:p>
        </w:tc>
        <w:tc>
          <w:tcPr>
            <w:tcW w:w="0" w:type="auto"/>
            <w:shd w:val="clear" w:color="auto" w:fill="auto"/>
            <w:vAlign w:val="center"/>
          </w:tcPr>
          <w:p w14:paraId="64A88990" w14:textId="77777777" w:rsidR="008D6614" w:rsidRDefault="008D6614">
            <w:pPr>
              <w:rPr>
                <w:rFonts w:ascii="宋体"/>
                <w:vanish/>
              </w:rPr>
            </w:pPr>
          </w:p>
        </w:tc>
        <w:tc>
          <w:tcPr>
            <w:tcW w:w="0" w:type="auto"/>
            <w:shd w:val="clear" w:color="auto" w:fill="auto"/>
            <w:vAlign w:val="center"/>
          </w:tcPr>
          <w:p w14:paraId="64A88991" w14:textId="77777777" w:rsidR="008D6614" w:rsidRDefault="008D6614">
            <w:pPr>
              <w:rPr>
                <w:rFonts w:ascii="宋体"/>
                <w:vanish/>
              </w:rPr>
            </w:pPr>
          </w:p>
        </w:tc>
        <w:tc>
          <w:tcPr>
            <w:tcW w:w="0" w:type="auto"/>
            <w:shd w:val="clear" w:color="auto" w:fill="auto"/>
            <w:vAlign w:val="center"/>
          </w:tcPr>
          <w:p w14:paraId="64A88992"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99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994" w14:textId="77777777" w:rsidR="008D6614" w:rsidRDefault="00866AF2">
            <w:pPr>
              <w:jc w:val="right"/>
              <w:textAlignment w:val="bottom"/>
            </w:pPr>
            <w:r>
              <w:rPr>
                <w:rFonts w:ascii="Arial" w:eastAsia="宋体" w:hAnsi="Arial" w:cs="Arial"/>
                <w:color w:val="000000"/>
                <w:sz w:val="18"/>
                <w:szCs w:val="18"/>
              </w:rPr>
              <w:t>16,126 </w:t>
            </w:r>
          </w:p>
        </w:tc>
        <w:tc>
          <w:tcPr>
            <w:tcW w:w="0" w:type="auto"/>
            <w:shd w:val="clear" w:color="auto" w:fill="E2E2E2"/>
            <w:tcMar>
              <w:top w:w="40" w:type="dxa"/>
              <w:bottom w:w="40" w:type="dxa"/>
              <w:right w:w="20" w:type="dxa"/>
            </w:tcMar>
            <w:vAlign w:val="bottom"/>
          </w:tcPr>
          <w:p w14:paraId="64A88995"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8996" w14:textId="77777777" w:rsidR="008D6614" w:rsidRDefault="008D6614">
            <w:pPr>
              <w:rPr>
                <w:rFonts w:ascii="宋体"/>
              </w:rPr>
            </w:pPr>
          </w:p>
        </w:tc>
        <w:tc>
          <w:tcPr>
            <w:tcW w:w="0" w:type="auto"/>
            <w:shd w:val="clear" w:color="auto" w:fill="E2E2E2"/>
            <w:tcMar>
              <w:right w:w="20" w:type="dxa"/>
            </w:tcMar>
            <w:vAlign w:val="bottom"/>
          </w:tcPr>
          <w:p w14:paraId="64A88997"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8998" w14:textId="77777777" w:rsidR="008D6614" w:rsidRDefault="00866AF2">
            <w:pPr>
              <w:jc w:val="right"/>
              <w:textAlignment w:val="bottom"/>
            </w:pPr>
            <w:r>
              <w:rPr>
                <w:rFonts w:ascii="Arial" w:eastAsia="宋体" w:hAnsi="Arial" w:cs="Arial"/>
                <w:color w:val="000000"/>
                <w:sz w:val="18"/>
                <w:szCs w:val="18"/>
              </w:rPr>
              <w:t>15,716 </w:t>
            </w:r>
          </w:p>
        </w:tc>
        <w:tc>
          <w:tcPr>
            <w:tcW w:w="0" w:type="auto"/>
            <w:shd w:val="clear" w:color="auto" w:fill="E2E2E2"/>
            <w:tcMar>
              <w:top w:w="40" w:type="dxa"/>
              <w:bottom w:w="40" w:type="dxa"/>
              <w:right w:w="20" w:type="dxa"/>
            </w:tcMar>
            <w:vAlign w:val="bottom"/>
          </w:tcPr>
          <w:p w14:paraId="64A8899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99A" w14:textId="77777777" w:rsidR="008D6614" w:rsidRDefault="008D6614">
            <w:pPr>
              <w:rPr>
                <w:rFonts w:ascii="宋体"/>
              </w:rPr>
            </w:pPr>
          </w:p>
        </w:tc>
        <w:tc>
          <w:tcPr>
            <w:tcW w:w="0" w:type="auto"/>
            <w:shd w:val="clear" w:color="auto" w:fill="auto"/>
            <w:vAlign w:val="center"/>
          </w:tcPr>
          <w:p w14:paraId="64A8899B" w14:textId="77777777" w:rsidR="008D6614" w:rsidRDefault="008D6614">
            <w:pPr>
              <w:rPr>
                <w:rFonts w:ascii="宋体"/>
              </w:rPr>
            </w:pPr>
          </w:p>
        </w:tc>
        <w:tc>
          <w:tcPr>
            <w:tcW w:w="0" w:type="auto"/>
            <w:shd w:val="clear" w:color="auto" w:fill="auto"/>
            <w:vAlign w:val="center"/>
          </w:tcPr>
          <w:p w14:paraId="64A8899C" w14:textId="77777777" w:rsidR="008D6614" w:rsidRDefault="008D6614">
            <w:pPr>
              <w:rPr>
                <w:rFonts w:ascii="宋体"/>
              </w:rPr>
            </w:pPr>
          </w:p>
        </w:tc>
        <w:tc>
          <w:tcPr>
            <w:tcW w:w="0" w:type="auto"/>
            <w:shd w:val="clear" w:color="auto" w:fill="auto"/>
            <w:vAlign w:val="center"/>
          </w:tcPr>
          <w:p w14:paraId="64A8899D" w14:textId="77777777" w:rsidR="008D6614" w:rsidRDefault="008D6614">
            <w:pPr>
              <w:rPr>
                <w:rFonts w:ascii="宋体"/>
              </w:rPr>
            </w:pPr>
          </w:p>
        </w:tc>
        <w:tc>
          <w:tcPr>
            <w:tcW w:w="0" w:type="auto"/>
            <w:shd w:val="clear" w:color="auto" w:fill="auto"/>
            <w:vAlign w:val="center"/>
          </w:tcPr>
          <w:p w14:paraId="64A8899E" w14:textId="77777777" w:rsidR="008D6614" w:rsidRDefault="008D6614">
            <w:pPr>
              <w:rPr>
                <w:rFonts w:ascii="宋体"/>
              </w:rPr>
            </w:pPr>
          </w:p>
        </w:tc>
        <w:tc>
          <w:tcPr>
            <w:tcW w:w="0" w:type="auto"/>
            <w:shd w:val="clear" w:color="auto" w:fill="auto"/>
            <w:vAlign w:val="center"/>
          </w:tcPr>
          <w:p w14:paraId="64A8899F" w14:textId="77777777" w:rsidR="008D6614" w:rsidRDefault="008D6614">
            <w:pPr>
              <w:rPr>
                <w:rFonts w:ascii="宋体"/>
              </w:rPr>
            </w:pPr>
          </w:p>
        </w:tc>
        <w:tc>
          <w:tcPr>
            <w:tcW w:w="0" w:type="auto"/>
            <w:shd w:val="clear" w:color="auto" w:fill="auto"/>
            <w:vAlign w:val="center"/>
          </w:tcPr>
          <w:p w14:paraId="64A889A0" w14:textId="77777777" w:rsidR="008D6614" w:rsidRDefault="008D6614">
            <w:pPr>
              <w:rPr>
                <w:rFonts w:ascii="宋体"/>
              </w:rPr>
            </w:pPr>
          </w:p>
        </w:tc>
        <w:tc>
          <w:tcPr>
            <w:tcW w:w="0" w:type="auto"/>
            <w:shd w:val="clear" w:color="auto" w:fill="auto"/>
            <w:vAlign w:val="center"/>
          </w:tcPr>
          <w:p w14:paraId="64A889A1" w14:textId="77777777" w:rsidR="008D6614" w:rsidRDefault="008D6614">
            <w:pPr>
              <w:rPr>
                <w:rFonts w:ascii="宋体"/>
              </w:rPr>
            </w:pPr>
          </w:p>
        </w:tc>
        <w:tc>
          <w:tcPr>
            <w:tcW w:w="0" w:type="auto"/>
            <w:shd w:val="clear" w:color="auto" w:fill="auto"/>
            <w:vAlign w:val="center"/>
          </w:tcPr>
          <w:p w14:paraId="64A889A2" w14:textId="77777777" w:rsidR="008D6614" w:rsidRDefault="008D6614">
            <w:pPr>
              <w:rPr>
                <w:rFonts w:ascii="宋体"/>
              </w:rPr>
            </w:pPr>
          </w:p>
        </w:tc>
      </w:tr>
      <w:tr w:rsidR="008D6614" w14:paraId="64A889B8" w14:textId="77777777">
        <w:trPr>
          <w:jc w:val="center"/>
        </w:trPr>
        <w:tc>
          <w:tcPr>
            <w:tcW w:w="0" w:type="auto"/>
            <w:gridSpan w:val="3"/>
            <w:shd w:val="clear" w:color="auto" w:fill="FFFFFF"/>
            <w:tcMar>
              <w:top w:w="40" w:type="dxa"/>
              <w:left w:w="225" w:type="dxa"/>
              <w:bottom w:w="40" w:type="dxa"/>
              <w:right w:w="20" w:type="dxa"/>
            </w:tcMar>
            <w:vAlign w:val="bottom"/>
          </w:tcPr>
          <w:p w14:paraId="64A889A4" w14:textId="77777777" w:rsidR="008D6614" w:rsidRDefault="00866AF2">
            <w:pPr>
              <w:textAlignment w:val="bottom"/>
            </w:pPr>
            <w:r>
              <w:rPr>
                <w:rFonts w:ascii="Arial" w:eastAsia="宋体" w:hAnsi="Arial" w:cs="Arial"/>
                <w:color w:val="000000"/>
                <w:sz w:val="18"/>
                <w:szCs w:val="18"/>
              </w:rPr>
              <w:t>C</w:t>
            </w:r>
            <w:r>
              <w:rPr>
                <w:rFonts w:ascii="Arial" w:eastAsia="宋体" w:hAnsi="Arial" w:cs="Arial"/>
                <w:color w:val="000000"/>
                <w:sz w:val="18"/>
                <w:szCs w:val="18"/>
              </w:rPr>
              <w:t>ommon stock and stock-based awards issued</w:t>
            </w:r>
          </w:p>
        </w:tc>
        <w:tc>
          <w:tcPr>
            <w:tcW w:w="0" w:type="auto"/>
            <w:shd w:val="clear" w:color="auto" w:fill="auto"/>
            <w:vAlign w:val="center"/>
          </w:tcPr>
          <w:p w14:paraId="64A889A5" w14:textId="77777777" w:rsidR="008D6614" w:rsidRDefault="008D6614">
            <w:pPr>
              <w:rPr>
                <w:rFonts w:ascii="宋体"/>
                <w:vanish/>
              </w:rPr>
            </w:pPr>
          </w:p>
        </w:tc>
        <w:tc>
          <w:tcPr>
            <w:tcW w:w="0" w:type="auto"/>
            <w:shd w:val="clear" w:color="auto" w:fill="auto"/>
            <w:vAlign w:val="center"/>
          </w:tcPr>
          <w:p w14:paraId="64A889A6" w14:textId="77777777" w:rsidR="008D6614" w:rsidRDefault="008D6614">
            <w:pPr>
              <w:rPr>
                <w:rFonts w:ascii="宋体"/>
                <w:vanish/>
              </w:rPr>
            </w:pPr>
          </w:p>
        </w:tc>
        <w:tc>
          <w:tcPr>
            <w:tcW w:w="0" w:type="auto"/>
            <w:shd w:val="clear" w:color="auto" w:fill="auto"/>
            <w:vAlign w:val="center"/>
          </w:tcPr>
          <w:p w14:paraId="64A889A7"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9A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9A9" w14:textId="77777777" w:rsidR="008D6614" w:rsidRDefault="00866AF2">
            <w:pPr>
              <w:jc w:val="right"/>
              <w:textAlignment w:val="bottom"/>
            </w:pPr>
            <w:r>
              <w:rPr>
                <w:rFonts w:ascii="Arial" w:eastAsia="宋体" w:hAnsi="Arial" w:cs="Arial"/>
                <w:color w:val="000000"/>
                <w:sz w:val="18"/>
                <w:szCs w:val="18"/>
              </w:rPr>
              <w:t>4 </w:t>
            </w:r>
          </w:p>
        </w:tc>
        <w:tc>
          <w:tcPr>
            <w:tcW w:w="0" w:type="auto"/>
            <w:shd w:val="clear" w:color="auto" w:fill="FFFFFF"/>
            <w:tcMar>
              <w:top w:w="40" w:type="dxa"/>
              <w:bottom w:w="40" w:type="dxa"/>
              <w:right w:w="20" w:type="dxa"/>
            </w:tcMar>
            <w:vAlign w:val="bottom"/>
          </w:tcPr>
          <w:p w14:paraId="64A889AA"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89AB" w14:textId="77777777" w:rsidR="008D6614" w:rsidRDefault="008D6614">
            <w:pPr>
              <w:rPr>
                <w:rFonts w:ascii="宋体"/>
              </w:rPr>
            </w:pPr>
          </w:p>
        </w:tc>
        <w:tc>
          <w:tcPr>
            <w:tcW w:w="0" w:type="auto"/>
            <w:shd w:val="clear" w:color="auto" w:fill="FFFFFF"/>
            <w:tcMar>
              <w:right w:w="20" w:type="dxa"/>
            </w:tcMar>
            <w:vAlign w:val="bottom"/>
          </w:tcPr>
          <w:p w14:paraId="64A889AC"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89AD" w14:textId="77777777" w:rsidR="008D6614" w:rsidRDefault="00866AF2">
            <w:pPr>
              <w:jc w:val="right"/>
              <w:textAlignment w:val="bottom"/>
            </w:pPr>
            <w:r>
              <w:rPr>
                <w:rFonts w:ascii="Arial" w:eastAsia="宋体" w:hAnsi="Arial" w:cs="Arial"/>
                <w:color w:val="000000"/>
                <w:sz w:val="18"/>
                <w:szCs w:val="18"/>
              </w:rPr>
              <w:t>3 </w:t>
            </w:r>
          </w:p>
        </w:tc>
        <w:tc>
          <w:tcPr>
            <w:tcW w:w="0" w:type="auto"/>
            <w:shd w:val="clear" w:color="auto" w:fill="FFFFFF"/>
            <w:tcMar>
              <w:top w:w="40" w:type="dxa"/>
              <w:bottom w:w="40" w:type="dxa"/>
              <w:right w:w="20" w:type="dxa"/>
            </w:tcMar>
            <w:vAlign w:val="bottom"/>
          </w:tcPr>
          <w:p w14:paraId="64A889A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9AF" w14:textId="77777777" w:rsidR="008D6614" w:rsidRDefault="008D6614">
            <w:pPr>
              <w:rPr>
                <w:rFonts w:ascii="宋体"/>
              </w:rPr>
            </w:pPr>
          </w:p>
        </w:tc>
        <w:tc>
          <w:tcPr>
            <w:tcW w:w="0" w:type="auto"/>
            <w:shd w:val="clear" w:color="auto" w:fill="auto"/>
            <w:vAlign w:val="center"/>
          </w:tcPr>
          <w:p w14:paraId="64A889B0" w14:textId="77777777" w:rsidR="008D6614" w:rsidRDefault="008D6614">
            <w:pPr>
              <w:rPr>
                <w:rFonts w:ascii="宋体"/>
              </w:rPr>
            </w:pPr>
          </w:p>
        </w:tc>
        <w:tc>
          <w:tcPr>
            <w:tcW w:w="0" w:type="auto"/>
            <w:shd w:val="clear" w:color="auto" w:fill="auto"/>
            <w:vAlign w:val="center"/>
          </w:tcPr>
          <w:p w14:paraId="64A889B1" w14:textId="77777777" w:rsidR="008D6614" w:rsidRDefault="008D6614">
            <w:pPr>
              <w:rPr>
                <w:rFonts w:ascii="宋体"/>
              </w:rPr>
            </w:pPr>
          </w:p>
        </w:tc>
        <w:tc>
          <w:tcPr>
            <w:tcW w:w="0" w:type="auto"/>
            <w:shd w:val="clear" w:color="auto" w:fill="auto"/>
            <w:vAlign w:val="center"/>
          </w:tcPr>
          <w:p w14:paraId="64A889B2" w14:textId="77777777" w:rsidR="008D6614" w:rsidRDefault="008D6614">
            <w:pPr>
              <w:rPr>
                <w:rFonts w:ascii="宋体"/>
              </w:rPr>
            </w:pPr>
          </w:p>
        </w:tc>
        <w:tc>
          <w:tcPr>
            <w:tcW w:w="0" w:type="auto"/>
            <w:shd w:val="clear" w:color="auto" w:fill="auto"/>
            <w:vAlign w:val="center"/>
          </w:tcPr>
          <w:p w14:paraId="64A889B3" w14:textId="77777777" w:rsidR="008D6614" w:rsidRDefault="008D6614">
            <w:pPr>
              <w:rPr>
                <w:rFonts w:ascii="宋体"/>
              </w:rPr>
            </w:pPr>
          </w:p>
        </w:tc>
        <w:tc>
          <w:tcPr>
            <w:tcW w:w="0" w:type="auto"/>
            <w:shd w:val="clear" w:color="auto" w:fill="auto"/>
            <w:vAlign w:val="center"/>
          </w:tcPr>
          <w:p w14:paraId="64A889B4" w14:textId="77777777" w:rsidR="008D6614" w:rsidRDefault="008D6614">
            <w:pPr>
              <w:rPr>
                <w:rFonts w:ascii="宋体"/>
              </w:rPr>
            </w:pPr>
          </w:p>
        </w:tc>
        <w:tc>
          <w:tcPr>
            <w:tcW w:w="0" w:type="auto"/>
            <w:shd w:val="clear" w:color="auto" w:fill="auto"/>
            <w:vAlign w:val="center"/>
          </w:tcPr>
          <w:p w14:paraId="64A889B5" w14:textId="77777777" w:rsidR="008D6614" w:rsidRDefault="008D6614">
            <w:pPr>
              <w:rPr>
                <w:rFonts w:ascii="宋体"/>
              </w:rPr>
            </w:pPr>
          </w:p>
        </w:tc>
        <w:tc>
          <w:tcPr>
            <w:tcW w:w="0" w:type="auto"/>
            <w:shd w:val="clear" w:color="auto" w:fill="auto"/>
            <w:vAlign w:val="center"/>
          </w:tcPr>
          <w:p w14:paraId="64A889B6" w14:textId="77777777" w:rsidR="008D6614" w:rsidRDefault="008D6614">
            <w:pPr>
              <w:rPr>
                <w:rFonts w:ascii="宋体"/>
              </w:rPr>
            </w:pPr>
          </w:p>
        </w:tc>
        <w:tc>
          <w:tcPr>
            <w:tcW w:w="0" w:type="auto"/>
            <w:shd w:val="clear" w:color="auto" w:fill="auto"/>
            <w:vAlign w:val="center"/>
          </w:tcPr>
          <w:p w14:paraId="64A889B7" w14:textId="77777777" w:rsidR="008D6614" w:rsidRDefault="008D6614">
            <w:pPr>
              <w:rPr>
                <w:rFonts w:ascii="宋体"/>
              </w:rPr>
            </w:pPr>
          </w:p>
        </w:tc>
      </w:tr>
      <w:tr w:rsidR="008D6614" w14:paraId="64A889CC" w14:textId="77777777">
        <w:trPr>
          <w:jc w:val="center"/>
        </w:trPr>
        <w:tc>
          <w:tcPr>
            <w:tcW w:w="0" w:type="auto"/>
            <w:gridSpan w:val="3"/>
            <w:shd w:val="clear" w:color="auto" w:fill="E2E2E2"/>
            <w:tcMar>
              <w:top w:w="40" w:type="dxa"/>
              <w:left w:w="225" w:type="dxa"/>
              <w:bottom w:w="40" w:type="dxa"/>
              <w:right w:w="20" w:type="dxa"/>
            </w:tcMar>
            <w:vAlign w:val="bottom"/>
          </w:tcPr>
          <w:p w14:paraId="64A889B9" w14:textId="77777777" w:rsidR="008D6614" w:rsidRDefault="00866AF2">
            <w:pPr>
              <w:textAlignment w:val="bottom"/>
            </w:pPr>
            <w:r>
              <w:rPr>
                <w:rFonts w:ascii="Arial" w:eastAsia="宋体" w:hAnsi="Arial" w:cs="Arial"/>
                <w:color w:val="000000"/>
                <w:sz w:val="18"/>
                <w:szCs w:val="18"/>
              </w:rPr>
              <w:t>T</w:t>
            </w:r>
            <w:r>
              <w:rPr>
                <w:rFonts w:ascii="Arial" w:eastAsia="宋体" w:hAnsi="Arial" w:cs="Arial"/>
                <w:color w:val="000000"/>
                <w:sz w:val="18"/>
                <w:szCs w:val="18"/>
              </w:rPr>
              <w:t>ax withholdings related to net share settlements of restricted stock units and awards</w:t>
            </w:r>
          </w:p>
        </w:tc>
        <w:tc>
          <w:tcPr>
            <w:tcW w:w="0" w:type="auto"/>
            <w:shd w:val="clear" w:color="auto" w:fill="auto"/>
            <w:vAlign w:val="center"/>
          </w:tcPr>
          <w:p w14:paraId="64A889BA" w14:textId="77777777" w:rsidR="008D6614" w:rsidRDefault="008D6614">
            <w:pPr>
              <w:rPr>
                <w:rFonts w:ascii="宋体"/>
                <w:vanish/>
              </w:rPr>
            </w:pPr>
          </w:p>
        </w:tc>
        <w:tc>
          <w:tcPr>
            <w:tcW w:w="0" w:type="auto"/>
            <w:shd w:val="clear" w:color="auto" w:fill="auto"/>
            <w:vAlign w:val="center"/>
          </w:tcPr>
          <w:p w14:paraId="64A889BB" w14:textId="77777777" w:rsidR="008D6614" w:rsidRDefault="008D6614">
            <w:pPr>
              <w:rPr>
                <w:rFonts w:ascii="宋体"/>
                <w:vanish/>
              </w:rPr>
            </w:pPr>
          </w:p>
        </w:tc>
        <w:tc>
          <w:tcPr>
            <w:tcW w:w="0" w:type="auto"/>
            <w:shd w:val="clear" w:color="auto" w:fill="auto"/>
            <w:vAlign w:val="center"/>
          </w:tcPr>
          <w:p w14:paraId="64A889BC"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9B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9BE" w14:textId="77777777" w:rsidR="008D6614" w:rsidRDefault="00866AF2">
            <w:pPr>
              <w:jc w:val="right"/>
              <w:textAlignment w:val="bottom"/>
            </w:pPr>
            <w:r>
              <w:rPr>
                <w:rFonts w:ascii="Arial" w:eastAsia="宋体" w:hAnsi="Arial" w:cs="Arial"/>
                <w:color w:val="000000"/>
                <w:sz w:val="18"/>
                <w:szCs w:val="18"/>
              </w:rPr>
              <w:t>(40)</w:t>
            </w:r>
          </w:p>
        </w:tc>
        <w:tc>
          <w:tcPr>
            <w:tcW w:w="0" w:type="auto"/>
            <w:shd w:val="clear" w:color="auto" w:fill="E2E2E2"/>
            <w:tcMar>
              <w:top w:w="40" w:type="dxa"/>
              <w:bottom w:w="40" w:type="dxa"/>
              <w:right w:w="20" w:type="dxa"/>
            </w:tcMar>
            <w:vAlign w:val="bottom"/>
          </w:tcPr>
          <w:p w14:paraId="64A889B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9C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9C1" w14:textId="77777777" w:rsidR="008D6614" w:rsidRDefault="00866AF2">
            <w:pPr>
              <w:jc w:val="right"/>
              <w:textAlignment w:val="bottom"/>
            </w:pPr>
            <w:r>
              <w:rPr>
                <w:rFonts w:ascii="Arial" w:eastAsia="宋体" w:hAnsi="Arial" w:cs="Arial"/>
                <w:color w:val="000000"/>
                <w:sz w:val="18"/>
                <w:szCs w:val="18"/>
              </w:rPr>
              <w:t>(54)</w:t>
            </w:r>
          </w:p>
        </w:tc>
        <w:tc>
          <w:tcPr>
            <w:tcW w:w="0" w:type="auto"/>
            <w:shd w:val="clear" w:color="auto" w:fill="E2E2E2"/>
            <w:tcMar>
              <w:top w:w="40" w:type="dxa"/>
              <w:bottom w:w="40" w:type="dxa"/>
              <w:right w:w="20" w:type="dxa"/>
            </w:tcMar>
            <w:vAlign w:val="bottom"/>
          </w:tcPr>
          <w:p w14:paraId="64A889C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9C3" w14:textId="77777777" w:rsidR="008D6614" w:rsidRDefault="008D6614">
            <w:pPr>
              <w:rPr>
                <w:rFonts w:ascii="宋体"/>
              </w:rPr>
            </w:pPr>
          </w:p>
        </w:tc>
        <w:tc>
          <w:tcPr>
            <w:tcW w:w="0" w:type="auto"/>
            <w:shd w:val="clear" w:color="auto" w:fill="auto"/>
            <w:vAlign w:val="center"/>
          </w:tcPr>
          <w:p w14:paraId="64A889C4" w14:textId="77777777" w:rsidR="008D6614" w:rsidRDefault="008D6614">
            <w:pPr>
              <w:rPr>
                <w:rFonts w:ascii="宋体"/>
              </w:rPr>
            </w:pPr>
          </w:p>
        </w:tc>
        <w:tc>
          <w:tcPr>
            <w:tcW w:w="0" w:type="auto"/>
            <w:shd w:val="clear" w:color="auto" w:fill="auto"/>
            <w:vAlign w:val="center"/>
          </w:tcPr>
          <w:p w14:paraId="64A889C5" w14:textId="77777777" w:rsidR="008D6614" w:rsidRDefault="008D6614">
            <w:pPr>
              <w:rPr>
                <w:rFonts w:ascii="宋体"/>
              </w:rPr>
            </w:pPr>
          </w:p>
        </w:tc>
        <w:tc>
          <w:tcPr>
            <w:tcW w:w="0" w:type="auto"/>
            <w:shd w:val="clear" w:color="auto" w:fill="auto"/>
            <w:vAlign w:val="center"/>
          </w:tcPr>
          <w:p w14:paraId="64A889C6" w14:textId="77777777" w:rsidR="008D6614" w:rsidRDefault="008D6614">
            <w:pPr>
              <w:rPr>
                <w:rFonts w:ascii="宋体"/>
              </w:rPr>
            </w:pPr>
          </w:p>
        </w:tc>
        <w:tc>
          <w:tcPr>
            <w:tcW w:w="0" w:type="auto"/>
            <w:shd w:val="clear" w:color="auto" w:fill="auto"/>
            <w:vAlign w:val="center"/>
          </w:tcPr>
          <w:p w14:paraId="64A889C7" w14:textId="77777777" w:rsidR="008D6614" w:rsidRDefault="008D6614">
            <w:pPr>
              <w:rPr>
                <w:rFonts w:ascii="宋体"/>
              </w:rPr>
            </w:pPr>
          </w:p>
        </w:tc>
        <w:tc>
          <w:tcPr>
            <w:tcW w:w="0" w:type="auto"/>
            <w:shd w:val="clear" w:color="auto" w:fill="auto"/>
            <w:vAlign w:val="center"/>
          </w:tcPr>
          <w:p w14:paraId="64A889C8" w14:textId="77777777" w:rsidR="008D6614" w:rsidRDefault="008D6614">
            <w:pPr>
              <w:rPr>
                <w:rFonts w:ascii="宋体"/>
              </w:rPr>
            </w:pPr>
          </w:p>
        </w:tc>
        <w:tc>
          <w:tcPr>
            <w:tcW w:w="0" w:type="auto"/>
            <w:shd w:val="clear" w:color="auto" w:fill="auto"/>
            <w:vAlign w:val="center"/>
          </w:tcPr>
          <w:p w14:paraId="64A889C9" w14:textId="77777777" w:rsidR="008D6614" w:rsidRDefault="008D6614">
            <w:pPr>
              <w:rPr>
                <w:rFonts w:ascii="宋体"/>
              </w:rPr>
            </w:pPr>
          </w:p>
        </w:tc>
        <w:tc>
          <w:tcPr>
            <w:tcW w:w="0" w:type="auto"/>
            <w:shd w:val="clear" w:color="auto" w:fill="auto"/>
            <w:vAlign w:val="center"/>
          </w:tcPr>
          <w:p w14:paraId="64A889CA" w14:textId="77777777" w:rsidR="008D6614" w:rsidRDefault="008D6614">
            <w:pPr>
              <w:rPr>
                <w:rFonts w:ascii="宋体"/>
              </w:rPr>
            </w:pPr>
          </w:p>
        </w:tc>
        <w:tc>
          <w:tcPr>
            <w:tcW w:w="0" w:type="auto"/>
            <w:shd w:val="clear" w:color="auto" w:fill="auto"/>
            <w:vAlign w:val="center"/>
          </w:tcPr>
          <w:p w14:paraId="64A889CB" w14:textId="77777777" w:rsidR="008D6614" w:rsidRDefault="008D6614">
            <w:pPr>
              <w:rPr>
                <w:rFonts w:ascii="宋体"/>
              </w:rPr>
            </w:pPr>
          </w:p>
        </w:tc>
      </w:tr>
      <w:tr w:rsidR="008D6614" w14:paraId="64A889E1" w14:textId="77777777">
        <w:trPr>
          <w:jc w:val="center"/>
        </w:trPr>
        <w:tc>
          <w:tcPr>
            <w:tcW w:w="0" w:type="auto"/>
            <w:gridSpan w:val="3"/>
            <w:shd w:val="clear" w:color="auto" w:fill="FFFFFF"/>
            <w:tcMar>
              <w:top w:w="40" w:type="dxa"/>
              <w:left w:w="225" w:type="dxa"/>
              <w:bottom w:w="40" w:type="dxa"/>
              <w:right w:w="20" w:type="dxa"/>
            </w:tcMar>
            <w:vAlign w:val="bottom"/>
          </w:tcPr>
          <w:p w14:paraId="64A889CD" w14:textId="77777777" w:rsidR="008D6614" w:rsidRDefault="00866AF2">
            <w:pPr>
              <w:textAlignment w:val="bottom"/>
            </w:pPr>
            <w:r>
              <w:rPr>
                <w:rFonts w:ascii="Arial" w:eastAsia="宋体" w:hAnsi="Arial" w:cs="Arial"/>
                <w:color w:val="000000"/>
                <w:sz w:val="18"/>
                <w:szCs w:val="18"/>
              </w:rPr>
              <w:t>Stock-based compensation</w:t>
            </w:r>
          </w:p>
        </w:tc>
        <w:tc>
          <w:tcPr>
            <w:tcW w:w="0" w:type="auto"/>
            <w:shd w:val="clear" w:color="auto" w:fill="auto"/>
            <w:vAlign w:val="center"/>
          </w:tcPr>
          <w:p w14:paraId="64A889CE" w14:textId="77777777" w:rsidR="008D6614" w:rsidRDefault="008D6614">
            <w:pPr>
              <w:rPr>
                <w:rFonts w:ascii="宋体"/>
                <w:vanish/>
              </w:rPr>
            </w:pPr>
          </w:p>
        </w:tc>
        <w:tc>
          <w:tcPr>
            <w:tcW w:w="0" w:type="auto"/>
            <w:shd w:val="clear" w:color="auto" w:fill="auto"/>
            <w:vAlign w:val="center"/>
          </w:tcPr>
          <w:p w14:paraId="64A889CF" w14:textId="77777777" w:rsidR="008D6614" w:rsidRDefault="008D6614">
            <w:pPr>
              <w:rPr>
                <w:rFonts w:ascii="宋体"/>
                <w:vanish/>
              </w:rPr>
            </w:pPr>
          </w:p>
        </w:tc>
        <w:tc>
          <w:tcPr>
            <w:tcW w:w="0" w:type="auto"/>
            <w:shd w:val="clear" w:color="auto" w:fill="auto"/>
            <w:vAlign w:val="center"/>
          </w:tcPr>
          <w:p w14:paraId="64A889D0"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9D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9D2" w14:textId="77777777" w:rsidR="008D6614" w:rsidRDefault="00866AF2">
            <w:pPr>
              <w:jc w:val="right"/>
              <w:textAlignment w:val="bottom"/>
            </w:pPr>
            <w:r>
              <w:rPr>
                <w:rFonts w:ascii="Arial" w:eastAsia="宋体" w:hAnsi="Arial" w:cs="Arial"/>
                <w:color w:val="000000"/>
                <w:sz w:val="18"/>
                <w:szCs w:val="18"/>
              </w:rPr>
              <w:t>94 </w:t>
            </w:r>
          </w:p>
        </w:tc>
        <w:tc>
          <w:tcPr>
            <w:tcW w:w="0" w:type="auto"/>
            <w:shd w:val="clear" w:color="auto" w:fill="FFFFFF"/>
            <w:tcMar>
              <w:top w:w="40" w:type="dxa"/>
              <w:bottom w:w="40" w:type="dxa"/>
              <w:right w:w="20" w:type="dxa"/>
            </w:tcMar>
            <w:vAlign w:val="bottom"/>
          </w:tcPr>
          <w:p w14:paraId="64A889D3"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89D4" w14:textId="77777777" w:rsidR="008D6614" w:rsidRDefault="008D6614">
            <w:pPr>
              <w:rPr>
                <w:rFonts w:ascii="宋体"/>
              </w:rPr>
            </w:pPr>
          </w:p>
        </w:tc>
        <w:tc>
          <w:tcPr>
            <w:tcW w:w="0" w:type="auto"/>
            <w:shd w:val="clear" w:color="auto" w:fill="FFFFFF"/>
            <w:tcMar>
              <w:right w:w="20" w:type="dxa"/>
            </w:tcMar>
            <w:vAlign w:val="bottom"/>
          </w:tcPr>
          <w:p w14:paraId="64A889D5"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89D6" w14:textId="77777777" w:rsidR="008D6614" w:rsidRDefault="00866AF2">
            <w:pPr>
              <w:jc w:val="right"/>
              <w:textAlignment w:val="bottom"/>
            </w:pPr>
            <w:r>
              <w:rPr>
                <w:rFonts w:ascii="Arial" w:eastAsia="宋体" w:hAnsi="Arial" w:cs="Arial"/>
                <w:color w:val="000000"/>
                <w:sz w:val="18"/>
                <w:szCs w:val="18"/>
              </w:rPr>
              <w:t>121 </w:t>
            </w:r>
          </w:p>
        </w:tc>
        <w:tc>
          <w:tcPr>
            <w:tcW w:w="0" w:type="auto"/>
            <w:shd w:val="clear" w:color="auto" w:fill="FFFFFF"/>
            <w:tcMar>
              <w:top w:w="40" w:type="dxa"/>
              <w:bottom w:w="40" w:type="dxa"/>
              <w:right w:w="20" w:type="dxa"/>
            </w:tcMar>
            <w:vAlign w:val="bottom"/>
          </w:tcPr>
          <w:p w14:paraId="64A889D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9D8" w14:textId="77777777" w:rsidR="008D6614" w:rsidRDefault="008D6614">
            <w:pPr>
              <w:rPr>
                <w:rFonts w:ascii="宋体"/>
              </w:rPr>
            </w:pPr>
          </w:p>
        </w:tc>
        <w:tc>
          <w:tcPr>
            <w:tcW w:w="0" w:type="auto"/>
            <w:shd w:val="clear" w:color="auto" w:fill="auto"/>
            <w:vAlign w:val="center"/>
          </w:tcPr>
          <w:p w14:paraId="64A889D9" w14:textId="77777777" w:rsidR="008D6614" w:rsidRDefault="008D6614">
            <w:pPr>
              <w:rPr>
                <w:rFonts w:ascii="宋体"/>
              </w:rPr>
            </w:pPr>
          </w:p>
        </w:tc>
        <w:tc>
          <w:tcPr>
            <w:tcW w:w="0" w:type="auto"/>
            <w:shd w:val="clear" w:color="auto" w:fill="auto"/>
            <w:vAlign w:val="center"/>
          </w:tcPr>
          <w:p w14:paraId="64A889DA" w14:textId="77777777" w:rsidR="008D6614" w:rsidRDefault="008D6614">
            <w:pPr>
              <w:rPr>
                <w:rFonts w:ascii="宋体"/>
              </w:rPr>
            </w:pPr>
          </w:p>
        </w:tc>
        <w:tc>
          <w:tcPr>
            <w:tcW w:w="0" w:type="auto"/>
            <w:shd w:val="clear" w:color="auto" w:fill="auto"/>
            <w:vAlign w:val="center"/>
          </w:tcPr>
          <w:p w14:paraId="64A889DB" w14:textId="77777777" w:rsidR="008D6614" w:rsidRDefault="008D6614">
            <w:pPr>
              <w:rPr>
                <w:rFonts w:ascii="宋体"/>
              </w:rPr>
            </w:pPr>
          </w:p>
        </w:tc>
        <w:tc>
          <w:tcPr>
            <w:tcW w:w="0" w:type="auto"/>
            <w:shd w:val="clear" w:color="auto" w:fill="auto"/>
            <w:vAlign w:val="center"/>
          </w:tcPr>
          <w:p w14:paraId="64A889DC" w14:textId="77777777" w:rsidR="008D6614" w:rsidRDefault="008D6614">
            <w:pPr>
              <w:rPr>
                <w:rFonts w:ascii="宋体"/>
              </w:rPr>
            </w:pPr>
          </w:p>
        </w:tc>
        <w:tc>
          <w:tcPr>
            <w:tcW w:w="0" w:type="auto"/>
            <w:shd w:val="clear" w:color="auto" w:fill="auto"/>
            <w:vAlign w:val="center"/>
          </w:tcPr>
          <w:p w14:paraId="64A889DD" w14:textId="77777777" w:rsidR="008D6614" w:rsidRDefault="008D6614">
            <w:pPr>
              <w:rPr>
                <w:rFonts w:ascii="宋体"/>
              </w:rPr>
            </w:pPr>
          </w:p>
        </w:tc>
        <w:tc>
          <w:tcPr>
            <w:tcW w:w="0" w:type="auto"/>
            <w:shd w:val="clear" w:color="auto" w:fill="auto"/>
            <w:vAlign w:val="center"/>
          </w:tcPr>
          <w:p w14:paraId="64A889DE" w14:textId="77777777" w:rsidR="008D6614" w:rsidRDefault="008D6614">
            <w:pPr>
              <w:rPr>
                <w:rFonts w:ascii="宋体"/>
              </w:rPr>
            </w:pPr>
          </w:p>
        </w:tc>
        <w:tc>
          <w:tcPr>
            <w:tcW w:w="0" w:type="auto"/>
            <w:shd w:val="clear" w:color="auto" w:fill="auto"/>
            <w:vAlign w:val="center"/>
          </w:tcPr>
          <w:p w14:paraId="64A889DF" w14:textId="77777777" w:rsidR="008D6614" w:rsidRDefault="008D6614">
            <w:pPr>
              <w:rPr>
                <w:rFonts w:ascii="宋体"/>
              </w:rPr>
            </w:pPr>
          </w:p>
        </w:tc>
        <w:tc>
          <w:tcPr>
            <w:tcW w:w="0" w:type="auto"/>
            <w:shd w:val="clear" w:color="auto" w:fill="auto"/>
            <w:vAlign w:val="center"/>
          </w:tcPr>
          <w:p w14:paraId="64A889E0" w14:textId="77777777" w:rsidR="008D6614" w:rsidRDefault="008D6614">
            <w:pPr>
              <w:rPr>
                <w:rFonts w:ascii="宋体"/>
              </w:rPr>
            </w:pPr>
          </w:p>
        </w:tc>
      </w:tr>
      <w:tr w:rsidR="008D6614" w14:paraId="64A889F3" w14:textId="77777777">
        <w:trPr>
          <w:jc w:val="center"/>
          <w:hidden/>
        </w:trPr>
        <w:tc>
          <w:tcPr>
            <w:tcW w:w="0" w:type="auto"/>
            <w:gridSpan w:val="3"/>
            <w:shd w:val="clear" w:color="auto" w:fill="auto"/>
            <w:vAlign w:val="center"/>
          </w:tcPr>
          <w:p w14:paraId="64A889E2" w14:textId="77777777" w:rsidR="008D6614" w:rsidRDefault="008D6614">
            <w:pPr>
              <w:rPr>
                <w:rFonts w:ascii="宋体"/>
                <w:vanish/>
              </w:rPr>
            </w:pPr>
          </w:p>
        </w:tc>
        <w:tc>
          <w:tcPr>
            <w:tcW w:w="0" w:type="auto"/>
            <w:shd w:val="clear" w:color="auto" w:fill="auto"/>
            <w:vAlign w:val="center"/>
          </w:tcPr>
          <w:p w14:paraId="64A889E3" w14:textId="77777777" w:rsidR="008D6614" w:rsidRDefault="008D6614">
            <w:pPr>
              <w:rPr>
                <w:rFonts w:ascii="宋体"/>
                <w:vanish/>
              </w:rPr>
            </w:pPr>
          </w:p>
        </w:tc>
        <w:tc>
          <w:tcPr>
            <w:tcW w:w="0" w:type="auto"/>
            <w:shd w:val="clear" w:color="auto" w:fill="auto"/>
            <w:vAlign w:val="center"/>
          </w:tcPr>
          <w:p w14:paraId="64A889E4" w14:textId="77777777" w:rsidR="008D6614" w:rsidRDefault="008D6614">
            <w:pPr>
              <w:rPr>
                <w:rFonts w:ascii="宋体"/>
                <w:vanish/>
              </w:rPr>
            </w:pPr>
          </w:p>
        </w:tc>
        <w:tc>
          <w:tcPr>
            <w:tcW w:w="0" w:type="auto"/>
            <w:shd w:val="clear" w:color="auto" w:fill="auto"/>
            <w:vAlign w:val="center"/>
          </w:tcPr>
          <w:p w14:paraId="64A889E5" w14:textId="77777777" w:rsidR="008D6614" w:rsidRDefault="008D6614">
            <w:pPr>
              <w:rPr>
                <w:rFonts w:ascii="宋体"/>
                <w:vanish/>
              </w:rPr>
            </w:pPr>
          </w:p>
        </w:tc>
        <w:tc>
          <w:tcPr>
            <w:tcW w:w="0" w:type="auto"/>
            <w:gridSpan w:val="3"/>
            <w:shd w:val="clear" w:color="auto" w:fill="auto"/>
            <w:vAlign w:val="center"/>
          </w:tcPr>
          <w:p w14:paraId="64A889E6" w14:textId="77777777" w:rsidR="008D6614" w:rsidRDefault="008D6614">
            <w:pPr>
              <w:rPr>
                <w:rFonts w:ascii="宋体"/>
                <w:vanish/>
              </w:rPr>
            </w:pPr>
          </w:p>
        </w:tc>
        <w:tc>
          <w:tcPr>
            <w:tcW w:w="0" w:type="auto"/>
            <w:gridSpan w:val="3"/>
            <w:shd w:val="clear" w:color="auto" w:fill="auto"/>
            <w:vAlign w:val="center"/>
          </w:tcPr>
          <w:p w14:paraId="64A889E7" w14:textId="77777777" w:rsidR="008D6614" w:rsidRDefault="008D6614">
            <w:pPr>
              <w:rPr>
                <w:rFonts w:ascii="宋体"/>
                <w:vanish/>
              </w:rPr>
            </w:pPr>
          </w:p>
        </w:tc>
        <w:tc>
          <w:tcPr>
            <w:tcW w:w="0" w:type="auto"/>
            <w:gridSpan w:val="3"/>
            <w:shd w:val="clear" w:color="auto" w:fill="auto"/>
            <w:vAlign w:val="center"/>
          </w:tcPr>
          <w:p w14:paraId="64A889E8" w14:textId="77777777" w:rsidR="008D6614" w:rsidRDefault="008D6614">
            <w:pPr>
              <w:rPr>
                <w:rFonts w:ascii="宋体"/>
                <w:vanish/>
              </w:rPr>
            </w:pPr>
          </w:p>
        </w:tc>
        <w:tc>
          <w:tcPr>
            <w:tcW w:w="0" w:type="auto"/>
            <w:gridSpan w:val="3"/>
            <w:shd w:val="clear" w:color="auto" w:fill="auto"/>
            <w:vAlign w:val="center"/>
          </w:tcPr>
          <w:p w14:paraId="64A889E9" w14:textId="77777777" w:rsidR="008D6614" w:rsidRDefault="008D6614">
            <w:pPr>
              <w:rPr>
                <w:rFonts w:ascii="宋体"/>
                <w:vanish/>
              </w:rPr>
            </w:pPr>
          </w:p>
        </w:tc>
        <w:tc>
          <w:tcPr>
            <w:tcW w:w="0" w:type="auto"/>
            <w:shd w:val="clear" w:color="auto" w:fill="auto"/>
            <w:vAlign w:val="center"/>
          </w:tcPr>
          <w:p w14:paraId="64A889EA" w14:textId="77777777" w:rsidR="008D6614" w:rsidRDefault="008D6614">
            <w:pPr>
              <w:rPr>
                <w:rFonts w:ascii="宋体"/>
              </w:rPr>
            </w:pPr>
          </w:p>
        </w:tc>
        <w:tc>
          <w:tcPr>
            <w:tcW w:w="0" w:type="auto"/>
            <w:shd w:val="clear" w:color="auto" w:fill="auto"/>
            <w:vAlign w:val="center"/>
          </w:tcPr>
          <w:p w14:paraId="64A889EB" w14:textId="77777777" w:rsidR="008D6614" w:rsidRDefault="008D6614">
            <w:pPr>
              <w:rPr>
                <w:rFonts w:ascii="宋体"/>
              </w:rPr>
            </w:pPr>
          </w:p>
        </w:tc>
        <w:tc>
          <w:tcPr>
            <w:tcW w:w="0" w:type="auto"/>
            <w:shd w:val="clear" w:color="auto" w:fill="auto"/>
            <w:vAlign w:val="center"/>
          </w:tcPr>
          <w:p w14:paraId="64A889EC" w14:textId="77777777" w:rsidR="008D6614" w:rsidRDefault="008D6614">
            <w:pPr>
              <w:rPr>
                <w:rFonts w:ascii="宋体"/>
              </w:rPr>
            </w:pPr>
          </w:p>
        </w:tc>
        <w:tc>
          <w:tcPr>
            <w:tcW w:w="0" w:type="auto"/>
            <w:shd w:val="clear" w:color="auto" w:fill="auto"/>
            <w:vAlign w:val="center"/>
          </w:tcPr>
          <w:p w14:paraId="64A889ED" w14:textId="77777777" w:rsidR="008D6614" w:rsidRDefault="008D6614">
            <w:pPr>
              <w:rPr>
                <w:rFonts w:ascii="宋体"/>
              </w:rPr>
            </w:pPr>
          </w:p>
        </w:tc>
        <w:tc>
          <w:tcPr>
            <w:tcW w:w="0" w:type="auto"/>
            <w:shd w:val="clear" w:color="auto" w:fill="auto"/>
            <w:vAlign w:val="center"/>
          </w:tcPr>
          <w:p w14:paraId="64A889EE" w14:textId="77777777" w:rsidR="008D6614" w:rsidRDefault="008D6614">
            <w:pPr>
              <w:rPr>
                <w:rFonts w:ascii="宋体"/>
              </w:rPr>
            </w:pPr>
          </w:p>
        </w:tc>
        <w:tc>
          <w:tcPr>
            <w:tcW w:w="0" w:type="auto"/>
            <w:shd w:val="clear" w:color="auto" w:fill="auto"/>
            <w:vAlign w:val="center"/>
          </w:tcPr>
          <w:p w14:paraId="64A889EF" w14:textId="77777777" w:rsidR="008D6614" w:rsidRDefault="008D6614">
            <w:pPr>
              <w:rPr>
                <w:rFonts w:ascii="宋体"/>
              </w:rPr>
            </w:pPr>
          </w:p>
        </w:tc>
        <w:tc>
          <w:tcPr>
            <w:tcW w:w="0" w:type="auto"/>
            <w:shd w:val="clear" w:color="auto" w:fill="auto"/>
            <w:vAlign w:val="center"/>
          </w:tcPr>
          <w:p w14:paraId="64A889F0" w14:textId="77777777" w:rsidR="008D6614" w:rsidRDefault="008D6614">
            <w:pPr>
              <w:rPr>
                <w:rFonts w:ascii="宋体"/>
              </w:rPr>
            </w:pPr>
          </w:p>
        </w:tc>
        <w:tc>
          <w:tcPr>
            <w:tcW w:w="0" w:type="auto"/>
            <w:shd w:val="clear" w:color="auto" w:fill="auto"/>
            <w:vAlign w:val="center"/>
          </w:tcPr>
          <w:p w14:paraId="64A889F1" w14:textId="77777777" w:rsidR="008D6614" w:rsidRDefault="008D6614">
            <w:pPr>
              <w:rPr>
                <w:rFonts w:ascii="宋体"/>
              </w:rPr>
            </w:pPr>
          </w:p>
        </w:tc>
        <w:tc>
          <w:tcPr>
            <w:tcW w:w="0" w:type="auto"/>
            <w:shd w:val="clear" w:color="auto" w:fill="auto"/>
            <w:vAlign w:val="center"/>
          </w:tcPr>
          <w:p w14:paraId="64A889F2" w14:textId="77777777" w:rsidR="008D6614" w:rsidRDefault="008D6614">
            <w:pPr>
              <w:rPr>
                <w:rFonts w:ascii="宋体"/>
              </w:rPr>
            </w:pPr>
          </w:p>
        </w:tc>
      </w:tr>
      <w:tr w:rsidR="008D6614" w14:paraId="64A88A07" w14:textId="77777777">
        <w:trPr>
          <w:jc w:val="center"/>
        </w:trPr>
        <w:tc>
          <w:tcPr>
            <w:tcW w:w="0" w:type="auto"/>
            <w:gridSpan w:val="3"/>
            <w:shd w:val="clear" w:color="auto" w:fill="E2E2E2"/>
            <w:tcMar>
              <w:top w:w="40" w:type="dxa"/>
              <w:left w:w="225" w:type="dxa"/>
              <w:bottom w:w="40" w:type="dxa"/>
              <w:right w:w="20" w:type="dxa"/>
            </w:tcMar>
            <w:vAlign w:val="bottom"/>
          </w:tcPr>
          <w:p w14:paraId="64A889F4" w14:textId="77777777" w:rsidR="008D6614" w:rsidRDefault="00866AF2">
            <w:pPr>
              <w:textAlignment w:val="bottom"/>
            </w:pPr>
            <w:r>
              <w:rPr>
                <w:rFonts w:ascii="Arial" w:eastAsia="宋体" w:hAnsi="Arial" w:cs="Arial"/>
                <w:color w:val="000000"/>
                <w:sz w:val="18"/>
                <w:szCs w:val="18"/>
              </w:rPr>
              <w:t>Forward contract for share repurchase</w:t>
            </w:r>
          </w:p>
        </w:tc>
        <w:tc>
          <w:tcPr>
            <w:tcW w:w="0" w:type="auto"/>
            <w:shd w:val="clear" w:color="auto" w:fill="auto"/>
            <w:vAlign w:val="center"/>
          </w:tcPr>
          <w:p w14:paraId="64A889F5" w14:textId="77777777" w:rsidR="008D6614" w:rsidRDefault="008D6614">
            <w:pPr>
              <w:rPr>
                <w:rFonts w:ascii="宋体"/>
                <w:vanish/>
              </w:rPr>
            </w:pPr>
          </w:p>
        </w:tc>
        <w:tc>
          <w:tcPr>
            <w:tcW w:w="0" w:type="auto"/>
            <w:shd w:val="clear" w:color="auto" w:fill="auto"/>
            <w:vAlign w:val="center"/>
          </w:tcPr>
          <w:p w14:paraId="64A889F6" w14:textId="77777777" w:rsidR="008D6614" w:rsidRDefault="008D6614">
            <w:pPr>
              <w:rPr>
                <w:rFonts w:ascii="宋体"/>
                <w:vanish/>
              </w:rPr>
            </w:pPr>
          </w:p>
        </w:tc>
        <w:tc>
          <w:tcPr>
            <w:tcW w:w="0" w:type="auto"/>
            <w:shd w:val="clear" w:color="auto" w:fill="auto"/>
            <w:vAlign w:val="center"/>
          </w:tcPr>
          <w:p w14:paraId="64A889F7"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9F8"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9F9" w14:textId="77777777" w:rsidR="008D6614" w:rsidRDefault="00866AF2">
            <w:pPr>
              <w:jc w:val="right"/>
              <w:textAlignment w:val="bottom"/>
            </w:pPr>
            <w:r>
              <w:rPr>
                <w:rFonts w:ascii="Arial" w:eastAsia="宋体" w:hAnsi="Arial" w:cs="Arial"/>
                <w:color w:val="000000"/>
                <w:sz w:val="18"/>
                <w:szCs w:val="18"/>
              </w:rPr>
              <w:t>(450)</w:t>
            </w:r>
          </w:p>
        </w:tc>
        <w:tc>
          <w:tcPr>
            <w:tcW w:w="0" w:type="auto"/>
            <w:shd w:val="clear" w:color="auto" w:fill="E2E2E2"/>
            <w:tcMar>
              <w:top w:w="40" w:type="dxa"/>
              <w:bottom w:w="40" w:type="dxa"/>
              <w:right w:w="20" w:type="dxa"/>
            </w:tcMar>
            <w:vAlign w:val="bottom"/>
          </w:tcPr>
          <w:p w14:paraId="64A889F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9FB"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9F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89F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9FE" w14:textId="77777777" w:rsidR="008D6614" w:rsidRDefault="008D6614">
            <w:pPr>
              <w:rPr>
                <w:rFonts w:ascii="宋体"/>
              </w:rPr>
            </w:pPr>
          </w:p>
        </w:tc>
        <w:tc>
          <w:tcPr>
            <w:tcW w:w="0" w:type="auto"/>
            <w:shd w:val="clear" w:color="auto" w:fill="auto"/>
            <w:vAlign w:val="center"/>
          </w:tcPr>
          <w:p w14:paraId="64A889FF" w14:textId="77777777" w:rsidR="008D6614" w:rsidRDefault="008D6614">
            <w:pPr>
              <w:rPr>
                <w:rFonts w:ascii="宋体"/>
              </w:rPr>
            </w:pPr>
          </w:p>
        </w:tc>
        <w:tc>
          <w:tcPr>
            <w:tcW w:w="0" w:type="auto"/>
            <w:shd w:val="clear" w:color="auto" w:fill="auto"/>
            <w:vAlign w:val="center"/>
          </w:tcPr>
          <w:p w14:paraId="64A88A00" w14:textId="77777777" w:rsidR="008D6614" w:rsidRDefault="008D6614">
            <w:pPr>
              <w:rPr>
                <w:rFonts w:ascii="宋体"/>
              </w:rPr>
            </w:pPr>
          </w:p>
        </w:tc>
        <w:tc>
          <w:tcPr>
            <w:tcW w:w="0" w:type="auto"/>
            <w:shd w:val="clear" w:color="auto" w:fill="auto"/>
            <w:vAlign w:val="center"/>
          </w:tcPr>
          <w:p w14:paraId="64A88A01" w14:textId="77777777" w:rsidR="008D6614" w:rsidRDefault="008D6614">
            <w:pPr>
              <w:rPr>
                <w:rFonts w:ascii="宋体"/>
              </w:rPr>
            </w:pPr>
          </w:p>
        </w:tc>
        <w:tc>
          <w:tcPr>
            <w:tcW w:w="0" w:type="auto"/>
            <w:shd w:val="clear" w:color="auto" w:fill="auto"/>
            <w:vAlign w:val="center"/>
          </w:tcPr>
          <w:p w14:paraId="64A88A02" w14:textId="77777777" w:rsidR="008D6614" w:rsidRDefault="008D6614">
            <w:pPr>
              <w:rPr>
                <w:rFonts w:ascii="宋体"/>
              </w:rPr>
            </w:pPr>
          </w:p>
        </w:tc>
        <w:tc>
          <w:tcPr>
            <w:tcW w:w="0" w:type="auto"/>
            <w:shd w:val="clear" w:color="auto" w:fill="auto"/>
            <w:vAlign w:val="center"/>
          </w:tcPr>
          <w:p w14:paraId="64A88A03" w14:textId="77777777" w:rsidR="008D6614" w:rsidRDefault="008D6614">
            <w:pPr>
              <w:rPr>
                <w:rFonts w:ascii="宋体"/>
              </w:rPr>
            </w:pPr>
          </w:p>
        </w:tc>
        <w:tc>
          <w:tcPr>
            <w:tcW w:w="0" w:type="auto"/>
            <w:shd w:val="clear" w:color="auto" w:fill="auto"/>
            <w:vAlign w:val="center"/>
          </w:tcPr>
          <w:p w14:paraId="64A88A04" w14:textId="77777777" w:rsidR="008D6614" w:rsidRDefault="008D6614">
            <w:pPr>
              <w:rPr>
                <w:rFonts w:ascii="宋体"/>
              </w:rPr>
            </w:pPr>
          </w:p>
        </w:tc>
        <w:tc>
          <w:tcPr>
            <w:tcW w:w="0" w:type="auto"/>
            <w:shd w:val="clear" w:color="auto" w:fill="auto"/>
            <w:vAlign w:val="center"/>
          </w:tcPr>
          <w:p w14:paraId="64A88A05" w14:textId="77777777" w:rsidR="008D6614" w:rsidRDefault="008D6614">
            <w:pPr>
              <w:rPr>
                <w:rFonts w:ascii="宋体"/>
              </w:rPr>
            </w:pPr>
          </w:p>
        </w:tc>
        <w:tc>
          <w:tcPr>
            <w:tcW w:w="0" w:type="auto"/>
            <w:shd w:val="clear" w:color="auto" w:fill="auto"/>
            <w:vAlign w:val="center"/>
          </w:tcPr>
          <w:p w14:paraId="64A88A06" w14:textId="77777777" w:rsidR="008D6614" w:rsidRDefault="008D6614">
            <w:pPr>
              <w:rPr>
                <w:rFonts w:ascii="宋体"/>
              </w:rPr>
            </w:pPr>
          </w:p>
        </w:tc>
      </w:tr>
      <w:tr w:rsidR="008D6614" w14:paraId="64A88A1B" w14:textId="77777777">
        <w:trPr>
          <w:jc w:val="center"/>
        </w:trPr>
        <w:tc>
          <w:tcPr>
            <w:tcW w:w="0" w:type="auto"/>
            <w:gridSpan w:val="3"/>
            <w:shd w:val="clear" w:color="auto" w:fill="FFFFFF"/>
            <w:tcMar>
              <w:top w:w="40" w:type="dxa"/>
              <w:left w:w="225" w:type="dxa"/>
              <w:bottom w:w="40" w:type="dxa"/>
              <w:right w:w="20" w:type="dxa"/>
            </w:tcMar>
            <w:vAlign w:val="bottom"/>
          </w:tcPr>
          <w:p w14:paraId="64A88A08" w14:textId="77777777" w:rsidR="008D6614" w:rsidRDefault="00866AF2">
            <w:pPr>
              <w:textAlignment w:val="bottom"/>
            </w:pPr>
            <w:r>
              <w:rPr>
                <w:rFonts w:ascii="Arial" w:eastAsia="宋体" w:hAnsi="Arial" w:cs="Arial"/>
                <w:color w:val="000000"/>
                <w:sz w:val="18"/>
                <w:szCs w:val="18"/>
              </w:rPr>
              <w:t>Other</w:t>
            </w:r>
          </w:p>
        </w:tc>
        <w:tc>
          <w:tcPr>
            <w:tcW w:w="0" w:type="auto"/>
            <w:shd w:val="clear" w:color="auto" w:fill="auto"/>
            <w:vAlign w:val="center"/>
          </w:tcPr>
          <w:p w14:paraId="64A88A09" w14:textId="77777777" w:rsidR="008D6614" w:rsidRDefault="008D6614">
            <w:pPr>
              <w:rPr>
                <w:rFonts w:ascii="宋体"/>
                <w:vanish/>
              </w:rPr>
            </w:pPr>
          </w:p>
        </w:tc>
        <w:tc>
          <w:tcPr>
            <w:tcW w:w="0" w:type="auto"/>
            <w:shd w:val="clear" w:color="auto" w:fill="auto"/>
            <w:vAlign w:val="center"/>
          </w:tcPr>
          <w:p w14:paraId="64A88A0A" w14:textId="77777777" w:rsidR="008D6614" w:rsidRDefault="008D6614">
            <w:pPr>
              <w:rPr>
                <w:rFonts w:ascii="宋体"/>
                <w:vanish/>
              </w:rPr>
            </w:pPr>
          </w:p>
        </w:tc>
        <w:tc>
          <w:tcPr>
            <w:tcW w:w="0" w:type="auto"/>
            <w:shd w:val="clear" w:color="auto" w:fill="auto"/>
            <w:vAlign w:val="center"/>
          </w:tcPr>
          <w:p w14:paraId="64A88A0B"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A0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A0D" w14:textId="77777777" w:rsidR="008D6614" w:rsidRDefault="00866AF2">
            <w:pPr>
              <w:jc w:val="right"/>
              <w:textAlignment w:val="bottom"/>
            </w:pPr>
            <w:r>
              <w:rPr>
                <w:rFonts w:ascii="Arial" w:eastAsia="宋体" w:hAnsi="Arial" w:cs="Arial"/>
                <w:color w:val="000000"/>
                <w:sz w:val="18"/>
                <w:szCs w:val="18"/>
              </w:rPr>
              <w:t>(11)</w:t>
            </w:r>
          </w:p>
        </w:tc>
        <w:tc>
          <w:tcPr>
            <w:tcW w:w="0" w:type="auto"/>
            <w:shd w:val="clear" w:color="auto" w:fill="FFFFFF"/>
            <w:tcMar>
              <w:top w:w="40" w:type="dxa"/>
              <w:bottom w:w="40" w:type="dxa"/>
              <w:right w:w="20" w:type="dxa"/>
            </w:tcMar>
            <w:vAlign w:val="bottom"/>
          </w:tcPr>
          <w:p w14:paraId="64A88A0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A0F"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A10" w14:textId="77777777" w:rsidR="008D6614" w:rsidRDefault="00866AF2">
            <w:pPr>
              <w:jc w:val="right"/>
              <w:textAlignment w:val="bottom"/>
            </w:pPr>
            <w:r>
              <w:rPr>
                <w:rFonts w:ascii="Arial" w:eastAsia="宋体" w:hAnsi="Arial" w:cs="Arial"/>
                <w:color w:val="000000"/>
                <w:sz w:val="18"/>
                <w:szCs w:val="18"/>
              </w:rPr>
              <w:t>(1)</w:t>
            </w:r>
          </w:p>
        </w:tc>
        <w:tc>
          <w:tcPr>
            <w:tcW w:w="0" w:type="auto"/>
            <w:shd w:val="clear" w:color="auto" w:fill="FFFFFF"/>
            <w:tcMar>
              <w:top w:w="40" w:type="dxa"/>
              <w:bottom w:w="40" w:type="dxa"/>
              <w:right w:w="20" w:type="dxa"/>
            </w:tcMar>
            <w:vAlign w:val="bottom"/>
          </w:tcPr>
          <w:p w14:paraId="64A88A1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A12" w14:textId="77777777" w:rsidR="008D6614" w:rsidRDefault="008D6614">
            <w:pPr>
              <w:rPr>
                <w:rFonts w:ascii="宋体"/>
              </w:rPr>
            </w:pPr>
          </w:p>
        </w:tc>
        <w:tc>
          <w:tcPr>
            <w:tcW w:w="0" w:type="auto"/>
            <w:shd w:val="clear" w:color="auto" w:fill="auto"/>
            <w:vAlign w:val="center"/>
          </w:tcPr>
          <w:p w14:paraId="64A88A13" w14:textId="77777777" w:rsidR="008D6614" w:rsidRDefault="008D6614">
            <w:pPr>
              <w:rPr>
                <w:rFonts w:ascii="宋体"/>
              </w:rPr>
            </w:pPr>
          </w:p>
        </w:tc>
        <w:tc>
          <w:tcPr>
            <w:tcW w:w="0" w:type="auto"/>
            <w:shd w:val="clear" w:color="auto" w:fill="auto"/>
            <w:vAlign w:val="center"/>
          </w:tcPr>
          <w:p w14:paraId="64A88A14" w14:textId="77777777" w:rsidR="008D6614" w:rsidRDefault="008D6614">
            <w:pPr>
              <w:rPr>
                <w:rFonts w:ascii="宋体"/>
              </w:rPr>
            </w:pPr>
          </w:p>
        </w:tc>
        <w:tc>
          <w:tcPr>
            <w:tcW w:w="0" w:type="auto"/>
            <w:shd w:val="clear" w:color="auto" w:fill="auto"/>
            <w:vAlign w:val="center"/>
          </w:tcPr>
          <w:p w14:paraId="64A88A15" w14:textId="77777777" w:rsidR="008D6614" w:rsidRDefault="008D6614">
            <w:pPr>
              <w:rPr>
                <w:rFonts w:ascii="宋体"/>
              </w:rPr>
            </w:pPr>
          </w:p>
        </w:tc>
        <w:tc>
          <w:tcPr>
            <w:tcW w:w="0" w:type="auto"/>
            <w:shd w:val="clear" w:color="auto" w:fill="auto"/>
            <w:vAlign w:val="center"/>
          </w:tcPr>
          <w:p w14:paraId="64A88A16" w14:textId="77777777" w:rsidR="008D6614" w:rsidRDefault="008D6614">
            <w:pPr>
              <w:rPr>
                <w:rFonts w:ascii="宋体"/>
              </w:rPr>
            </w:pPr>
          </w:p>
        </w:tc>
        <w:tc>
          <w:tcPr>
            <w:tcW w:w="0" w:type="auto"/>
            <w:shd w:val="clear" w:color="auto" w:fill="auto"/>
            <w:vAlign w:val="center"/>
          </w:tcPr>
          <w:p w14:paraId="64A88A17" w14:textId="77777777" w:rsidR="008D6614" w:rsidRDefault="008D6614">
            <w:pPr>
              <w:rPr>
                <w:rFonts w:ascii="宋体"/>
              </w:rPr>
            </w:pPr>
          </w:p>
        </w:tc>
        <w:tc>
          <w:tcPr>
            <w:tcW w:w="0" w:type="auto"/>
            <w:shd w:val="clear" w:color="auto" w:fill="auto"/>
            <w:vAlign w:val="center"/>
          </w:tcPr>
          <w:p w14:paraId="64A88A18" w14:textId="77777777" w:rsidR="008D6614" w:rsidRDefault="008D6614">
            <w:pPr>
              <w:rPr>
                <w:rFonts w:ascii="宋体"/>
              </w:rPr>
            </w:pPr>
          </w:p>
        </w:tc>
        <w:tc>
          <w:tcPr>
            <w:tcW w:w="0" w:type="auto"/>
            <w:shd w:val="clear" w:color="auto" w:fill="auto"/>
            <w:vAlign w:val="center"/>
          </w:tcPr>
          <w:p w14:paraId="64A88A19" w14:textId="77777777" w:rsidR="008D6614" w:rsidRDefault="008D6614">
            <w:pPr>
              <w:rPr>
                <w:rFonts w:ascii="宋体"/>
              </w:rPr>
            </w:pPr>
          </w:p>
        </w:tc>
        <w:tc>
          <w:tcPr>
            <w:tcW w:w="0" w:type="auto"/>
            <w:shd w:val="clear" w:color="auto" w:fill="auto"/>
            <w:vAlign w:val="center"/>
          </w:tcPr>
          <w:p w14:paraId="64A88A1A" w14:textId="77777777" w:rsidR="008D6614" w:rsidRDefault="008D6614">
            <w:pPr>
              <w:rPr>
                <w:rFonts w:ascii="宋体"/>
              </w:rPr>
            </w:pPr>
          </w:p>
        </w:tc>
      </w:tr>
      <w:tr w:rsidR="008D6614" w14:paraId="64A88A30" w14:textId="77777777">
        <w:trPr>
          <w:jc w:val="center"/>
        </w:trPr>
        <w:tc>
          <w:tcPr>
            <w:tcW w:w="0" w:type="auto"/>
            <w:gridSpan w:val="3"/>
            <w:shd w:val="clear" w:color="auto" w:fill="E2E2E2"/>
            <w:tcMar>
              <w:top w:w="40" w:type="dxa"/>
              <w:left w:w="720" w:type="dxa"/>
              <w:bottom w:w="40" w:type="dxa"/>
              <w:right w:w="20" w:type="dxa"/>
            </w:tcMar>
            <w:vAlign w:val="bottom"/>
          </w:tcPr>
          <w:p w14:paraId="64A88A1C" w14:textId="77777777" w:rsidR="008D6614" w:rsidRDefault="00866AF2">
            <w:pPr>
              <w:textAlignment w:val="bottom"/>
            </w:pPr>
            <w:r>
              <w:rPr>
                <w:rFonts w:ascii="Arial" w:eastAsia="宋体" w:hAnsi="Arial" w:cs="Arial"/>
                <w:color w:val="000000"/>
                <w:sz w:val="18"/>
                <w:szCs w:val="18"/>
              </w:rPr>
              <w:t>Balance, end of period</w:t>
            </w:r>
          </w:p>
        </w:tc>
        <w:tc>
          <w:tcPr>
            <w:tcW w:w="0" w:type="auto"/>
            <w:shd w:val="clear" w:color="auto" w:fill="auto"/>
            <w:vAlign w:val="center"/>
          </w:tcPr>
          <w:p w14:paraId="64A88A1D" w14:textId="77777777" w:rsidR="008D6614" w:rsidRDefault="008D6614">
            <w:pPr>
              <w:rPr>
                <w:rFonts w:ascii="宋体"/>
                <w:vanish/>
              </w:rPr>
            </w:pPr>
          </w:p>
        </w:tc>
        <w:tc>
          <w:tcPr>
            <w:tcW w:w="0" w:type="auto"/>
            <w:shd w:val="clear" w:color="auto" w:fill="auto"/>
            <w:vAlign w:val="center"/>
          </w:tcPr>
          <w:p w14:paraId="64A88A1E" w14:textId="77777777" w:rsidR="008D6614" w:rsidRDefault="008D6614">
            <w:pPr>
              <w:rPr>
                <w:rFonts w:ascii="宋体"/>
                <w:vanish/>
              </w:rPr>
            </w:pPr>
          </w:p>
        </w:tc>
        <w:tc>
          <w:tcPr>
            <w:tcW w:w="0" w:type="auto"/>
            <w:shd w:val="clear" w:color="auto" w:fill="auto"/>
            <w:vAlign w:val="center"/>
          </w:tcPr>
          <w:p w14:paraId="64A88A1F"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A20"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A21" w14:textId="77777777" w:rsidR="008D6614" w:rsidRDefault="00866AF2">
            <w:pPr>
              <w:jc w:val="right"/>
              <w:textAlignment w:val="bottom"/>
            </w:pPr>
            <w:r>
              <w:rPr>
                <w:rFonts w:ascii="Arial" w:eastAsia="宋体" w:hAnsi="Arial" w:cs="Arial"/>
                <w:color w:val="000000"/>
                <w:sz w:val="18"/>
                <w:szCs w:val="18"/>
              </w:rPr>
              <w:t>15,723 </w:t>
            </w:r>
          </w:p>
        </w:tc>
        <w:tc>
          <w:tcPr>
            <w:tcW w:w="0" w:type="auto"/>
            <w:tcBorders>
              <w:top w:val="single" w:sz="8" w:space="0" w:color="000000"/>
            </w:tcBorders>
            <w:shd w:val="clear" w:color="auto" w:fill="E2E2E2"/>
            <w:tcMar>
              <w:top w:w="40" w:type="dxa"/>
              <w:bottom w:w="40" w:type="dxa"/>
              <w:right w:w="20" w:type="dxa"/>
            </w:tcMar>
            <w:vAlign w:val="bottom"/>
          </w:tcPr>
          <w:p w14:paraId="64A88A22"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8A23" w14:textId="77777777" w:rsidR="008D6614" w:rsidRDefault="008D6614">
            <w:pPr>
              <w:rPr>
                <w:rFonts w:ascii="宋体"/>
              </w:rPr>
            </w:pPr>
          </w:p>
        </w:tc>
        <w:tc>
          <w:tcPr>
            <w:tcW w:w="0" w:type="auto"/>
            <w:shd w:val="clear" w:color="auto" w:fill="E2E2E2"/>
            <w:tcMar>
              <w:right w:w="20" w:type="dxa"/>
            </w:tcMar>
            <w:vAlign w:val="bottom"/>
          </w:tcPr>
          <w:p w14:paraId="64A88A24" w14:textId="77777777" w:rsidR="008D6614" w:rsidRDefault="008D6614">
            <w:pPr>
              <w:jc w:val="right"/>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A25" w14:textId="77777777" w:rsidR="008D6614" w:rsidRDefault="00866AF2">
            <w:pPr>
              <w:jc w:val="right"/>
              <w:textAlignment w:val="bottom"/>
            </w:pPr>
            <w:r>
              <w:rPr>
                <w:rFonts w:ascii="Arial" w:eastAsia="宋体" w:hAnsi="Arial" w:cs="Arial"/>
                <w:color w:val="000000"/>
                <w:sz w:val="18"/>
                <w:szCs w:val="18"/>
              </w:rPr>
              <w:t>15,785 </w:t>
            </w:r>
          </w:p>
        </w:tc>
        <w:tc>
          <w:tcPr>
            <w:tcW w:w="0" w:type="auto"/>
            <w:tcBorders>
              <w:top w:val="single" w:sz="8" w:space="0" w:color="000000"/>
            </w:tcBorders>
            <w:shd w:val="clear" w:color="auto" w:fill="E2E2E2"/>
            <w:tcMar>
              <w:top w:w="40" w:type="dxa"/>
              <w:bottom w:w="40" w:type="dxa"/>
              <w:right w:w="20" w:type="dxa"/>
            </w:tcMar>
            <w:vAlign w:val="bottom"/>
          </w:tcPr>
          <w:p w14:paraId="64A88A2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A27" w14:textId="77777777" w:rsidR="008D6614" w:rsidRDefault="008D6614">
            <w:pPr>
              <w:rPr>
                <w:rFonts w:ascii="宋体"/>
              </w:rPr>
            </w:pPr>
          </w:p>
        </w:tc>
        <w:tc>
          <w:tcPr>
            <w:tcW w:w="0" w:type="auto"/>
            <w:shd w:val="clear" w:color="auto" w:fill="auto"/>
            <w:vAlign w:val="center"/>
          </w:tcPr>
          <w:p w14:paraId="64A88A28" w14:textId="77777777" w:rsidR="008D6614" w:rsidRDefault="008D6614">
            <w:pPr>
              <w:rPr>
                <w:rFonts w:ascii="宋体"/>
              </w:rPr>
            </w:pPr>
          </w:p>
        </w:tc>
        <w:tc>
          <w:tcPr>
            <w:tcW w:w="0" w:type="auto"/>
            <w:shd w:val="clear" w:color="auto" w:fill="auto"/>
            <w:vAlign w:val="center"/>
          </w:tcPr>
          <w:p w14:paraId="64A88A29" w14:textId="77777777" w:rsidR="008D6614" w:rsidRDefault="008D6614">
            <w:pPr>
              <w:rPr>
                <w:rFonts w:ascii="宋体"/>
              </w:rPr>
            </w:pPr>
          </w:p>
        </w:tc>
        <w:tc>
          <w:tcPr>
            <w:tcW w:w="0" w:type="auto"/>
            <w:shd w:val="clear" w:color="auto" w:fill="auto"/>
            <w:vAlign w:val="center"/>
          </w:tcPr>
          <w:p w14:paraId="64A88A2A" w14:textId="77777777" w:rsidR="008D6614" w:rsidRDefault="008D6614">
            <w:pPr>
              <w:rPr>
                <w:rFonts w:ascii="宋体"/>
              </w:rPr>
            </w:pPr>
          </w:p>
        </w:tc>
        <w:tc>
          <w:tcPr>
            <w:tcW w:w="0" w:type="auto"/>
            <w:shd w:val="clear" w:color="auto" w:fill="auto"/>
            <w:vAlign w:val="center"/>
          </w:tcPr>
          <w:p w14:paraId="64A88A2B" w14:textId="77777777" w:rsidR="008D6614" w:rsidRDefault="008D6614">
            <w:pPr>
              <w:rPr>
                <w:rFonts w:ascii="宋体"/>
              </w:rPr>
            </w:pPr>
          </w:p>
        </w:tc>
        <w:tc>
          <w:tcPr>
            <w:tcW w:w="0" w:type="auto"/>
            <w:shd w:val="clear" w:color="auto" w:fill="auto"/>
            <w:vAlign w:val="center"/>
          </w:tcPr>
          <w:p w14:paraId="64A88A2C" w14:textId="77777777" w:rsidR="008D6614" w:rsidRDefault="008D6614">
            <w:pPr>
              <w:rPr>
                <w:rFonts w:ascii="宋体"/>
              </w:rPr>
            </w:pPr>
          </w:p>
        </w:tc>
        <w:tc>
          <w:tcPr>
            <w:tcW w:w="0" w:type="auto"/>
            <w:shd w:val="clear" w:color="auto" w:fill="auto"/>
            <w:vAlign w:val="center"/>
          </w:tcPr>
          <w:p w14:paraId="64A88A2D" w14:textId="77777777" w:rsidR="008D6614" w:rsidRDefault="008D6614">
            <w:pPr>
              <w:rPr>
                <w:rFonts w:ascii="宋体"/>
              </w:rPr>
            </w:pPr>
          </w:p>
        </w:tc>
        <w:tc>
          <w:tcPr>
            <w:tcW w:w="0" w:type="auto"/>
            <w:shd w:val="clear" w:color="auto" w:fill="auto"/>
            <w:vAlign w:val="center"/>
          </w:tcPr>
          <w:p w14:paraId="64A88A2E" w14:textId="77777777" w:rsidR="008D6614" w:rsidRDefault="008D6614">
            <w:pPr>
              <w:rPr>
                <w:rFonts w:ascii="宋体"/>
              </w:rPr>
            </w:pPr>
          </w:p>
        </w:tc>
        <w:tc>
          <w:tcPr>
            <w:tcW w:w="0" w:type="auto"/>
            <w:shd w:val="clear" w:color="auto" w:fill="auto"/>
            <w:vAlign w:val="center"/>
          </w:tcPr>
          <w:p w14:paraId="64A88A2F" w14:textId="77777777" w:rsidR="008D6614" w:rsidRDefault="008D6614">
            <w:pPr>
              <w:rPr>
                <w:rFonts w:ascii="宋体"/>
              </w:rPr>
            </w:pPr>
          </w:p>
        </w:tc>
      </w:tr>
      <w:tr w:rsidR="008D6614" w14:paraId="64A88A43" w14:textId="77777777">
        <w:trPr>
          <w:jc w:val="center"/>
        </w:trPr>
        <w:tc>
          <w:tcPr>
            <w:tcW w:w="0" w:type="auto"/>
            <w:gridSpan w:val="3"/>
            <w:shd w:val="clear" w:color="auto" w:fill="FFFFFF"/>
            <w:tcMar>
              <w:top w:w="40" w:type="dxa"/>
              <w:left w:w="20" w:type="dxa"/>
              <w:bottom w:w="40" w:type="dxa"/>
              <w:right w:w="20" w:type="dxa"/>
            </w:tcMar>
            <w:vAlign w:val="bottom"/>
          </w:tcPr>
          <w:p w14:paraId="64A88A31" w14:textId="77777777" w:rsidR="008D6614" w:rsidRDefault="00866AF2">
            <w:pPr>
              <w:textAlignment w:val="bottom"/>
            </w:pPr>
            <w:r>
              <w:rPr>
                <w:rFonts w:ascii="Arial" w:eastAsia="宋体" w:hAnsi="Arial" w:cs="Arial"/>
                <w:color w:val="000000"/>
                <w:sz w:val="18"/>
                <w:szCs w:val="18"/>
              </w:rPr>
              <w:t>Treasury stock at cost:</w:t>
            </w:r>
          </w:p>
        </w:tc>
        <w:tc>
          <w:tcPr>
            <w:tcW w:w="0" w:type="auto"/>
            <w:shd w:val="clear" w:color="auto" w:fill="auto"/>
            <w:vAlign w:val="center"/>
          </w:tcPr>
          <w:p w14:paraId="64A88A32" w14:textId="77777777" w:rsidR="008D6614" w:rsidRDefault="008D6614">
            <w:pPr>
              <w:rPr>
                <w:rFonts w:ascii="宋体"/>
                <w:vanish/>
              </w:rPr>
            </w:pPr>
          </w:p>
        </w:tc>
        <w:tc>
          <w:tcPr>
            <w:tcW w:w="0" w:type="auto"/>
            <w:shd w:val="clear" w:color="auto" w:fill="auto"/>
            <w:vAlign w:val="center"/>
          </w:tcPr>
          <w:p w14:paraId="64A88A33" w14:textId="77777777" w:rsidR="008D6614" w:rsidRDefault="008D6614">
            <w:pPr>
              <w:rPr>
                <w:rFonts w:ascii="宋体"/>
                <w:vanish/>
              </w:rPr>
            </w:pPr>
          </w:p>
        </w:tc>
        <w:tc>
          <w:tcPr>
            <w:tcW w:w="0" w:type="auto"/>
            <w:shd w:val="clear" w:color="auto" w:fill="auto"/>
            <w:vAlign w:val="center"/>
          </w:tcPr>
          <w:p w14:paraId="64A88A34"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A35"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A36"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8A37" w14:textId="77777777" w:rsidR="008D6614" w:rsidRDefault="008D6614">
            <w:pPr>
              <w:rPr>
                <w:rFonts w:ascii="宋体"/>
              </w:rPr>
            </w:pPr>
          </w:p>
        </w:tc>
        <w:tc>
          <w:tcPr>
            <w:tcW w:w="0" w:type="auto"/>
            <w:shd w:val="clear" w:color="auto" w:fill="FFFFFF"/>
            <w:tcMar>
              <w:right w:w="20" w:type="dxa"/>
            </w:tcMar>
            <w:vAlign w:val="bottom"/>
          </w:tcPr>
          <w:p w14:paraId="64A88A38" w14:textId="77777777" w:rsidR="008D6614" w:rsidRDefault="008D6614">
            <w:pPr>
              <w:jc w:val="right"/>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A39" w14:textId="77777777" w:rsidR="008D6614" w:rsidRDefault="008D6614">
            <w:pPr>
              <w:rPr>
                <w:rFonts w:ascii="宋体"/>
              </w:rPr>
            </w:pPr>
          </w:p>
        </w:tc>
        <w:tc>
          <w:tcPr>
            <w:tcW w:w="0" w:type="auto"/>
            <w:shd w:val="clear" w:color="auto" w:fill="auto"/>
            <w:vAlign w:val="center"/>
          </w:tcPr>
          <w:p w14:paraId="64A88A3A" w14:textId="77777777" w:rsidR="008D6614" w:rsidRDefault="008D6614">
            <w:pPr>
              <w:rPr>
                <w:rFonts w:ascii="宋体"/>
              </w:rPr>
            </w:pPr>
          </w:p>
        </w:tc>
        <w:tc>
          <w:tcPr>
            <w:tcW w:w="0" w:type="auto"/>
            <w:shd w:val="clear" w:color="auto" w:fill="auto"/>
            <w:vAlign w:val="center"/>
          </w:tcPr>
          <w:p w14:paraId="64A88A3B" w14:textId="77777777" w:rsidR="008D6614" w:rsidRDefault="008D6614">
            <w:pPr>
              <w:rPr>
                <w:rFonts w:ascii="宋体"/>
              </w:rPr>
            </w:pPr>
          </w:p>
        </w:tc>
        <w:tc>
          <w:tcPr>
            <w:tcW w:w="0" w:type="auto"/>
            <w:shd w:val="clear" w:color="auto" w:fill="auto"/>
            <w:vAlign w:val="center"/>
          </w:tcPr>
          <w:p w14:paraId="64A88A3C" w14:textId="77777777" w:rsidR="008D6614" w:rsidRDefault="008D6614">
            <w:pPr>
              <w:rPr>
                <w:rFonts w:ascii="宋体"/>
              </w:rPr>
            </w:pPr>
          </w:p>
        </w:tc>
        <w:tc>
          <w:tcPr>
            <w:tcW w:w="0" w:type="auto"/>
            <w:shd w:val="clear" w:color="auto" w:fill="auto"/>
            <w:vAlign w:val="center"/>
          </w:tcPr>
          <w:p w14:paraId="64A88A3D" w14:textId="77777777" w:rsidR="008D6614" w:rsidRDefault="008D6614">
            <w:pPr>
              <w:rPr>
                <w:rFonts w:ascii="宋体"/>
              </w:rPr>
            </w:pPr>
          </w:p>
        </w:tc>
        <w:tc>
          <w:tcPr>
            <w:tcW w:w="0" w:type="auto"/>
            <w:shd w:val="clear" w:color="auto" w:fill="auto"/>
            <w:vAlign w:val="center"/>
          </w:tcPr>
          <w:p w14:paraId="64A88A3E" w14:textId="77777777" w:rsidR="008D6614" w:rsidRDefault="008D6614">
            <w:pPr>
              <w:rPr>
                <w:rFonts w:ascii="宋体"/>
              </w:rPr>
            </w:pPr>
          </w:p>
        </w:tc>
        <w:tc>
          <w:tcPr>
            <w:tcW w:w="0" w:type="auto"/>
            <w:shd w:val="clear" w:color="auto" w:fill="auto"/>
            <w:vAlign w:val="center"/>
          </w:tcPr>
          <w:p w14:paraId="64A88A3F" w14:textId="77777777" w:rsidR="008D6614" w:rsidRDefault="008D6614">
            <w:pPr>
              <w:rPr>
                <w:rFonts w:ascii="宋体"/>
              </w:rPr>
            </w:pPr>
          </w:p>
        </w:tc>
        <w:tc>
          <w:tcPr>
            <w:tcW w:w="0" w:type="auto"/>
            <w:shd w:val="clear" w:color="auto" w:fill="auto"/>
            <w:vAlign w:val="center"/>
          </w:tcPr>
          <w:p w14:paraId="64A88A40" w14:textId="77777777" w:rsidR="008D6614" w:rsidRDefault="008D6614">
            <w:pPr>
              <w:rPr>
                <w:rFonts w:ascii="宋体"/>
              </w:rPr>
            </w:pPr>
          </w:p>
        </w:tc>
        <w:tc>
          <w:tcPr>
            <w:tcW w:w="0" w:type="auto"/>
            <w:shd w:val="clear" w:color="auto" w:fill="auto"/>
            <w:vAlign w:val="center"/>
          </w:tcPr>
          <w:p w14:paraId="64A88A41" w14:textId="77777777" w:rsidR="008D6614" w:rsidRDefault="008D6614">
            <w:pPr>
              <w:rPr>
                <w:rFonts w:ascii="宋体"/>
              </w:rPr>
            </w:pPr>
          </w:p>
        </w:tc>
        <w:tc>
          <w:tcPr>
            <w:tcW w:w="0" w:type="auto"/>
            <w:shd w:val="clear" w:color="auto" w:fill="auto"/>
            <w:vAlign w:val="center"/>
          </w:tcPr>
          <w:p w14:paraId="64A88A42" w14:textId="77777777" w:rsidR="008D6614" w:rsidRDefault="008D6614">
            <w:pPr>
              <w:rPr>
                <w:rFonts w:ascii="宋体"/>
              </w:rPr>
            </w:pPr>
          </w:p>
        </w:tc>
      </w:tr>
      <w:tr w:rsidR="008D6614" w14:paraId="64A88A58" w14:textId="77777777">
        <w:trPr>
          <w:jc w:val="center"/>
        </w:trPr>
        <w:tc>
          <w:tcPr>
            <w:tcW w:w="0" w:type="auto"/>
            <w:gridSpan w:val="3"/>
            <w:shd w:val="clear" w:color="auto" w:fill="E2E2E2"/>
            <w:tcMar>
              <w:top w:w="40" w:type="dxa"/>
              <w:left w:w="225" w:type="dxa"/>
              <w:bottom w:w="40" w:type="dxa"/>
              <w:right w:w="20" w:type="dxa"/>
            </w:tcMar>
            <w:vAlign w:val="bottom"/>
          </w:tcPr>
          <w:p w14:paraId="64A88A44" w14:textId="77777777" w:rsidR="008D6614" w:rsidRDefault="00866AF2">
            <w:pPr>
              <w:textAlignment w:val="bottom"/>
            </w:pPr>
            <w:r>
              <w:rPr>
                <w:rFonts w:ascii="Arial" w:eastAsia="宋体" w:hAnsi="Arial" w:cs="Arial"/>
                <w:color w:val="000000"/>
                <w:sz w:val="18"/>
                <w:szCs w:val="18"/>
              </w:rPr>
              <w:t>Balance, beginning of period</w:t>
            </w:r>
          </w:p>
        </w:tc>
        <w:tc>
          <w:tcPr>
            <w:tcW w:w="0" w:type="auto"/>
            <w:shd w:val="clear" w:color="auto" w:fill="auto"/>
            <w:vAlign w:val="center"/>
          </w:tcPr>
          <w:p w14:paraId="64A88A45" w14:textId="77777777" w:rsidR="008D6614" w:rsidRDefault="008D6614">
            <w:pPr>
              <w:rPr>
                <w:rFonts w:ascii="宋体"/>
                <w:vanish/>
              </w:rPr>
            </w:pPr>
          </w:p>
        </w:tc>
        <w:tc>
          <w:tcPr>
            <w:tcW w:w="0" w:type="auto"/>
            <w:shd w:val="clear" w:color="auto" w:fill="auto"/>
            <w:vAlign w:val="center"/>
          </w:tcPr>
          <w:p w14:paraId="64A88A46" w14:textId="77777777" w:rsidR="008D6614" w:rsidRDefault="008D6614">
            <w:pPr>
              <w:rPr>
                <w:rFonts w:ascii="宋体"/>
                <w:vanish/>
              </w:rPr>
            </w:pPr>
          </w:p>
        </w:tc>
        <w:tc>
          <w:tcPr>
            <w:tcW w:w="0" w:type="auto"/>
            <w:shd w:val="clear" w:color="auto" w:fill="auto"/>
            <w:vAlign w:val="center"/>
          </w:tcPr>
          <w:p w14:paraId="64A88A47"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A48"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A49" w14:textId="77777777" w:rsidR="008D6614" w:rsidRDefault="00866AF2">
            <w:pPr>
              <w:jc w:val="right"/>
              <w:textAlignment w:val="bottom"/>
            </w:pPr>
            <w:r>
              <w:rPr>
                <w:rFonts w:ascii="Arial" w:eastAsia="宋体" w:hAnsi="Arial" w:cs="Arial"/>
                <w:color w:val="000000"/>
                <w:sz w:val="18"/>
                <w:szCs w:val="18"/>
              </w:rPr>
              <w:t>(31,396)</w:t>
            </w:r>
          </w:p>
        </w:tc>
        <w:tc>
          <w:tcPr>
            <w:tcW w:w="0" w:type="auto"/>
            <w:shd w:val="clear" w:color="auto" w:fill="E2E2E2"/>
            <w:tcMar>
              <w:top w:w="40" w:type="dxa"/>
              <w:bottom w:w="40" w:type="dxa"/>
              <w:right w:w="20" w:type="dxa"/>
            </w:tcMar>
            <w:vAlign w:val="bottom"/>
          </w:tcPr>
          <w:p w14:paraId="64A88A4A"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8A4B" w14:textId="77777777" w:rsidR="008D6614" w:rsidRDefault="008D6614">
            <w:pPr>
              <w:rPr>
                <w:rFonts w:ascii="宋体"/>
              </w:rPr>
            </w:pPr>
          </w:p>
        </w:tc>
        <w:tc>
          <w:tcPr>
            <w:tcW w:w="0" w:type="auto"/>
            <w:shd w:val="clear" w:color="auto" w:fill="E2E2E2"/>
            <w:tcMar>
              <w:right w:w="20" w:type="dxa"/>
            </w:tcMar>
            <w:vAlign w:val="bottom"/>
          </w:tcPr>
          <w:p w14:paraId="64A88A4C"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8A4D" w14:textId="77777777" w:rsidR="008D6614" w:rsidRDefault="00866AF2">
            <w:pPr>
              <w:jc w:val="right"/>
              <w:textAlignment w:val="bottom"/>
            </w:pPr>
            <w:r>
              <w:rPr>
                <w:rFonts w:ascii="Arial" w:eastAsia="宋体" w:hAnsi="Arial" w:cs="Arial"/>
                <w:color w:val="000000"/>
                <w:sz w:val="18"/>
                <w:szCs w:val="18"/>
              </w:rPr>
              <w:t>(26,394)</w:t>
            </w:r>
          </w:p>
        </w:tc>
        <w:tc>
          <w:tcPr>
            <w:tcW w:w="0" w:type="auto"/>
            <w:shd w:val="clear" w:color="auto" w:fill="E2E2E2"/>
            <w:tcMar>
              <w:top w:w="40" w:type="dxa"/>
              <w:bottom w:w="40" w:type="dxa"/>
              <w:right w:w="20" w:type="dxa"/>
            </w:tcMar>
            <w:vAlign w:val="bottom"/>
          </w:tcPr>
          <w:p w14:paraId="64A88A4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A4F" w14:textId="77777777" w:rsidR="008D6614" w:rsidRDefault="008D6614">
            <w:pPr>
              <w:rPr>
                <w:rFonts w:ascii="宋体"/>
              </w:rPr>
            </w:pPr>
          </w:p>
        </w:tc>
        <w:tc>
          <w:tcPr>
            <w:tcW w:w="0" w:type="auto"/>
            <w:shd w:val="clear" w:color="auto" w:fill="auto"/>
            <w:vAlign w:val="center"/>
          </w:tcPr>
          <w:p w14:paraId="64A88A50" w14:textId="77777777" w:rsidR="008D6614" w:rsidRDefault="008D6614">
            <w:pPr>
              <w:rPr>
                <w:rFonts w:ascii="宋体"/>
              </w:rPr>
            </w:pPr>
          </w:p>
        </w:tc>
        <w:tc>
          <w:tcPr>
            <w:tcW w:w="0" w:type="auto"/>
            <w:shd w:val="clear" w:color="auto" w:fill="auto"/>
            <w:vAlign w:val="center"/>
          </w:tcPr>
          <w:p w14:paraId="64A88A51" w14:textId="77777777" w:rsidR="008D6614" w:rsidRDefault="008D6614">
            <w:pPr>
              <w:rPr>
                <w:rFonts w:ascii="宋体"/>
              </w:rPr>
            </w:pPr>
          </w:p>
        </w:tc>
        <w:tc>
          <w:tcPr>
            <w:tcW w:w="0" w:type="auto"/>
            <w:shd w:val="clear" w:color="auto" w:fill="auto"/>
            <w:vAlign w:val="center"/>
          </w:tcPr>
          <w:p w14:paraId="64A88A52" w14:textId="77777777" w:rsidR="008D6614" w:rsidRDefault="008D6614">
            <w:pPr>
              <w:rPr>
                <w:rFonts w:ascii="宋体"/>
              </w:rPr>
            </w:pPr>
          </w:p>
        </w:tc>
        <w:tc>
          <w:tcPr>
            <w:tcW w:w="0" w:type="auto"/>
            <w:shd w:val="clear" w:color="auto" w:fill="auto"/>
            <w:vAlign w:val="center"/>
          </w:tcPr>
          <w:p w14:paraId="64A88A53" w14:textId="77777777" w:rsidR="008D6614" w:rsidRDefault="008D6614">
            <w:pPr>
              <w:rPr>
                <w:rFonts w:ascii="宋体"/>
              </w:rPr>
            </w:pPr>
          </w:p>
        </w:tc>
        <w:tc>
          <w:tcPr>
            <w:tcW w:w="0" w:type="auto"/>
            <w:shd w:val="clear" w:color="auto" w:fill="auto"/>
            <w:vAlign w:val="center"/>
          </w:tcPr>
          <w:p w14:paraId="64A88A54" w14:textId="77777777" w:rsidR="008D6614" w:rsidRDefault="008D6614">
            <w:pPr>
              <w:rPr>
                <w:rFonts w:ascii="宋体"/>
              </w:rPr>
            </w:pPr>
          </w:p>
        </w:tc>
        <w:tc>
          <w:tcPr>
            <w:tcW w:w="0" w:type="auto"/>
            <w:shd w:val="clear" w:color="auto" w:fill="auto"/>
            <w:vAlign w:val="center"/>
          </w:tcPr>
          <w:p w14:paraId="64A88A55" w14:textId="77777777" w:rsidR="008D6614" w:rsidRDefault="008D6614">
            <w:pPr>
              <w:rPr>
                <w:rFonts w:ascii="宋体"/>
              </w:rPr>
            </w:pPr>
          </w:p>
        </w:tc>
        <w:tc>
          <w:tcPr>
            <w:tcW w:w="0" w:type="auto"/>
            <w:shd w:val="clear" w:color="auto" w:fill="auto"/>
            <w:vAlign w:val="center"/>
          </w:tcPr>
          <w:p w14:paraId="64A88A56" w14:textId="77777777" w:rsidR="008D6614" w:rsidRDefault="008D6614">
            <w:pPr>
              <w:rPr>
                <w:rFonts w:ascii="宋体"/>
              </w:rPr>
            </w:pPr>
          </w:p>
        </w:tc>
        <w:tc>
          <w:tcPr>
            <w:tcW w:w="0" w:type="auto"/>
            <w:shd w:val="clear" w:color="auto" w:fill="auto"/>
            <w:vAlign w:val="center"/>
          </w:tcPr>
          <w:p w14:paraId="64A88A57" w14:textId="77777777" w:rsidR="008D6614" w:rsidRDefault="008D6614">
            <w:pPr>
              <w:rPr>
                <w:rFonts w:ascii="宋体"/>
              </w:rPr>
            </w:pPr>
          </w:p>
        </w:tc>
      </w:tr>
      <w:tr w:rsidR="008D6614" w14:paraId="64A88A6D" w14:textId="77777777">
        <w:trPr>
          <w:jc w:val="center"/>
        </w:trPr>
        <w:tc>
          <w:tcPr>
            <w:tcW w:w="0" w:type="auto"/>
            <w:gridSpan w:val="3"/>
            <w:shd w:val="clear" w:color="auto" w:fill="FFFFFF"/>
            <w:tcMar>
              <w:top w:w="40" w:type="dxa"/>
              <w:left w:w="225" w:type="dxa"/>
              <w:bottom w:w="40" w:type="dxa"/>
              <w:right w:w="20" w:type="dxa"/>
            </w:tcMar>
            <w:vAlign w:val="bottom"/>
          </w:tcPr>
          <w:p w14:paraId="64A88A59" w14:textId="77777777" w:rsidR="008D6614" w:rsidRDefault="00866AF2">
            <w:pPr>
              <w:textAlignment w:val="bottom"/>
            </w:pPr>
            <w:r>
              <w:rPr>
                <w:rFonts w:ascii="Arial" w:eastAsia="宋体" w:hAnsi="Arial" w:cs="Arial"/>
                <w:color w:val="000000"/>
                <w:sz w:val="18"/>
                <w:szCs w:val="18"/>
              </w:rPr>
              <w:t>C</w:t>
            </w:r>
            <w:r>
              <w:rPr>
                <w:rFonts w:ascii="Arial" w:eastAsia="宋体" w:hAnsi="Arial" w:cs="Arial"/>
                <w:color w:val="000000"/>
                <w:sz w:val="18"/>
                <w:szCs w:val="18"/>
              </w:rPr>
              <w:t>ommon stock repurchased</w:t>
            </w:r>
          </w:p>
        </w:tc>
        <w:tc>
          <w:tcPr>
            <w:tcW w:w="0" w:type="auto"/>
            <w:shd w:val="clear" w:color="auto" w:fill="auto"/>
            <w:vAlign w:val="center"/>
          </w:tcPr>
          <w:p w14:paraId="64A88A5A" w14:textId="77777777" w:rsidR="008D6614" w:rsidRDefault="008D6614">
            <w:pPr>
              <w:rPr>
                <w:rFonts w:ascii="宋体"/>
                <w:vanish/>
              </w:rPr>
            </w:pPr>
          </w:p>
        </w:tc>
        <w:tc>
          <w:tcPr>
            <w:tcW w:w="0" w:type="auto"/>
            <w:shd w:val="clear" w:color="auto" w:fill="auto"/>
            <w:vAlign w:val="center"/>
          </w:tcPr>
          <w:p w14:paraId="64A88A5B" w14:textId="77777777" w:rsidR="008D6614" w:rsidRDefault="008D6614">
            <w:pPr>
              <w:rPr>
                <w:rFonts w:ascii="宋体"/>
                <w:vanish/>
              </w:rPr>
            </w:pPr>
          </w:p>
        </w:tc>
        <w:tc>
          <w:tcPr>
            <w:tcW w:w="0" w:type="auto"/>
            <w:shd w:val="clear" w:color="auto" w:fill="auto"/>
            <w:vAlign w:val="center"/>
          </w:tcPr>
          <w:p w14:paraId="64A88A5C"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A5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A5E" w14:textId="77777777" w:rsidR="008D6614" w:rsidRDefault="00866AF2">
            <w:pPr>
              <w:jc w:val="right"/>
              <w:textAlignment w:val="bottom"/>
            </w:pPr>
            <w:r>
              <w:rPr>
                <w:rFonts w:ascii="Arial" w:eastAsia="宋体" w:hAnsi="Arial" w:cs="Arial"/>
                <w:color w:val="000000"/>
                <w:sz w:val="18"/>
                <w:szCs w:val="18"/>
              </w:rPr>
              <w:t>(3,550)</w:t>
            </w:r>
          </w:p>
        </w:tc>
        <w:tc>
          <w:tcPr>
            <w:tcW w:w="0" w:type="auto"/>
            <w:shd w:val="clear" w:color="auto" w:fill="FFFFFF"/>
            <w:tcMar>
              <w:top w:w="40" w:type="dxa"/>
              <w:bottom w:w="40" w:type="dxa"/>
              <w:right w:w="20" w:type="dxa"/>
            </w:tcMar>
            <w:vAlign w:val="bottom"/>
          </w:tcPr>
          <w:p w14:paraId="64A88A5F"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8A60" w14:textId="77777777" w:rsidR="008D6614" w:rsidRDefault="008D6614">
            <w:pPr>
              <w:rPr>
                <w:rFonts w:ascii="宋体"/>
              </w:rPr>
            </w:pPr>
          </w:p>
        </w:tc>
        <w:tc>
          <w:tcPr>
            <w:tcW w:w="0" w:type="auto"/>
            <w:shd w:val="clear" w:color="auto" w:fill="FFFFFF"/>
            <w:tcMar>
              <w:right w:w="20" w:type="dxa"/>
            </w:tcMar>
            <w:vAlign w:val="bottom"/>
          </w:tcPr>
          <w:p w14:paraId="64A88A61"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8A62" w14:textId="77777777" w:rsidR="008D6614" w:rsidRDefault="00866AF2">
            <w:pPr>
              <w:jc w:val="right"/>
              <w:textAlignment w:val="bottom"/>
            </w:pPr>
            <w:r>
              <w:rPr>
                <w:rFonts w:ascii="Arial" w:eastAsia="宋体" w:hAnsi="Arial" w:cs="Arial"/>
                <w:color w:val="000000"/>
                <w:sz w:val="18"/>
                <w:szCs w:val="18"/>
              </w:rPr>
              <w:t>(1,501)</w:t>
            </w:r>
          </w:p>
        </w:tc>
        <w:tc>
          <w:tcPr>
            <w:tcW w:w="0" w:type="auto"/>
            <w:shd w:val="clear" w:color="auto" w:fill="FFFFFF"/>
            <w:tcMar>
              <w:top w:w="40" w:type="dxa"/>
              <w:bottom w:w="40" w:type="dxa"/>
              <w:right w:w="20" w:type="dxa"/>
            </w:tcMar>
            <w:vAlign w:val="bottom"/>
          </w:tcPr>
          <w:p w14:paraId="64A88A6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A64" w14:textId="77777777" w:rsidR="008D6614" w:rsidRDefault="008D6614">
            <w:pPr>
              <w:rPr>
                <w:rFonts w:ascii="宋体"/>
              </w:rPr>
            </w:pPr>
          </w:p>
        </w:tc>
        <w:tc>
          <w:tcPr>
            <w:tcW w:w="0" w:type="auto"/>
            <w:shd w:val="clear" w:color="auto" w:fill="auto"/>
            <w:vAlign w:val="center"/>
          </w:tcPr>
          <w:p w14:paraId="64A88A65" w14:textId="77777777" w:rsidR="008D6614" w:rsidRDefault="008D6614">
            <w:pPr>
              <w:rPr>
                <w:rFonts w:ascii="宋体"/>
              </w:rPr>
            </w:pPr>
          </w:p>
        </w:tc>
        <w:tc>
          <w:tcPr>
            <w:tcW w:w="0" w:type="auto"/>
            <w:shd w:val="clear" w:color="auto" w:fill="auto"/>
            <w:vAlign w:val="center"/>
          </w:tcPr>
          <w:p w14:paraId="64A88A66" w14:textId="77777777" w:rsidR="008D6614" w:rsidRDefault="008D6614">
            <w:pPr>
              <w:rPr>
                <w:rFonts w:ascii="宋体"/>
              </w:rPr>
            </w:pPr>
          </w:p>
        </w:tc>
        <w:tc>
          <w:tcPr>
            <w:tcW w:w="0" w:type="auto"/>
            <w:shd w:val="clear" w:color="auto" w:fill="auto"/>
            <w:vAlign w:val="center"/>
          </w:tcPr>
          <w:p w14:paraId="64A88A67" w14:textId="77777777" w:rsidR="008D6614" w:rsidRDefault="008D6614">
            <w:pPr>
              <w:rPr>
                <w:rFonts w:ascii="宋体"/>
              </w:rPr>
            </w:pPr>
          </w:p>
        </w:tc>
        <w:tc>
          <w:tcPr>
            <w:tcW w:w="0" w:type="auto"/>
            <w:shd w:val="clear" w:color="auto" w:fill="auto"/>
            <w:vAlign w:val="center"/>
          </w:tcPr>
          <w:p w14:paraId="64A88A68" w14:textId="77777777" w:rsidR="008D6614" w:rsidRDefault="008D6614">
            <w:pPr>
              <w:rPr>
                <w:rFonts w:ascii="宋体"/>
              </w:rPr>
            </w:pPr>
          </w:p>
        </w:tc>
        <w:tc>
          <w:tcPr>
            <w:tcW w:w="0" w:type="auto"/>
            <w:shd w:val="clear" w:color="auto" w:fill="auto"/>
            <w:vAlign w:val="center"/>
          </w:tcPr>
          <w:p w14:paraId="64A88A69" w14:textId="77777777" w:rsidR="008D6614" w:rsidRDefault="008D6614">
            <w:pPr>
              <w:rPr>
                <w:rFonts w:ascii="宋体"/>
              </w:rPr>
            </w:pPr>
          </w:p>
        </w:tc>
        <w:tc>
          <w:tcPr>
            <w:tcW w:w="0" w:type="auto"/>
            <w:shd w:val="clear" w:color="auto" w:fill="auto"/>
            <w:vAlign w:val="center"/>
          </w:tcPr>
          <w:p w14:paraId="64A88A6A" w14:textId="77777777" w:rsidR="008D6614" w:rsidRDefault="008D6614">
            <w:pPr>
              <w:rPr>
                <w:rFonts w:ascii="宋体"/>
              </w:rPr>
            </w:pPr>
          </w:p>
        </w:tc>
        <w:tc>
          <w:tcPr>
            <w:tcW w:w="0" w:type="auto"/>
            <w:shd w:val="clear" w:color="auto" w:fill="auto"/>
            <w:vAlign w:val="center"/>
          </w:tcPr>
          <w:p w14:paraId="64A88A6B" w14:textId="77777777" w:rsidR="008D6614" w:rsidRDefault="008D6614">
            <w:pPr>
              <w:rPr>
                <w:rFonts w:ascii="宋体"/>
              </w:rPr>
            </w:pPr>
          </w:p>
        </w:tc>
        <w:tc>
          <w:tcPr>
            <w:tcW w:w="0" w:type="auto"/>
            <w:shd w:val="clear" w:color="auto" w:fill="auto"/>
            <w:vAlign w:val="center"/>
          </w:tcPr>
          <w:p w14:paraId="64A88A6C" w14:textId="77777777" w:rsidR="008D6614" w:rsidRDefault="008D6614">
            <w:pPr>
              <w:rPr>
                <w:rFonts w:ascii="宋体"/>
              </w:rPr>
            </w:pPr>
          </w:p>
        </w:tc>
      </w:tr>
      <w:tr w:rsidR="008D6614" w14:paraId="64A88A82" w14:textId="77777777">
        <w:trPr>
          <w:jc w:val="center"/>
        </w:trPr>
        <w:tc>
          <w:tcPr>
            <w:tcW w:w="0" w:type="auto"/>
            <w:gridSpan w:val="3"/>
            <w:shd w:val="clear" w:color="auto" w:fill="E2E2E2"/>
            <w:tcMar>
              <w:top w:w="40" w:type="dxa"/>
              <w:left w:w="720" w:type="dxa"/>
              <w:bottom w:w="40" w:type="dxa"/>
              <w:right w:w="20" w:type="dxa"/>
            </w:tcMar>
            <w:vAlign w:val="bottom"/>
          </w:tcPr>
          <w:p w14:paraId="64A88A6E" w14:textId="77777777" w:rsidR="008D6614" w:rsidRDefault="00866AF2">
            <w:pPr>
              <w:textAlignment w:val="bottom"/>
            </w:pPr>
            <w:r>
              <w:rPr>
                <w:rFonts w:ascii="Arial" w:eastAsia="宋体" w:hAnsi="Arial" w:cs="Arial"/>
                <w:color w:val="000000"/>
                <w:sz w:val="18"/>
                <w:szCs w:val="18"/>
              </w:rPr>
              <w:t>B</w:t>
            </w:r>
            <w:r>
              <w:rPr>
                <w:rFonts w:ascii="Arial" w:eastAsia="宋体" w:hAnsi="Arial" w:cs="Arial"/>
                <w:color w:val="000000"/>
                <w:sz w:val="18"/>
                <w:szCs w:val="18"/>
              </w:rPr>
              <w:t>alance, end of period</w:t>
            </w:r>
          </w:p>
        </w:tc>
        <w:tc>
          <w:tcPr>
            <w:tcW w:w="0" w:type="auto"/>
            <w:shd w:val="clear" w:color="auto" w:fill="auto"/>
            <w:vAlign w:val="center"/>
          </w:tcPr>
          <w:p w14:paraId="64A88A6F" w14:textId="77777777" w:rsidR="008D6614" w:rsidRDefault="008D6614">
            <w:pPr>
              <w:rPr>
                <w:rFonts w:ascii="宋体"/>
                <w:vanish/>
              </w:rPr>
            </w:pPr>
          </w:p>
        </w:tc>
        <w:tc>
          <w:tcPr>
            <w:tcW w:w="0" w:type="auto"/>
            <w:shd w:val="clear" w:color="auto" w:fill="auto"/>
            <w:vAlign w:val="center"/>
          </w:tcPr>
          <w:p w14:paraId="64A88A70" w14:textId="77777777" w:rsidR="008D6614" w:rsidRDefault="008D6614">
            <w:pPr>
              <w:rPr>
                <w:rFonts w:ascii="宋体"/>
                <w:vanish/>
              </w:rPr>
            </w:pPr>
          </w:p>
        </w:tc>
        <w:tc>
          <w:tcPr>
            <w:tcW w:w="0" w:type="auto"/>
            <w:shd w:val="clear" w:color="auto" w:fill="auto"/>
            <w:vAlign w:val="center"/>
          </w:tcPr>
          <w:p w14:paraId="64A88A71"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A72"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A73" w14:textId="77777777" w:rsidR="008D6614" w:rsidRDefault="00866AF2">
            <w:pPr>
              <w:jc w:val="right"/>
              <w:textAlignment w:val="bottom"/>
            </w:pPr>
            <w:r>
              <w:rPr>
                <w:rFonts w:ascii="Arial" w:eastAsia="宋体" w:hAnsi="Arial" w:cs="Arial"/>
                <w:color w:val="000000"/>
                <w:sz w:val="18"/>
                <w:szCs w:val="18"/>
              </w:rPr>
              <w:t>(34,946)</w:t>
            </w:r>
          </w:p>
        </w:tc>
        <w:tc>
          <w:tcPr>
            <w:tcW w:w="0" w:type="auto"/>
            <w:tcBorders>
              <w:top w:val="single" w:sz="8" w:space="0" w:color="000000"/>
            </w:tcBorders>
            <w:shd w:val="clear" w:color="auto" w:fill="E2E2E2"/>
            <w:tcMar>
              <w:top w:w="40" w:type="dxa"/>
              <w:bottom w:w="40" w:type="dxa"/>
              <w:right w:w="20" w:type="dxa"/>
            </w:tcMar>
            <w:vAlign w:val="bottom"/>
          </w:tcPr>
          <w:p w14:paraId="64A88A74"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8A75" w14:textId="77777777" w:rsidR="008D6614" w:rsidRDefault="008D6614">
            <w:pPr>
              <w:jc w:val="right"/>
              <w:rPr>
                <w:rFonts w:ascii="宋体"/>
              </w:rPr>
            </w:pPr>
          </w:p>
        </w:tc>
        <w:tc>
          <w:tcPr>
            <w:tcW w:w="0" w:type="auto"/>
            <w:shd w:val="clear" w:color="auto" w:fill="E2E2E2"/>
            <w:tcMar>
              <w:right w:w="20" w:type="dxa"/>
            </w:tcMar>
            <w:vAlign w:val="bottom"/>
          </w:tcPr>
          <w:p w14:paraId="64A88A76" w14:textId="77777777" w:rsidR="008D6614" w:rsidRDefault="008D6614">
            <w:pPr>
              <w:jc w:val="right"/>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A77" w14:textId="77777777" w:rsidR="008D6614" w:rsidRDefault="00866AF2">
            <w:pPr>
              <w:jc w:val="right"/>
              <w:textAlignment w:val="bottom"/>
            </w:pPr>
            <w:r>
              <w:rPr>
                <w:rFonts w:ascii="Arial" w:eastAsia="宋体" w:hAnsi="Arial" w:cs="Arial"/>
                <w:color w:val="000000"/>
                <w:sz w:val="18"/>
                <w:szCs w:val="18"/>
              </w:rPr>
              <w:t>(27,895)</w:t>
            </w:r>
          </w:p>
        </w:tc>
        <w:tc>
          <w:tcPr>
            <w:tcW w:w="0" w:type="auto"/>
            <w:tcBorders>
              <w:top w:val="single" w:sz="8" w:space="0" w:color="000000"/>
            </w:tcBorders>
            <w:shd w:val="clear" w:color="auto" w:fill="E2E2E2"/>
            <w:tcMar>
              <w:top w:w="40" w:type="dxa"/>
              <w:bottom w:w="40" w:type="dxa"/>
              <w:right w:w="20" w:type="dxa"/>
            </w:tcMar>
            <w:vAlign w:val="bottom"/>
          </w:tcPr>
          <w:p w14:paraId="64A88A7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A79" w14:textId="77777777" w:rsidR="008D6614" w:rsidRDefault="008D6614">
            <w:pPr>
              <w:rPr>
                <w:rFonts w:ascii="宋体"/>
              </w:rPr>
            </w:pPr>
          </w:p>
        </w:tc>
        <w:tc>
          <w:tcPr>
            <w:tcW w:w="0" w:type="auto"/>
            <w:shd w:val="clear" w:color="auto" w:fill="auto"/>
            <w:vAlign w:val="center"/>
          </w:tcPr>
          <w:p w14:paraId="64A88A7A" w14:textId="77777777" w:rsidR="008D6614" w:rsidRDefault="008D6614">
            <w:pPr>
              <w:rPr>
                <w:rFonts w:ascii="宋体"/>
              </w:rPr>
            </w:pPr>
          </w:p>
        </w:tc>
        <w:tc>
          <w:tcPr>
            <w:tcW w:w="0" w:type="auto"/>
            <w:shd w:val="clear" w:color="auto" w:fill="auto"/>
            <w:vAlign w:val="center"/>
          </w:tcPr>
          <w:p w14:paraId="64A88A7B" w14:textId="77777777" w:rsidR="008D6614" w:rsidRDefault="008D6614">
            <w:pPr>
              <w:rPr>
                <w:rFonts w:ascii="宋体"/>
              </w:rPr>
            </w:pPr>
          </w:p>
        </w:tc>
        <w:tc>
          <w:tcPr>
            <w:tcW w:w="0" w:type="auto"/>
            <w:shd w:val="clear" w:color="auto" w:fill="auto"/>
            <w:vAlign w:val="center"/>
          </w:tcPr>
          <w:p w14:paraId="64A88A7C" w14:textId="77777777" w:rsidR="008D6614" w:rsidRDefault="008D6614">
            <w:pPr>
              <w:rPr>
                <w:rFonts w:ascii="宋体"/>
              </w:rPr>
            </w:pPr>
          </w:p>
        </w:tc>
        <w:tc>
          <w:tcPr>
            <w:tcW w:w="0" w:type="auto"/>
            <w:shd w:val="clear" w:color="auto" w:fill="auto"/>
            <w:vAlign w:val="center"/>
          </w:tcPr>
          <w:p w14:paraId="64A88A7D" w14:textId="77777777" w:rsidR="008D6614" w:rsidRDefault="008D6614">
            <w:pPr>
              <w:rPr>
                <w:rFonts w:ascii="宋体"/>
              </w:rPr>
            </w:pPr>
          </w:p>
        </w:tc>
        <w:tc>
          <w:tcPr>
            <w:tcW w:w="0" w:type="auto"/>
            <w:shd w:val="clear" w:color="auto" w:fill="auto"/>
            <w:vAlign w:val="center"/>
          </w:tcPr>
          <w:p w14:paraId="64A88A7E" w14:textId="77777777" w:rsidR="008D6614" w:rsidRDefault="008D6614">
            <w:pPr>
              <w:rPr>
                <w:rFonts w:ascii="宋体"/>
              </w:rPr>
            </w:pPr>
          </w:p>
        </w:tc>
        <w:tc>
          <w:tcPr>
            <w:tcW w:w="0" w:type="auto"/>
            <w:shd w:val="clear" w:color="auto" w:fill="auto"/>
            <w:vAlign w:val="center"/>
          </w:tcPr>
          <w:p w14:paraId="64A88A7F" w14:textId="77777777" w:rsidR="008D6614" w:rsidRDefault="008D6614">
            <w:pPr>
              <w:rPr>
                <w:rFonts w:ascii="宋体"/>
              </w:rPr>
            </w:pPr>
          </w:p>
        </w:tc>
        <w:tc>
          <w:tcPr>
            <w:tcW w:w="0" w:type="auto"/>
            <w:shd w:val="clear" w:color="auto" w:fill="auto"/>
            <w:vAlign w:val="center"/>
          </w:tcPr>
          <w:p w14:paraId="64A88A80" w14:textId="77777777" w:rsidR="008D6614" w:rsidRDefault="008D6614">
            <w:pPr>
              <w:rPr>
                <w:rFonts w:ascii="宋体"/>
              </w:rPr>
            </w:pPr>
          </w:p>
        </w:tc>
        <w:tc>
          <w:tcPr>
            <w:tcW w:w="0" w:type="auto"/>
            <w:shd w:val="clear" w:color="auto" w:fill="auto"/>
            <w:vAlign w:val="center"/>
          </w:tcPr>
          <w:p w14:paraId="64A88A81" w14:textId="77777777" w:rsidR="008D6614" w:rsidRDefault="008D6614">
            <w:pPr>
              <w:rPr>
                <w:rFonts w:ascii="宋体"/>
              </w:rPr>
            </w:pPr>
          </w:p>
        </w:tc>
      </w:tr>
      <w:tr w:rsidR="008D6614" w14:paraId="64A88A95" w14:textId="77777777">
        <w:trPr>
          <w:jc w:val="center"/>
        </w:trPr>
        <w:tc>
          <w:tcPr>
            <w:tcW w:w="0" w:type="auto"/>
            <w:gridSpan w:val="3"/>
            <w:shd w:val="clear" w:color="auto" w:fill="FFFFFF"/>
            <w:tcMar>
              <w:top w:w="40" w:type="dxa"/>
              <w:left w:w="20" w:type="dxa"/>
              <w:bottom w:w="40" w:type="dxa"/>
              <w:right w:w="20" w:type="dxa"/>
            </w:tcMar>
            <w:vAlign w:val="bottom"/>
          </w:tcPr>
          <w:p w14:paraId="64A88A83" w14:textId="77777777" w:rsidR="008D6614" w:rsidRDefault="00866AF2">
            <w:pPr>
              <w:textAlignment w:val="bottom"/>
            </w:pPr>
            <w:r>
              <w:rPr>
                <w:rFonts w:ascii="Arial" w:eastAsia="宋体" w:hAnsi="Arial" w:cs="Arial"/>
                <w:color w:val="000000"/>
                <w:sz w:val="18"/>
                <w:szCs w:val="18"/>
              </w:rPr>
              <w:t>Retained earnings:</w:t>
            </w:r>
          </w:p>
        </w:tc>
        <w:tc>
          <w:tcPr>
            <w:tcW w:w="0" w:type="auto"/>
            <w:shd w:val="clear" w:color="auto" w:fill="auto"/>
            <w:vAlign w:val="center"/>
          </w:tcPr>
          <w:p w14:paraId="64A88A84" w14:textId="77777777" w:rsidR="008D6614" w:rsidRDefault="008D6614">
            <w:pPr>
              <w:rPr>
                <w:rFonts w:ascii="宋体"/>
                <w:vanish/>
              </w:rPr>
            </w:pPr>
          </w:p>
        </w:tc>
        <w:tc>
          <w:tcPr>
            <w:tcW w:w="0" w:type="auto"/>
            <w:shd w:val="clear" w:color="auto" w:fill="auto"/>
            <w:vAlign w:val="center"/>
          </w:tcPr>
          <w:p w14:paraId="64A88A85" w14:textId="77777777" w:rsidR="008D6614" w:rsidRDefault="008D6614">
            <w:pPr>
              <w:rPr>
                <w:rFonts w:ascii="宋体"/>
                <w:vanish/>
              </w:rPr>
            </w:pPr>
          </w:p>
        </w:tc>
        <w:tc>
          <w:tcPr>
            <w:tcW w:w="0" w:type="auto"/>
            <w:shd w:val="clear" w:color="auto" w:fill="auto"/>
            <w:vAlign w:val="center"/>
          </w:tcPr>
          <w:p w14:paraId="64A88A86"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A87"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A88"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8A89" w14:textId="77777777" w:rsidR="008D6614" w:rsidRDefault="008D6614">
            <w:pPr>
              <w:rPr>
                <w:rFonts w:ascii="宋体"/>
              </w:rPr>
            </w:pPr>
          </w:p>
        </w:tc>
        <w:tc>
          <w:tcPr>
            <w:tcW w:w="0" w:type="auto"/>
            <w:shd w:val="clear" w:color="auto" w:fill="FFFFFF"/>
            <w:tcMar>
              <w:right w:w="20" w:type="dxa"/>
            </w:tcMar>
            <w:vAlign w:val="bottom"/>
          </w:tcPr>
          <w:p w14:paraId="64A88A8A" w14:textId="77777777" w:rsidR="008D6614" w:rsidRDefault="008D6614">
            <w:pPr>
              <w:jc w:val="right"/>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A8B" w14:textId="77777777" w:rsidR="008D6614" w:rsidRDefault="008D6614">
            <w:pPr>
              <w:rPr>
                <w:rFonts w:ascii="宋体"/>
              </w:rPr>
            </w:pPr>
          </w:p>
        </w:tc>
        <w:tc>
          <w:tcPr>
            <w:tcW w:w="0" w:type="auto"/>
            <w:shd w:val="clear" w:color="auto" w:fill="auto"/>
            <w:vAlign w:val="center"/>
          </w:tcPr>
          <w:p w14:paraId="64A88A8C" w14:textId="77777777" w:rsidR="008D6614" w:rsidRDefault="008D6614">
            <w:pPr>
              <w:rPr>
                <w:rFonts w:ascii="宋体"/>
              </w:rPr>
            </w:pPr>
          </w:p>
        </w:tc>
        <w:tc>
          <w:tcPr>
            <w:tcW w:w="0" w:type="auto"/>
            <w:shd w:val="clear" w:color="auto" w:fill="auto"/>
            <w:vAlign w:val="center"/>
          </w:tcPr>
          <w:p w14:paraId="64A88A8D" w14:textId="77777777" w:rsidR="008D6614" w:rsidRDefault="008D6614">
            <w:pPr>
              <w:rPr>
                <w:rFonts w:ascii="宋体"/>
              </w:rPr>
            </w:pPr>
          </w:p>
        </w:tc>
        <w:tc>
          <w:tcPr>
            <w:tcW w:w="0" w:type="auto"/>
            <w:shd w:val="clear" w:color="auto" w:fill="auto"/>
            <w:vAlign w:val="center"/>
          </w:tcPr>
          <w:p w14:paraId="64A88A8E" w14:textId="77777777" w:rsidR="008D6614" w:rsidRDefault="008D6614">
            <w:pPr>
              <w:rPr>
                <w:rFonts w:ascii="宋体"/>
              </w:rPr>
            </w:pPr>
          </w:p>
        </w:tc>
        <w:tc>
          <w:tcPr>
            <w:tcW w:w="0" w:type="auto"/>
            <w:shd w:val="clear" w:color="auto" w:fill="auto"/>
            <w:vAlign w:val="center"/>
          </w:tcPr>
          <w:p w14:paraId="64A88A8F" w14:textId="77777777" w:rsidR="008D6614" w:rsidRDefault="008D6614">
            <w:pPr>
              <w:rPr>
                <w:rFonts w:ascii="宋体"/>
              </w:rPr>
            </w:pPr>
          </w:p>
        </w:tc>
        <w:tc>
          <w:tcPr>
            <w:tcW w:w="0" w:type="auto"/>
            <w:shd w:val="clear" w:color="auto" w:fill="auto"/>
            <w:vAlign w:val="center"/>
          </w:tcPr>
          <w:p w14:paraId="64A88A90" w14:textId="77777777" w:rsidR="008D6614" w:rsidRDefault="008D6614">
            <w:pPr>
              <w:rPr>
                <w:rFonts w:ascii="宋体"/>
              </w:rPr>
            </w:pPr>
          </w:p>
        </w:tc>
        <w:tc>
          <w:tcPr>
            <w:tcW w:w="0" w:type="auto"/>
            <w:shd w:val="clear" w:color="auto" w:fill="auto"/>
            <w:vAlign w:val="center"/>
          </w:tcPr>
          <w:p w14:paraId="64A88A91" w14:textId="77777777" w:rsidR="008D6614" w:rsidRDefault="008D6614">
            <w:pPr>
              <w:rPr>
                <w:rFonts w:ascii="宋体"/>
              </w:rPr>
            </w:pPr>
          </w:p>
        </w:tc>
        <w:tc>
          <w:tcPr>
            <w:tcW w:w="0" w:type="auto"/>
            <w:shd w:val="clear" w:color="auto" w:fill="auto"/>
            <w:vAlign w:val="center"/>
          </w:tcPr>
          <w:p w14:paraId="64A88A92" w14:textId="77777777" w:rsidR="008D6614" w:rsidRDefault="008D6614">
            <w:pPr>
              <w:rPr>
                <w:rFonts w:ascii="宋体"/>
              </w:rPr>
            </w:pPr>
          </w:p>
        </w:tc>
        <w:tc>
          <w:tcPr>
            <w:tcW w:w="0" w:type="auto"/>
            <w:shd w:val="clear" w:color="auto" w:fill="auto"/>
            <w:vAlign w:val="center"/>
          </w:tcPr>
          <w:p w14:paraId="64A88A93" w14:textId="77777777" w:rsidR="008D6614" w:rsidRDefault="008D6614">
            <w:pPr>
              <w:rPr>
                <w:rFonts w:ascii="宋体"/>
              </w:rPr>
            </w:pPr>
          </w:p>
        </w:tc>
        <w:tc>
          <w:tcPr>
            <w:tcW w:w="0" w:type="auto"/>
            <w:shd w:val="clear" w:color="auto" w:fill="auto"/>
            <w:vAlign w:val="center"/>
          </w:tcPr>
          <w:p w14:paraId="64A88A94" w14:textId="77777777" w:rsidR="008D6614" w:rsidRDefault="008D6614">
            <w:pPr>
              <w:rPr>
                <w:rFonts w:ascii="宋体"/>
              </w:rPr>
            </w:pPr>
          </w:p>
        </w:tc>
      </w:tr>
      <w:tr w:rsidR="008D6614" w14:paraId="64A88AAA" w14:textId="77777777">
        <w:trPr>
          <w:jc w:val="center"/>
        </w:trPr>
        <w:tc>
          <w:tcPr>
            <w:tcW w:w="0" w:type="auto"/>
            <w:gridSpan w:val="3"/>
            <w:shd w:val="clear" w:color="auto" w:fill="E2E2E2"/>
            <w:tcMar>
              <w:top w:w="40" w:type="dxa"/>
              <w:left w:w="225" w:type="dxa"/>
              <w:bottom w:w="40" w:type="dxa"/>
              <w:right w:w="20" w:type="dxa"/>
            </w:tcMar>
            <w:vAlign w:val="bottom"/>
          </w:tcPr>
          <w:p w14:paraId="64A88A96" w14:textId="77777777" w:rsidR="008D6614" w:rsidRDefault="00866AF2">
            <w:pPr>
              <w:textAlignment w:val="bottom"/>
            </w:pPr>
            <w:r>
              <w:rPr>
                <w:rFonts w:ascii="Arial" w:eastAsia="宋体" w:hAnsi="Arial" w:cs="Arial"/>
                <w:color w:val="000000"/>
                <w:sz w:val="18"/>
                <w:szCs w:val="18"/>
              </w:rPr>
              <w:t>Balance, beginning of period</w:t>
            </w:r>
          </w:p>
        </w:tc>
        <w:tc>
          <w:tcPr>
            <w:tcW w:w="0" w:type="auto"/>
            <w:shd w:val="clear" w:color="auto" w:fill="auto"/>
            <w:vAlign w:val="center"/>
          </w:tcPr>
          <w:p w14:paraId="64A88A97" w14:textId="77777777" w:rsidR="008D6614" w:rsidRDefault="008D6614">
            <w:pPr>
              <w:rPr>
                <w:rFonts w:ascii="宋体"/>
                <w:vanish/>
              </w:rPr>
            </w:pPr>
          </w:p>
        </w:tc>
        <w:tc>
          <w:tcPr>
            <w:tcW w:w="0" w:type="auto"/>
            <w:shd w:val="clear" w:color="auto" w:fill="auto"/>
            <w:vAlign w:val="center"/>
          </w:tcPr>
          <w:p w14:paraId="64A88A98" w14:textId="77777777" w:rsidR="008D6614" w:rsidRDefault="008D6614">
            <w:pPr>
              <w:rPr>
                <w:rFonts w:ascii="宋体"/>
                <w:vanish/>
              </w:rPr>
            </w:pPr>
          </w:p>
        </w:tc>
        <w:tc>
          <w:tcPr>
            <w:tcW w:w="0" w:type="auto"/>
            <w:shd w:val="clear" w:color="auto" w:fill="auto"/>
            <w:vAlign w:val="center"/>
          </w:tcPr>
          <w:p w14:paraId="64A88A99"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A9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A9B" w14:textId="77777777" w:rsidR="008D6614" w:rsidRDefault="00866AF2">
            <w:pPr>
              <w:jc w:val="right"/>
              <w:textAlignment w:val="bottom"/>
            </w:pPr>
            <w:r>
              <w:rPr>
                <w:rFonts w:ascii="Arial" w:eastAsia="宋体" w:hAnsi="Arial" w:cs="Arial"/>
                <w:color w:val="000000"/>
                <w:sz w:val="18"/>
                <w:szCs w:val="18"/>
              </w:rPr>
              <w:t>17,754 </w:t>
            </w:r>
          </w:p>
        </w:tc>
        <w:tc>
          <w:tcPr>
            <w:tcW w:w="0" w:type="auto"/>
            <w:shd w:val="clear" w:color="auto" w:fill="E2E2E2"/>
            <w:tcMar>
              <w:top w:w="40" w:type="dxa"/>
              <w:bottom w:w="40" w:type="dxa"/>
              <w:right w:w="20" w:type="dxa"/>
            </w:tcMar>
            <w:vAlign w:val="bottom"/>
          </w:tcPr>
          <w:p w14:paraId="64A88A9C"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8A9D" w14:textId="77777777" w:rsidR="008D6614" w:rsidRDefault="008D6614">
            <w:pPr>
              <w:rPr>
                <w:rFonts w:ascii="宋体"/>
              </w:rPr>
            </w:pPr>
          </w:p>
        </w:tc>
        <w:tc>
          <w:tcPr>
            <w:tcW w:w="0" w:type="auto"/>
            <w:shd w:val="clear" w:color="auto" w:fill="E2E2E2"/>
            <w:tcMar>
              <w:right w:w="20" w:type="dxa"/>
            </w:tcMar>
            <w:vAlign w:val="bottom"/>
          </w:tcPr>
          <w:p w14:paraId="64A88A9E"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8A9F" w14:textId="77777777" w:rsidR="008D6614" w:rsidRDefault="00866AF2">
            <w:pPr>
              <w:jc w:val="right"/>
              <w:textAlignment w:val="bottom"/>
            </w:pPr>
            <w:r>
              <w:rPr>
                <w:rFonts w:ascii="Arial" w:eastAsia="宋体" w:hAnsi="Arial" w:cs="Arial"/>
                <w:color w:val="000000"/>
                <w:sz w:val="18"/>
                <w:szCs w:val="18"/>
              </w:rPr>
              <w:t>16,459 </w:t>
            </w:r>
          </w:p>
        </w:tc>
        <w:tc>
          <w:tcPr>
            <w:tcW w:w="0" w:type="auto"/>
            <w:shd w:val="clear" w:color="auto" w:fill="E2E2E2"/>
            <w:tcMar>
              <w:top w:w="40" w:type="dxa"/>
              <w:bottom w:w="40" w:type="dxa"/>
              <w:right w:w="20" w:type="dxa"/>
            </w:tcMar>
            <w:vAlign w:val="bottom"/>
          </w:tcPr>
          <w:p w14:paraId="64A88AA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AA1" w14:textId="77777777" w:rsidR="008D6614" w:rsidRDefault="008D6614">
            <w:pPr>
              <w:rPr>
                <w:rFonts w:ascii="宋体"/>
              </w:rPr>
            </w:pPr>
          </w:p>
        </w:tc>
        <w:tc>
          <w:tcPr>
            <w:tcW w:w="0" w:type="auto"/>
            <w:shd w:val="clear" w:color="auto" w:fill="auto"/>
            <w:vAlign w:val="center"/>
          </w:tcPr>
          <w:p w14:paraId="64A88AA2" w14:textId="77777777" w:rsidR="008D6614" w:rsidRDefault="008D6614">
            <w:pPr>
              <w:rPr>
                <w:rFonts w:ascii="宋体"/>
              </w:rPr>
            </w:pPr>
          </w:p>
        </w:tc>
        <w:tc>
          <w:tcPr>
            <w:tcW w:w="0" w:type="auto"/>
            <w:shd w:val="clear" w:color="auto" w:fill="auto"/>
            <w:vAlign w:val="center"/>
          </w:tcPr>
          <w:p w14:paraId="64A88AA3" w14:textId="77777777" w:rsidR="008D6614" w:rsidRDefault="008D6614">
            <w:pPr>
              <w:rPr>
                <w:rFonts w:ascii="宋体"/>
              </w:rPr>
            </w:pPr>
          </w:p>
        </w:tc>
        <w:tc>
          <w:tcPr>
            <w:tcW w:w="0" w:type="auto"/>
            <w:shd w:val="clear" w:color="auto" w:fill="auto"/>
            <w:vAlign w:val="center"/>
          </w:tcPr>
          <w:p w14:paraId="64A88AA4" w14:textId="77777777" w:rsidR="008D6614" w:rsidRDefault="008D6614">
            <w:pPr>
              <w:rPr>
                <w:rFonts w:ascii="宋体"/>
              </w:rPr>
            </w:pPr>
          </w:p>
        </w:tc>
        <w:tc>
          <w:tcPr>
            <w:tcW w:w="0" w:type="auto"/>
            <w:shd w:val="clear" w:color="auto" w:fill="auto"/>
            <w:vAlign w:val="center"/>
          </w:tcPr>
          <w:p w14:paraId="64A88AA5" w14:textId="77777777" w:rsidR="008D6614" w:rsidRDefault="008D6614">
            <w:pPr>
              <w:rPr>
                <w:rFonts w:ascii="宋体"/>
              </w:rPr>
            </w:pPr>
          </w:p>
        </w:tc>
        <w:tc>
          <w:tcPr>
            <w:tcW w:w="0" w:type="auto"/>
            <w:shd w:val="clear" w:color="auto" w:fill="auto"/>
            <w:vAlign w:val="center"/>
          </w:tcPr>
          <w:p w14:paraId="64A88AA6" w14:textId="77777777" w:rsidR="008D6614" w:rsidRDefault="008D6614">
            <w:pPr>
              <w:rPr>
                <w:rFonts w:ascii="宋体"/>
              </w:rPr>
            </w:pPr>
          </w:p>
        </w:tc>
        <w:tc>
          <w:tcPr>
            <w:tcW w:w="0" w:type="auto"/>
            <w:shd w:val="clear" w:color="auto" w:fill="auto"/>
            <w:vAlign w:val="center"/>
          </w:tcPr>
          <w:p w14:paraId="64A88AA7" w14:textId="77777777" w:rsidR="008D6614" w:rsidRDefault="008D6614">
            <w:pPr>
              <w:rPr>
                <w:rFonts w:ascii="宋体"/>
              </w:rPr>
            </w:pPr>
          </w:p>
        </w:tc>
        <w:tc>
          <w:tcPr>
            <w:tcW w:w="0" w:type="auto"/>
            <w:shd w:val="clear" w:color="auto" w:fill="auto"/>
            <w:vAlign w:val="center"/>
          </w:tcPr>
          <w:p w14:paraId="64A88AA8" w14:textId="77777777" w:rsidR="008D6614" w:rsidRDefault="008D6614">
            <w:pPr>
              <w:rPr>
                <w:rFonts w:ascii="宋体"/>
              </w:rPr>
            </w:pPr>
          </w:p>
        </w:tc>
        <w:tc>
          <w:tcPr>
            <w:tcW w:w="0" w:type="auto"/>
            <w:shd w:val="clear" w:color="auto" w:fill="auto"/>
            <w:vAlign w:val="center"/>
          </w:tcPr>
          <w:p w14:paraId="64A88AA9" w14:textId="77777777" w:rsidR="008D6614" w:rsidRDefault="008D6614">
            <w:pPr>
              <w:rPr>
                <w:rFonts w:ascii="宋体"/>
              </w:rPr>
            </w:pPr>
          </w:p>
        </w:tc>
      </w:tr>
      <w:tr w:rsidR="008D6614" w14:paraId="64A88ABF" w14:textId="77777777">
        <w:trPr>
          <w:jc w:val="center"/>
        </w:trPr>
        <w:tc>
          <w:tcPr>
            <w:tcW w:w="0" w:type="auto"/>
            <w:gridSpan w:val="3"/>
            <w:shd w:val="clear" w:color="auto" w:fill="FFFFFF"/>
            <w:tcMar>
              <w:top w:w="40" w:type="dxa"/>
              <w:left w:w="225" w:type="dxa"/>
              <w:bottom w:w="40" w:type="dxa"/>
              <w:right w:w="20" w:type="dxa"/>
            </w:tcMar>
            <w:vAlign w:val="bottom"/>
          </w:tcPr>
          <w:p w14:paraId="64A88AAB" w14:textId="77777777" w:rsidR="008D6614" w:rsidRDefault="00866AF2">
            <w:pPr>
              <w:textAlignment w:val="bottom"/>
            </w:pPr>
            <w:r>
              <w:rPr>
                <w:rFonts w:ascii="Arial" w:eastAsia="宋体" w:hAnsi="Arial" w:cs="Arial"/>
                <w:color w:val="000000"/>
                <w:sz w:val="18"/>
                <w:szCs w:val="18"/>
              </w:rPr>
              <w:t>N</w:t>
            </w:r>
            <w:r>
              <w:rPr>
                <w:rFonts w:ascii="Arial" w:eastAsia="宋体" w:hAnsi="Arial" w:cs="Arial"/>
                <w:color w:val="000000"/>
                <w:sz w:val="18"/>
                <w:szCs w:val="18"/>
              </w:rPr>
              <w:t>et income</w:t>
            </w:r>
          </w:p>
        </w:tc>
        <w:tc>
          <w:tcPr>
            <w:tcW w:w="0" w:type="auto"/>
            <w:shd w:val="clear" w:color="auto" w:fill="auto"/>
            <w:vAlign w:val="center"/>
          </w:tcPr>
          <w:p w14:paraId="64A88AAC" w14:textId="77777777" w:rsidR="008D6614" w:rsidRDefault="008D6614">
            <w:pPr>
              <w:rPr>
                <w:rFonts w:ascii="宋体"/>
                <w:vanish/>
              </w:rPr>
            </w:pPr>
          </w:p>
        </w:tc>
        <w:tc>
          <w:tcPr>
            <w:tcW w:w="0" w:type="auto"/>
            <w:shd w:val="clear" w:color="auto" w:fill="auto"/>
            <w:vAlign w:val="center"/>
          </w:tcPr>
          <w:p w14:paraId="64A88AAD" w14:textId="77777777" w:rsidR="008D6614" w:rsidRDefault="008D6614">
            <w:pPr>
              <w:rPr>
                <w:rFonts w:ascii="宋体"/>
                <w:vanish/>
              </w:rPr>
            </w:pPr>
          </w:p>
        </w:tc>
        <w:tc>
          <w:tcPr>
            <w:tcW w:w="0" w:type="auto"/>
            <w:shd w:val="clear" w:color="auto" w:fill="auto"/>
            <w:vAlign w:val="center"/>
          </w:tcPr>
          <w:p w14:paraId="64A88AAE"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AAF"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AB0" w14:textId="77777777" w:rsidR="008D6614" w:rsidRDefault="00866AF2">
            <w:pPr>
              <w:jc w:val="right"/>
              <w:textAlignment w:val="bottom"/>
            </w:pPr>
            <w:r>
              <w:rPr>
                <w:rFonts w:ascii="Arial" w:eastAsia="宋体" w:hAnsi="Arial" w:cs="Arial"/>
                <w:color w:val="000000"/>
                <w:sz w:val="18"/>
                <w:szCs w:val="18"/>
              </w:rPr>
              <w:t>3,412 </w:t>
            </w:r>
          </w:p>
        </w:tc>
        <w:tc>
          <w:tcPr>
            <w:tcW w:w="0" w:type="auto"/>
            <w:shd w:val="clear" w:color="auto" w:fill="FFFFFF"/>
            <w:tcMar>
              <w:top w:w="40" w:type="dxa"/>
              <w:bottom w:w="40" w:type="dxa"/>
              <w:right w:w="20" w:type="dxa"/>
            </w:tcMar>
            <w:vAlign w:val="bottom"/>
          </w:tcPr>
          <w:p w14:paraId="64A88AB1"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8AB2" w14:textId="77777777" w:rsidR="008D6614" w:rsidRDefault="008D6614">
            <w:pPr>
              <w:rPr>
                <w:rFonts w:ascii="宋体"/>
              </w:rPr>
            </w:pPr>
          </w:p>
        </w:tc>
        <w:tc>
          <w:tcPr>
            <w:tcW w:w="0" w:type="auto"/>
            <w:shd w:val="clear" w:color="auto" w:fill="FFFFFF"/>
            <w:tcMar>
              <w:right w:w="20" w:type="dxa"/>
            </w:tcMar>
            <w:vAlign w:val="bottom"/>
          </w:tcPr>
          <w:p w14:paraId="64A88AB3"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8AB4" w14:textId="77777777" w:rsidR="008D6614" w:rsidRDefault="00866AF2">
            <w:pPr>
              <w:jc w:val="right"/>
              <w:textAlignment w:val="bottom"/>
            </w:pPr>
            <w:r>
              <w:rPr>
                <w:rFonts w:ascii="Arial" w:eastAsia="宋体" w:hAnsi="Arial" w:cs="Arial"/>
                <w:color w:val="000000"/>
                <w:sz w:val="18"/>
                <w:szCs w:val="18"/>
              </w:rPr>
              <w:t>518 </w:t>
            </w:r>
          </w:p>
        </w:tc>
        <w:tc>
          <w:tcPr>
            <w:tcW w:w="0" w:type="auto"/>
            <w:shd w:val="clear" w:color="auto" w:fill="FFFFFF"/>
            <w:tcMar>
              <w:top w:w="40" w:type="dxa"/>
              <w:bottom w:w="40" w:type="dxa"/>
              <w:right w:w="20" w:type="dxa"/>
            </w:tcMar>
            <w:vAlign w:val="bottom"/>
          </w:tcPr>
          <w:p w14:paraId="64A88AB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AB6" w14:textId="77777777" w:rsidR="008D6614" w:rsidRDefault="008D6614">
            <w:pPr>
              <w:rPr>
                <w:rFonts w:ascii="宋体"/>
              </w:rPr>
            </w:pPr>
          </w:p>
        </w:tc>
        <w:tc>
          <w:tcPr>
            <w:tcW w:w="0" w:type="auto"/>
            <w:shd w:val="clear" w:color="auto" w:fill="auto"/>
            <w:vAlign w:val="center"/>
          </w:tcPr>
          <w:p w14:paraId="64A88AB7" w14:textId="77777777" w:rsidR="008D6614" w:rsidRDefault="008D6614">
            <w:pPr>
              <w:rPr>
                <w:rFonts w:ascii="宋体"/>
              </w:rPr>
            </w:pPr>
          </w:p>
        </w:tc>
        <w:tc>
          <w:tcPr>
            <w:tcW w:w="0" w:type="auto"/>
            <w:shd w:val="clear" w:color="auto" w:fill="auto"/>
            <w:vAlign w:val="center"/>
          </w:tcPr>
          <w:p w14:paraId="64A88AB8" w14:textId="77777777" w:rsidR="008D6614" w:rsidRDefault="008D6614">
            <w:pPr>
              <w:rPr>
                <w:rFonts w:ascii="宋体"/>
              </w:rPr>
            </w:pPr>
          </w:p>
        </w:tc>
        <w:tc>
          <w:tcPr>
            <w:tcW w:w="0" w:type="auto"/>
            <w:shd w:val="clear" w:color="auto" w:fill="auto"/>
            <w:vAlign w:val="center"/>
          </w:tcPr>
          <w:p w14:paraId="64A88AB9" w14:textId="77777777" w:rsidR="008D6614" w:rsidRDefault="008D6614">
            <w:pPr>
              <w:rPr>
                <w:rFonts w:ascii="宋体"/>
              </w:rPr>
            </w:pPr>
          </w:p>
        </w:tc>
        <w:tc>
          <w:tcPr>
            <w:tcW w:w="0" w:type="auto"/>
            <w:shd w:val="clear" w:color="auto" w:fill="auto"/>
            <w:vAlign w:val="center"/>
          </w:tcPr>
          <w:p w14:paraId="64A88ABA" w14:textId="77777777" w:rsidR="008D6614" w:rsidRDefault="008D6614">
            <w:pPr>
              <w:rPr>
                <w:rFonts w:ascii="宋体"/>
              </w:rPr>
            </w:pPr>
          </w:p>
        </w:tc>
        <w:tc>
          <w:tcPr>
            <w:tcW w:w="0" w:type="auto"/>
            <w:shd w:val="clear" w:color="auto" w:fill="auto"/>
            <w:vAlign w:val="center"/>
          </w:tcPr>
          <w:p w14:paraId="64A88ABB" w14:textId="77777777" w:rsidR="008D6614" w:rsidRDefault="008D6614">
            <w:pPr>
              <w:rPr>
                <w:rFonts w:ascii="宋体"/>
              </w:rPr>
            </w:pPr>
          </w:p>
        </w:tc>
        <w:tc>
          <w:tcPr>
            <w:tcW w:w="0" w:type="auto"/>
            <w:shd w:val="clear" w:color="auto" w:fill="auto"/>
            <w:vAlign w:val="center"/>
          </w:tcPr>
          <w:p w14:paraId="64A88ABC" w14:textId="77777777" w:rsidR="008D6614" w:rsidRDefault="008D6614">
            <w:pPr>
              <w:rPr>
                <w:rFonts w:ascii="宋体"/>
              </w:rPr>
            </w:pPr>
          </w:p>
        </w:tc>
        <w:tc>
          <w:tcPr>
            <w:tcW w:w="0" w:type="auto"/>
            <w:shd w:val="clear" w:color="auto" w:fill="auto"/>
            <w:vAlign w:val="center"/>
          </w:tcPr>
          <w:p w14:paraId="64A88ABD" w14:textId="77777777" w:rsidR="008D6614" w:rsidRDefault="008D6614">
            <w:pPr>
              <w:rPr>
                <w:rFonts w:ascii="宋体"/>
              </w:rPr>
            </w:pPr>
          </w:p>
        </w:tc>
        <w:tc>
          <w:tcPr>
            <w:tcW w:w="0" w:type="auto"/>
            <w:shd w:val="clear" w:color="auto" w:fill="auto"/>
            <w:vAlign w:val="center"/>
          </w:tcPr>
          <w:p w14:paraId="64A88ABE" w14:textId="77777777" w:rsidR="008D6614" w:rsidRDefault="008D6614">
            <w:pPr>
              <w:rPr>
                <w:rFonts w:ascii="宋体"/>
              </w:rPr>
            </w:pPr>
          </w:p>
        </w:tc>
      </w:tr>
      <w:tr w:rsidR="008D6614" w14:paraId="64A88AD3" w14:textId="77777777">
        <w:trPr>
          <w:jc w:val="center"/>
        </w:trPr>
        <w:tc>
          <w:tcPr>
            <w:tcW w:w="0" w:type="auto"/>
            <w:gridSpan w:val="3"/>
            <w:shd w:val="clear" w:color="auto" w:fill="E2E2E2"/>
            <w:tcMar>
              <w:top w:w="40" w:type="dxa"/>
              <w:left w:w="225" w:type="dxa"/>
              <w:bottom w:w="40" w:type="dxa"/>
              <w:right w:w="20" w:type="dxa"/>
            </w:tcMar>
            <w:vAlign w:val="bottom"/>
          </w:tcPr>
          <w:p w14:paraId="64A88AC0" w14:textId="77777777" w:rsidR="008D6614" w:rsidRDefault="00866AF2">
            <w:pPr>
              <w:textAlignment w:val="bottom"/>
            </w:pPr>
            <w:r>
              <w:rPr>
                <w:rFonts w:ascii="Arial" w:eastAsia="宋体" w:hAnsi="Arial" w:cs="Arial"/>
                <w:color w:val="000000"/>
                <w:sz w:val="18"/>
                <w:szCs w:val="18"/>
              </w:rPr>
              <w:t>Dividends and dividend equivalents declared</w:t>
            </w:r>
          </w:p>
        </w:tc>
        <w:tc>
          <w:tcPr>
            <w:tcW w:w="0" w:type="auto"/>
            <w:shd w:val="clear" w:color="auto" w:fill="auto"/>
            <w:vAlign w:val="center"/>
          </w:tcPr>
          <w:p w14:paraId="64A88AC1" w14:textId="77777777" w:rsidR="008D6614" w:rsidRDefault="008D6614">
            <w:pPr>
              <w:rPr>
                <w:rFonts w:ascii="宋体"/>
                <w:vanish/>
              </w:rPr>
            </w:pPr>
          </w:p>
        </w:tc>
        <w:tc>
          <w:tcPr>
            <w:tcW w:w="0" w:type="auto"/>
            <w:shd w:val="clear" w:color="auto" w:fill="auto"/>
            <w:vAlign w:val="center"/>
          </w:tcPr>
          <w:p w14:paraId="64A88AC2" w14:textId="77777777" w:rsidR="008D6614" w:rsidRDefault="008D6614">
            <w:pPr>
              <w:rPr>
                <w:rFonts w:ascii="宋体"/>
                <w:vanish/>
              </w:rPr>
            </w:pPr>
          </w:p>
        </w:tc>
        <w:tc>
          <w:tcPr>
            <w:tcW w:w="0" w:type="auto"/>
            <w:shd w:val="clear" w:color="auto" w:fill="auto"/>
            <w:vAlign w:val="center"/>
          </w:tcPr>
          <w:p w14:paraId="64A88AC3"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AC4"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AC5" w14:textId="77777777" w:rsidR="008D6614" w:rsidRDefault="00866AF2">
            <w:pPr>
              <w:jc w:val="right"/>
              <w:textAlignment w:val="bottom"/>
            </w:pPr>
            <w:r>
              <w:rPr>
                <w:rFonts w:ascii="Arial" w:eastAsia="宋体" w:hAnsi="Arial" w:cs="Arial"/>
                <w:color w:val="000000"/>
                <w:sz w:val="18"/>
                <w:szCs w:val="18"/>
              </w:rPr>
              <w:t>(115)</w:t>
            </w:r>
          </w:p>
        </w:tc>
        <w:tc>
          <w:tcPr>
            <w:tcW w:w="0" w:type="auto"/>
            <w:shd w:val="clear" w:color="auto" w:fill="E2E2E2"/>
            <w:tcMar>
              <w:top w:w="40" w:type="dxa"/>
              <w:bottom w:w="40" w:type="dxa"/>
              <w:right w:w="20" w:type="dxa"/>
            </w:tcMar>
            <w:vAlign w:val="bottom"/>
          </w:tcPr>
          <w:p w14:paraId="64A88AC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AC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AC8" w14:textId="77777777" w:rsidR="008D6614" w:rsidRDefault="00866AF2">
            <w:pPr>
              <w:jc w:val="right"/>
              <w:textAlignment w:val="bottom"/>
            </w:pPr>
            <w:r>
              <w:rPr>
                <w:rFonts w:ascii="Arial" w:eastAsia="宋体" w:hAnsi="Arial" w:cs="Arial"/>
                <w:color w:val="000000"/>
                <w:sz w:val="18"/>
                <w:szCs w:val="18"/>
              </w:rPr>
              <w:t>(130)</w:t>
            </w:r>
          </w:p>
        </w:tc>
        <w:tc>
          <w:tcPr>
            <w:tcW w:w="0" w:type="auto"/>
            <w:shd w:val="clear" w:color="auto" w:fill="E2E2E2"/>
            <w:tcMar>
              <w:top w:w="40" w:type="dxa"/>
              <w:bottom w:w="40" w:type="dxa"/>
              <w:right w:w="20" w:type="dxa"/>
            </w:tcMar>
            <w:vAlign w:val="bottom"/>
          </w:tcPr>
          <w:p w14:paraId="64A88AC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ACA" w14:textId="77777777" w:rsidR="008D6614" w:rsidRDefault="008D6614">
            <w:pPr>
              <w:rPr>
                <w:rFonts w:ascii="宋体"/>
              </w:rPr>
            </w:pPr>
          </w:p>
        </w:tc>
        <w:tc>
          <w:tcPr>
            <w:tcW w:w="0" w:type="auto"/>
            <w:shd w:val="clear" w:color="auto" w:fill="auto"/>
            <w:vAlign w:val="center"/>
          </w:tcPr>
          <w:p w14:paraId="64A88ACB" w14:textId="77777777" w:rsidR="008D6614" w:rsidRDefault="008D6614">
            <w:pPr>
              <w:rPr>
                <w:rFonts w:ascii="宋体"/>
              </w:rPr>
            </w:pPr>
          </w:p>
        </w:tc>
        <w:tc>
          <w:tcPr>
            <w:tcW w:w="0" w:type="auto"/>
            <w:shd w:val="clear" w:color="auto" w:fill="auto"/>
            <w:vAlign w:val="center"/>
          </w:tcPr>
          <w:p w14:paraId="64A88ACC" w14:textId="77777777" w:rsidR="008D6614" w:rsidRDefault="008D6614">
            <w:pPr>
              <w:rPr>
                <w:rFonts w:ascii="宋体"/>
              </w:rPr>
            </w:pPr>
          </w:p>
        </w:tc>
        <w:tc>
          <w:tcPr>
            <w:tcW w:w="0" w:type="auto"/>
            <w:shd w:val="clear" w:color="auto" w:fill="auto"/>
            <w:vAlign w:val="center"/>
          </w:tcPr>
          <w:p w14:paraId="64A88ACD" w14:textId="77777777" w:rsidR="008D6614" w:rsidRDefault="008D6614">
            <w:pPr>
              <w:rPr>
                <w:rFonts w:ascii="宋体"/>
              </w:rPr>
            </w:pPr>
          </w:p>
        </w:tc>
        <w:tc>
          <w:tcPr>
            <w:tcW w:w="0" w:type="auto"/>
            <w:shd w:val="clear" w:color="auto" w:fill="auto"/>
            <w:vAlign w:val="center"/>
          </w:tcPr>
          <w:p w14:paraId="64A88ACE" w14:textId="77777777" w:rsidR="008D6614" w:rsidRDefault="008D6614">
            <w:pPr>
              <w:rPr>
                <w:rFonts w:ascii="宋体"/>
              </w:rPr>
            </w:pPr>
          </w:p>
        </w:tc>
        <w:tc>
          <w:tcPr>
            <w:tcW w:w="0" w:type="auto"/>
            <w:shd w:val="clear" w:color="auto" w:fill="auto"/>
            <w:vAlign w:val="center"/>
          </w:tcPr>
          <w:p w14:paraId="64A88ACF" w14:textId="77777777" w:rsidR="008D6614" w:rsidRDefault="008D6614">
            <w:pPr>
              <w:rPr>
                <w:rFonts w:ascii="宋体"/>
              </w:rPr>
            </w:pPr>
          </w:p>
        </w:tc>
        <w:tc>
          <w:tcPr>
            <w:tcW w:w="0" w:type="auto"/>
            <w:shd w:val="clear" w:color="auto" w:fill="auto"/>
            <w:vAlign w:val="center"/>
          </w:tcPr>
          <w:p w14:paraId="64A88AD0" w14:textId="77777777" w:rsidR="008D6614" w:rsidRDefault="008D6614">
            <w:pPr>
              <w:rPr>
                <w:rFonts w:ascii="宋体"/>
              </w:rPr>
            </w:pPr>
          </w:p>
        </w:tc>
        <w:tc>
          <w:tcPr>
            <w:tcW w:w="0" w:type="auto"/>
            <w:shd w:val="clear" w:color="auto" w:fill="auto"/>
            <w:vAlign w:val="center"/>
          </w:tcPr>
          <w:p w14:paraId="64A88AD1" w14:textId="77777777" w:rsidR="008D6614" w:rsidRDefault="008D6614">
            <w:pPr>
              <w:rPr>
                <w:rFonts w:ascii="宋体"/>
              </w:rPr>
            </w:pPr>
          </w:p>
        </w:tc>
        <w:tc>
          <w:tcPr>
            <w:tcW w:w="0" w:type="auto"/>
            <w:shd w:val="clear" w:color="auto" w:fill="auto"/>
            <w:vAlign w:val="center"/>
          </w:tcPr>
          <w:p w14:paraId="64A88AD2" w14:textId="77777777" w:rsidR="008D6614" w:rsidRDefault="008D6614">
            <w:pPr>
              <w:rPr>
                <w:rFonts w:ascii="宋体"/>
              </w:rPr>
            </w:pPr>
          </w:p>
        </w:tc>
      </w:tr>
      <w:tr w:rsidR="008D6614" w14:paraId="64A88AE5" w14:textId="77777777">
        <w:trPr>
          <w:jc w:val="center"/>
          <w:hidden/>
        </w:trPr>
        <w:tc>
          <w:tcPr>
            <w:tcW w:w="0" w:type="auto"/>
            <w:gridSpan w:val="3"/>
            <w:shd w:val="clear" w:color="auto" w:fill="auto"/>
            <w:vAlign w:val="center"/>
          </w:tcPr>
          <w:p w14:paraId="64A88AD4" w14:textId="77777777" w:rsidR="008D6614" w:rsidRDefault="008D6614">
            <w:pPr>
              <w:rPr>
                <w:rFonts w:ascii="宋体"/>
                <w:vanish/>
              </w:rPr>
            </w:pPr>
          </w:p>
        </w:tc>
        <w:tc>
          <w:tcPr>
            <w:tcW w:w="0" w:type="auto"/>
            <w:shd w:val="clear" w:color="auto" w:fill="auto"/>
            <w:vAlign w:val="center"/>
          </w:tcPr>
          <w:p w14:paraId="64A88AD5" w14:textId="77777777" w:rsidR="008D6614" w:rsidRDefault="008D6614">
            <w:pPr>
              <w:rPr>
                <w:rFonts w:ascii="宋体"/>
                <w:vanish/>
              </w:rPr>
            </w:pPr>
          </w:p>
        </w:tc>
        <w:tc>
          <w:tcPr>
            <w:tcW w:w="0" w:type="auto"/>
            <w:shd w:val="clear" w:color="auto" w:fill="auto"/>
            <w:vAlign w:val="center"/>
          </w:tcPr>
          <w:p w14:paraId="64A88AD6" w14:textId="77777777" w:rsidR="008D6614" w:rsidRDefault="008D6614">
            <w:pPr>
              <w:rPr>
                <w:rFonts w:ascii="宋体"/>
                <w:vanish/>
              </w:rPr>
            </w:pPr>
          </w:p>
        </w:tc>
        <w:tc>
          <w:tcPr>
            <w:tcW w:w="0" w:type="auto"/>
            <w:shd w:val="clear" w:color="auto" w:fill="auto"/>
            <w:vAlign w:val="center"/>
          </w:tcPr>
          <w:p w14:paraId="64A88AD7" w14:textId="77777777" w:rsidR="008D6614" w:rsidRDefault="008D6614">
            <w:pPr>
              <w:rPr>
                <w:rFonts w:ascii="宋体"/>
                <w:vanish/>
              </w:rPr>
            </w:pPr>
          </w:p>
        </w:tc>
        <w:tc>
          <w:tcPr>
            <w:tcW w:w="0" w:type="auto"/>
            <w:gridSpan w:val="3"/>
            <w:shd w:val="clear" w:color="auto" w:fill="auto"/>
            <w:vAlign w:val="center"/>
          </w:tcPr>
          <w:p w14:paraId="64A88AD8" w14:textId="77777777" w:rsidR="008D6614" w:rsidRDefault="008D6614">
            <w:pPr>
              <w:rPr>
                <w:rFonts w:ascii="宋体"/>
                <w:vanish/>
              </w:rPr>
            </w:pPr>
          </w:p>
        </w:tc>
        <w:tc>
          <w:tcPr>
            <w:tcW w:w="0" w:type="auto"/>
            <w:gridSpan w:val="3"/>
            <w:shd w:val="clear" w:color="auto" w:fill="auto"/>
            <w:vAlign w:val="center"/>
          </w:tcPr>
          <w:p w14:paraId="64A88AD9" w14:textId="77777777" w:rsidR="008D6614" w:rsidRDefault="008D6614">
            <w:pPr>
              <w:rPr>
                <w:rFonts w:ascii="宋体"/>
                <w:vanish/>
              </w:rPr>
            </w:pPr>
          </w:p>
        </w:tc>
        <w:tc>
          <w:tcPr>
            <w:tcW w:w="0" w:type="auto"/>
            <w:gridSpan w:val="3"/>
            <w:shd w:val="clear" w:color="auto" w:fill="auto"/>
            <w:vAlign w:val="center"/>
          </w:tcPr>
          <w:p w14:paraId="64A88ADA" w14:textId="77777777" w:rsidR="008D6614" w:rsidRDefault="008D6614">
            <w:pPr>
              <w:rPr>
                <w:rFonts w:ascii="宋体"/>
                <w:vanish/>
              </w:rPr>
            </w:pPr>
          </w:p>
        </w:tc>
        <w:tc>
          <w:tcPr>
            <w:tcW w:w="0" w:type="auto"/>
            <w:gridSpan w:val="3"/>
            <w:shd w:val="clear" w:color="auto" w:fill="auto"/>
            <w:vAlign w:val="center"/>
          </w:tcPr>
          <w:p w14:paraId="64A88ADB" w14:textId="77777777" w:rsidR="008D6614" w:rsidRDefault="008D6614">
            <w:pPr>
              <w:rPr>
                <w:rFonts w:ascii="宋体"/>
                <w:vanish/>
              </w:rPr>
            </w:pPr>
          </w:p>
        </w:tc>
        <w:tc>
          <w:tcPr>
            <w:tcW w:w="0" w:type="auto"/>
            <w:shd w:val="clear" w:color="auto" w:fill="auto"/>
            <w:vAlign w:val="center"/>
          </w:tcPr>
          <w:p w14:paraId="64A88ADC" w14:textId="77777777" w:rsidR="008D6614" w:rsidRDefault="008D6614">
            <w:pPr>
              <w:rPr>
                <w:rFonts w:ascii="宋体"/>
              </w:rPr>
            </w:pPr>
          </w:p>
        </w:tc>
        <w:tc>
          <w:tcPr>
            <w:tcW w:w="0" w:type="auto"/>
            <w:shd w:val="clear" w:color="auto" w:fill="auto"/>
            <w:vAlign w:val="center"/>
          </w:tcPr>
          <w:p w14:paraId="64A88ADD" w14:textId="77777777" w:rsidR="008D6614" w:rsidRDefault="008D6614">
            <w:pPr>
              <w:rPr>
                <w:rFonts w:ascii="宋体"/>
              </w:rPr>
            </w:pPr>
          </w:p>
        </w:tc>
        <w:tc>
          <w:tcPr>
            <w:tcW w:w="0" w:type="auto"/>
            <w:shd w:val="clear" w:color="auto" w:fill="auto"/>
            <w:vAlign w:val="center"/>
          </w:tcPr>
          <w:p w14:paraId="64A88ADE" w14:textId="77777777" w:rsidR="008D6614" w:rsidRDefault="008D6614">
            <w:pPr>
              <w:rPr>
                <w:rFonts w:ascii="宋体"/>
              </w:rPr>
            </w:pPr>
          </w:p>
        </w:tc>
        <w:tc>
          <w:tcPr>
            <w:tcW w:w="0" w:type="auto"/>
            <w:shd w:val="clear" w:color="auto" w:fill="auto"/>
            <w:vAlign w:val="center"/>
          </w:tcPr>
          <w:p w14:paraId="64A88ADF" w14:textId="77777777" w:rsidR="008D6614" w:rsidRDefault="008D6614">
            <w:pPr>
              <w:rPr>
                <w:rFonts w:ascii="宋体"/>
              </w:rPr>
            </w:pPr>
          </w:p>
        </w:tc>
        <w:tc>
          <w:tcPr>
            <w:tcW w:w="0" w:type="auto"/>
            <w:shd w:val="clear" w:color="auto" w:fill="auto"/>
            <w:vAlign w:val="center"/>
          </w:tcPr>
          <w:p w14:paraId="64A88AE0" w14:textId="77777777" w:rsidR="008D6614" w:rsidRDefault="008D6614">
            <w:pPr>
              <w:rPr>
                <w:rFonts w:ascii="宋体"/>
              </w:rPr>
            </w:pPr>
          </w:p>
        </w:tc>
        <w:tc>
          <w:tcPr>
            <w:tcW w:w="0" w:type="auto"/>
            <w:shd w:val="clear" w:color="auto" w:fill="auto"/>
            <w:vAlign w:val="center"/>
          </w:tcPr>
          <w:p w14:paraId="64A88AE1" w14:textId="77777777" w:rsidR="008D6614" w:rsidRDefault="008D6614">
            <w:pPr>
              <w:rPr>
                <w:rFonts w:ascii="宋体"/>
              </w:rPr>
            </w:pPr>
          </w:p>
        </w:tc>
        <w:tc>
          <w:tcPr>
            <w:tcW w:w="0" w:type="auto"/>
            <w:shd w:val="clear" w:color="auto" w:fill="auto"/>
            <w:vAlign w:val="center"/>
          </w:tcPr>
          <w:p w14:paraId="64A88AE2" w14:textId="77777777" w:rsidR="008D6614" w:rsidRDefault="008D6614">
            <w:pPr>
              <w:rPr>
                <w:rFonts w:ascii="宋体"/>
              </w:rPr>
            </w:pPr>
          </w:p>
        </w:tc>
        <w:tc>
          <w:tcPr>
            <w:tcW w:w="0" w:type="auto"/>
            <w:shd w:val="clear" w:color="auto" w:fill="auto"/>
            <w:vAlign w:val="center"/>
          </w:tcPr>
          <w:p w14:paraId="64A88AE3" w14:textId="77777777" w:rsidR="008D6614" w:rsidRDefault="008D6614">
            <w:pPr>
              <w:rPr>
                <w:rFonts w:ascii="宋体"/>
              </w:rPr>
            </w:pPr>
          </w:p>
        </w:tc>
        <w:tc>
          <w:tcPr>
            <w:tcW w:w="0" w:type="auto"/>
            <w:shd w:val="clear" w:color="auto" w:fill="auto"/>
            <w:vAlign w:val="center"/>
          </w:tcPr>
          <w:p w14:paraId="64A88AE4" w14:textId="77777777" w:rsidR="008D6614" w:rsidRDefault="008D6614">
            <w:pPr>
              <w:rPr>
                <w:rFonts w:ascii="宋体"/>
              </w:rPr>
            </w:pPr>
          </w:p>
        </w:tc>
      </w:tr>
      <w:tr w:rsidR="008D6614" w14:paraId="64A88AF7" w14:textId="77777777">
        <w:trPr>
          <w:jc w:val="center"/>
          <w:hidden/>
        </w:trPr>
        <w:tc>
          <w:tcPr>
            <w:tcW w:w="0" w:type="auto"/>
            <w:gridSpan w:val="3"/>
            <w:shd w:val="clear" w:color="auto" w:fill="auto"/>
            <w:vAlign w:val="center"/>
          </w:tcPr>
          <w:p w14:paraId="64A88AE6" w14:textId="77777777" w:rsidR="008D6614" w:rsidRDefault="008D6614">
            <w:pPr>
              <w:rPr>
                <w:rFonts w:ascii="宋体"/>
                <w:vanish/>
              </w:rPr>
            </w:pPr>
          </w:p>
        </w:tc>
        <w:tc>
          <w:tcPr>
            <w:tcW w:w="0" w:type="auto"/>
            <w:shd w:val="clear" w:color="auto" w:fill="auto"/>
            <w:vAlign w:val="center"/>
          </w:tcPr>
          <w:p w14:paraId="64A88AE7" w14:textId="77777777" w:rsidR="008D6614" w:rsidRDefault="008D6614">
            <w:pPr>
              <w:rPr>
                <w:rFonts w:ascii="宋体"/>
                <w:vanish/>
              </w:rPr>
            </w:pPr>
          </w:p>
        </w:tc>
        <w:tc>
          <w:tcPr>
            <w:tcW w:w="0" w:type="auto"/>
            <w:shd w:val="clear" w:color="auto" w:fill="auto"/>
            <w:vAlign w:val="center"/>
          </w:tcPr>
          <w:p w14:paraId="64A88AE8" w14:textId="77777777" w:rsidR="008D6614" w:rsidRDefault="008D6614">
            <w:pPr>
              <w:rPr>
                <w:rFonts w:ascii="宋体"/>
                <w:vanish/>
              </w:rPr>
            </w:pPr>
          </w:p>
        </w:tc>
        <w:tc>
          <w:tcPr>
            <w:tcW w:w="0" w:type="auto"/>
            <w:shd w:val="clear" w:color="auto" w:fill="auto"/>
            <w:vAlign w:val="center"/>
          </w:tcPr>
          <w:p w14:paraId="64A88AE9" w14:textId="77777777" w:rsidR="008D6614" w:rsidRDefault="008D6614">
            <w:pPr>
              <w:rPr>
                <w:rFonts w:ascii="宋体"/>
                <w:vanish/>
              </w:rPr>
            </w:pPr>
          </w:p>
        </w:tc>
        <w:tc>
          <w:tcPr>
            <w:tcW w:w="0" w:type="auto"/>
            <w:gridSpan w:val="3"/>
            <w:shd w:val="clear" w:color="auto" w:fill="auto"/>
            <w:vAlign w:val="center"/>
          </w:tcPr>
          <w:p w14:paraId="64A88AEA" w14:textId="77777777" w:rsidR="008D6614" w:rsidRDefault="008D6614">
            <w:pPr>
              <w:rPr>
                <w:rFonts w:ascii="宋体"/>
                <w:vanish/>
              </w:rPr>
            </w:pPr>
          </w:p>
        </w:tc>
        <w:tc>
          <w:tcPr>
            <w:tcW w:w="0" w:type="auto"/>
            <w:gridSpan w:val="3"/>
            <w:shd w:val="clear" w:color="auto" w:fill="auto"/>
            <w:vAlign w:val="center"/>
          </w:tcPr>
          <w:p w14:paraId="64A88AEB" w14:textId="77777777" w:rsidR="008D6614" w:rsidRDefault="008D6614">
            <w:pPr>
              <w:rPr>
                <w:rFonts w:ascii="宋体"/>
                <w:vanish/>
              </w:rPr>
            </w:pPr>
          </w:p>
        </w:tc>
        <w:tc>
          <w:tcPr>
            <w:tcW w:w="0" w:type="auto"/>
            <w:gridSpan w:val="3"/>
            <w:shd w:val="clear" w:color="auto" w:fill="auto"/>
            <w:vAlign w:val="center"/>
          </w:tcPr>
          <w:p w14:paraId="64A88AEC" w14:textId="77777777" w:rsidR="008D6614" w:rsidRDefault="008D6614">
            <w:pPr>
              <w:rPr>
                <w:rFonts w:ascii="宋体"/>
                <w:vanish/>
              </w:rPr>
            </w:pPr>
          </w:p>
        </w:tc>
        <w:tc>
          <w:tcPr>
            <w:tcW w:w="0" w:type="auto"/>
            <w:gridSpan w:val="3"/>
            <w:shd w:val="clear" w:color="auto" w:fill="auto"/>
            <w:vAlign w:val="center"/>
          </w:tcPr>
          <w:p w14:paraId="64A88AED" w14:textId="77777777" w:rsidR="008D6614" w:rsidRDefault="008D6614">
            <w:pPr>
              <w:rPr>
                <w:rFonts w:ascii="宋体"/>
                <w:vanish/>
              </w:rPr>
            </w:pPr>
          </w:p>
        </w:tc>
        <w:tc>
          <w:tcPr>
            <w:tcW w:w="0" w:type="auto"/>
            <w:shd w:val="clear" w:color="auto" w:fill="auto"/>
            <w:vAlign w:val="center"/>
          </w:tcPr>
          <w:p w14:paraId="64A88AEE" w14:textId="77777777" w:rsidR="008D6614" w:rsidRDefault="008D6614">
            <w:pPr>
              <w:rPr>
                <w:rFonts w:ascii="宋体"/>
              </w:rPr>
            </w:pPr>
          </w:p>
        </w:tc>
        <w:tc>
          <w:tcPr>
            <w:tcW w:w="0" w:type="auto"/>
            <w:shd w:val="clear" w:color="auto" w:fill="auto"/>
            <w:vAlign w:val="center"/>
          </w:tcPr>
          <w:p w14:paraId="64A88AEF" w14:textId="77777777" w:rsidR="008D6614" w:rsidRDefault="008D6614">
            <w:pPr>
              <w:rPr>
                <w:rFonts w:ascii="宋体"/>
              </w:rPr>
            </w:pPr>
          </w:p>
        </w:tc>
        <w:tc>
          <w:tcPr>
            <w:tcW w:w="0" w:type="auto"/>
            <w:shd w:val="clear" w:color="auto" w:fill="auto"/>
            <w:vAlign w:val="center"/>
          </w:tcPr>
          <w:p w14:paraId="64A88AF0" w14:textId="77777777" w:rsidR="008D6614" w:rsidRDefault="008D6614">
            <w:pPr>
              <w:rPr>
                <w:rFonts w:ascii="宋体"/>
              </w:rPr>
            </w:pPr>
          </w:p>
        </w:tc>
        <w:tc>
          <w:tcPr>
            <w:tcW w:w="0" w:type="auto"/>
            <w:shd w:val="clear" w:color="auto" w:fill="auto"/>
            <w:vAlign w:val="center"/>
          </w:tcPr>
          <w:p w14:paraId="64A88AF1" w14:textId="77777777" w:rsidR="008D6614" w:rsidRDefault="008D6614">
            <w:pPr>
              <w:rPr>
                <w:rFonts w:ascii="宋体"/>
              </w:rPr>
            </w:pPr>
          </w:p>
        </w:tc>
        <w:tc>
          <w:tcPr>
            <w:tcW w:w="0" w:type="auto"/>
            <w:shd w:val="clear" w:color="auto" w:fill="auto"/>
            <w:vAlign w:val="center"/>
          </w:tcPr>
          <w:p w14:paraId="64A88AF2" w14:textId="77777777" w:rsidR="008D6614" w:rsidRDefault="008D6614">
            <w:pPr>
              <w:rPr>
                <w:rFonts w:ascii="宋体"/>
              </w:rPr>
            </w:pPr>
          </w:p>
        </w:tc>
        <w:tc>
          <w:tcPr>
            <w:tcW w:w="0" w:type="auto"/>
            <w:shd w:val="clear" w:color="auto" w:fill="auto"/>
            <w:vAlign w:val="center"/>
          </w:tcPr>
          <w:p w14:paraId="64A88AF3" w14:textId="77777777" w:rsidR="008D6614" w:rsidRDefault="008D6614">
            <w:pPr>
              <w:rPr>
                <w:rFonts w:ascii="宋体"/>
              </w:rPr>
            </w:pPr>
          </w:p>
        </w:tc>
        <w:tc>
          <w:tcPr>
            <w:tcW w:w="0" w:type="auto"/>
            <w:shd w:val="clear" w:color="auto" w:fill="auto"/>
            <w:vAlign w:val="center"/>
          </w:tcPr>
          <w:p w14:paraId="64A88AF4" w14:textId="77777777" w:rsidR="008D6614" w:rsidRDefault="008D6614">
            <w:pPr>
              <w:rPr>
                <w:rFonts w:ascii="宋体"/>
              </w:rPr>
            </w:pPr>
          </w:p>
        </w:tc>
        <w:tc>
          <w:tcPr>
            <w:tcW w:w="0" w:type="auto"/>
            <w:shd w:val="clear" w:color="auto" w:fill="auto"/>
            <w:vAlign w:val="center"/>
          </w:tcPr>
          <w:p w14:paraId="64A88AF5" w14:textId="77777777" w:rsidR="008D6614" w:rsidRDefault="008D6614">
            <w:pPr>
              <w:rPr>
                <w:rFonts w:ascii="宋体"/>
              </w:rPr>
            </w:pPr>
          </w:p>
        </w:tc>
        <w:tc>
          <w:tcPr>
            <w:tcW w:w="0" w:type="auto"/>
            <w:shd w:val="clear" w:color="auto" w:fill="auto"/>
            <w:vAlign w:val="center"/>
          </w:tcPr>
          <w:p w14:paraId="64A88AF6" w14:textId="77777777" w:rsidR="008D6614" w:rsidRDefault="008D6614">
            <w:pPr>
              <w:rPr>
                <w:rFonts w:ascii="宋体"/>
              </w:rPr>
            </w:pPr>
          </w:p>
        </w:tc>
      </w:tr>
      <w:tr w:rsidR="008D6614" w14:paraId="64A88B09" w14:textId="77777777">
        <w:trPr>
          <w:jc w:val="center"/>
          <w:hidden/>
        </w:trPr>
        <w:tc>
          <w:tcPr>
            <w:tcW w:w="0" w:type="auto"/>
            <w:gridSpan w:val="3"/>
            <w:shd w:val="clear" w:color="auto" w:fill="auto"/>
            <w:vAlign w:val="center"/>
          </w:tcPr>
          <w:p w14:paraId="64A88AF8" w14:textId="77777777" w:rsidR="008D6614" w:rsidRDefault="008D6614">
            <w:pPr>
              <w:rPr>
                <w:rFonts w:ascii="宋体"/>
                <w:vanish/>
              </w:rPr>
            </w:pPr>
          </w:p>
        </w:tc>
        <w:tc>
          <w:tcPr>
            <w:tcW w:w="0" w:type="auto"/>
            <w:shd w:val="clear" w:color="auto" w:fill="auto"/>
            <w:vAlign w:val="center"/>
          </w:tcPr>
          <w:p w14:paraId="64A88AF9" w14:textId="77777777" w:rsidR="008D6614" w:rsidRDefault="008D6614">
            <w:pPr>
              <w:rPr>
                <w:rFonts w:ascii="宋体"/>
                <w:vanish/>
              </w:rPr>
            </w:pPr>
          </w:p>
        </w:tc>
        <w:tc>
          <w:tcPr>
            <w:tcW w:w="0" w:type="auto"/>
            <w:shd w:val="clear" w:color="auto" w:fill="auto"/>
            <w:vAlign w:val="center"/>
          </w:tcPr>
          <w:p w14:paraId="64A88AFA" w14:textId="77777777" w:rsidR="008D6614" w:rsidRDefault="008D6614">
            <w:pPr>
              <w:rPr>
                <w:rFonts w:ascii="宋体"/>
                <w:vanish/>
              </w:rPr>
            </w:pPr>
          </w:p>
        </w:tc>
        <w:tc>
          <w:tcPr>
            <w:tcW w:w="0" w:type="auto"/>
            <w:shd w:val="clear" w:color="auto" w:fill="auto"/>
            <w:vAlign w:val="center"/>
          </w:tcPr>
          <w:p w14:paraId="64A88AFB" w14:textId="77777777" w:rsidR="008D6614" w:rsidRDefault="008D6614">
            <w:pPr>
              <w:rPr>
                <w:rFonts w:ascii="宋体"/>
                <w:vanish/>
              </w:rPr>
            </w:pPr>
          </w:p>
        </w:tc>
        <w:tc>
          <w:tcPr>
            <w:tcW w:w="0" w:type="auto"/>
            <w:gridSpan w:val="3"/>
            <w:shd w:val="clear" w:color="auto" w:fill="auto"/>
            <w:vAlign w:val="center"/>
          </w:tcPr>
          <w:p w14:paraId="64A88AFC" w14:textId="77777777" w:rsidR="008D6614" w:rsidRDefault="008D6614">
            <w:pPr>
              <w:rPr>
                <w:rFonts w:ascii="宋体"/>
                <w:vanish/>
              </w:rPr>
            </w:pPr>
          </w:p>
        </w:tc>
        <w:tc>
          <w:tcPr>
            <w:tcW w:w="0" w:type="auto"/>
            <w:gridSpan w:val="3"/>
            <w:shd w:val="clear" w:color="auto" w:fill="auto"/>
            <w:vAlign w:val="center"/>
          </w:tcPr>
          <w:p w14:paraId="64A88AFD" w14:textId="77777777" w:rsidR="008D6614" w:rsidRDefault="008D6614">
            <w:pPr>
              <w:rPr>
                <w:rFonts w:ascii="宋体"/>
                <w:vanish/>
              </w:rPr>
            </w:pPr>
          </w:p>
        </w:tc>
        <w:tc>
          <w:tcPr>
            <w:tcW w:w="0" w:type="auto"/>
            <w:gridSpan w:val="3"/>
            <w:shd w:val="clear" w:color="auto" w:fill="auto"/>
            <w:vAlign w:val="center"/>
          </w:tcPr>
          <w:p w14:paraId="64A88AFE" w14:textId="77777777" w:rsidR="008D6614" w:rsidRDefault="008D6614">
            <w:pPr>
              <w:rPr>
                <w:rFonts w:ascii="宋体"/>
                <w:vanish/>
              </w:rPr>
            </w:pPr>
          </w:p>
        </w:tc>
        <w:tc>
          <w:tcPr>
            <w:tcW w:w="0" w:type="auto"/>
            <w:gridSpan w:val="3"/>
            <w:shd w:val="clear" w:color="auto" w:fill="auto"/>
            <w:vAlign w:val="center"/>
          </w:tcPr>
          <w:p w14:paraId="64A88AFF" w14:textId="77777777" w:rsidR="008D6614" w:rsidRDefault="008D6614">
            <w:pPr>
              <w:rPr>
                <w:rFonts w:ascii="宋体"/>
                <w:vanish/>
              </w:rPr>
            </w:pPr>
          </w:p>
        </w:tc>
        <w:tc>
          <w:tcPr>
            <w:tcW w:w="0" w:type="auto"/>
            <w:shd w:val="clear" w:color="auto" w:fill="auto"/>
            <w:vAlign w:val="center"/>
          </w:tcPr>
          <w:p w14:paraId="64A88B00" w14:textId="77777777" w:rsidR="008D6614" w:rsidRDefault="008D6614">
            <w:pPr>
              <w:rPr>
                <w:rFonts w:ascii="宋体"/>
              </w:rPr>
            </w:pPr>
          </w:p>
        </w:tc>
        <w:tc>
          <w:tcPr>
            <w:tcW w:w="0" w:type="auto"/>
            <w:shd w:val="clear" w:color="auto" w:fill="auto"/>
            <w:vAlign w:val="center"/>
          </w:tcPr>
          <w:p w14:paraId="64A88B01" w14:textId="77777777" w:rsidR="008D6614" w:rsidRDefault="008D6614">
            <w:pPr>
              <w:rPr>
                <w:rFonts w:ascii="宋体"/>
              </w:rPr>
            </w:pPr>
          </w:p>
        </w:tc>
        <w:tc>
          <w:tcPr>
            <w:tcW w:w="0" w:type="auto"/>
            <w:shd w:val="clear" w:color="auto" w:fill="auto"/>
            <w:vAlign w:val="center"/>
          </w:tcPr>
          <w:p w14:paraId="64A88B02" w14:textId="77777777" w:rsidR="008D6614" w:rsidRDefault="008D6614">
            <w:pPr>
              <w:rPr>
                <w:rFonts w:ascii="宋体"/>
              </w:rPr>
            </w:pPr>
          </w:p>
        </w:tc>
        <w:tc>
          <w:tcPr>
            <w:tcW w:w="0" w:type="auto"/>
            <w:shd w:val="clear" w:color="auto" w:fill="auto"/>
            <w:vAlign w:val="center"/>
          </w:tcPr>
          <w:p w14:paraId="64A88B03" w14:textId="77777777" w:rsidR="008D6614" w:rsidRDefault="008D6614">
            <w:pPr>
              <w:rPr>
                <w:rFonts w:ascii="宋体"/>
              </w:rPr>
            </w:pPr>
          </w:p>
        </w:tc>
        <w:tc>
          <w:tcPr>
            <w:tcW w:w="0" w:type="auto"/>
            <w:shd w:val="clear" w:color="auto" w:fill="auto"/>
            <w:vAlign w:val="center"/>
          </w:tcPr>
          <w:p w14:paraId="64A88B04" w14:textId="77777777" w:rsidR="008D6614" w:rsidRDefault="008D6614">
            <w:pPr>
              <w:rPr>
                <w:rFonts w:ascii="宋体"/>
              </w:rPr>
            </w:pPr>
          </w:p>
        </w:tc>
        <w:tc>
          <w:tcPr>
            <w:tcW w:w="0" w:type="auto"/>
            <w:shd w:val="clear" w:color="auto" w:fill="auto"/>
            <w:vAlign w:val="center"/>
          </w:tcPr>
          <w:p w14:paraId="64A88B05" w14:textId="77777777" w:rsidR="008D6614" w:rsidRDefault="008D6614">
            <w:pPr>
              <w:rPr>
                <w:rFonts w:ascii="宋体"/>
              </w:rPr>
            </w:pPr>
          </w:p>
        </w:tc>
        <w:tc>
          <w:tcPr>
            <w:tcW w:w="0" w:type="auto"/>
            <w:shd w:val="clear" w:color="auto" w:fill="auto"/>
            <w:vAlign w:val="center"/>
          </w:tcPr>
          <w:p w14:paraId="64A88B06" w14:textId="77777777" w:rsidR="008D6614" w:rsidRDefault="008D6614">
            <w:pPr>
              <w:rPr>
                <w:rFonts w:ascii="宋体"/>
              </w:rPr>
            </w:pPr>
          </w:p>
        </w:tc>
        <w:tc>
          <w:tcPr>
            <w:tcW w:w="0" w:type="auto"/>
            <w:shd w:val="clear" w:color="auto" w:fill="auto"/>
            <w:vAlign w:val="center"/>
          </w:tcPr>
          <w:p w14:paraId="64A88B07" w14:textId="77777777" w:rsidR="008D6614" w:rsidRDefault="008D6614">
            <w:pPr>
              <w:rPr>
                <w:rFonts w:ascii="宋体"/>
              </w:rPr>
            </w:pPr>
          </w:p>
        </w:tc>
        <w:tc>
          <w:tcPr>
            <w:tcW w:w="0" w:type="auto"/>
            <w:shd w:val="clear" w:color="auto" w:fill="auto"/>
            <w:vAlign w:val="center"/>
          </w:tcPr>
          <w:p w14:paraId="64A88B08" w14:textId="77777777" w:rsidR="008D6614" w:rsidRDefault="008D6614">
            <w:pPr>
              <w:rPr>
                <w:rFonts w:ascii="宋体"/>
              </w:rPr>
            </w:pPr>
          </w:p>
        </w:tc>
      </w:tr>
      <w:tr w:rsidR="008D6614" w14:paraId="64A88B1E" w14:textId="77777777">
        <w:trPr>
          <w:jc w:val="center"/>
        </w:trPr>
        <w:tc>
          <w:tcPr>
            <w:tcW w:w="0" w:type="auto"/>
            <w:gridSpan w:val="3"/>
            <w:shd w:val="clear" w:color="auto" w:fill="FFFFFF"/>
            <w:tcMar>
              <w:top w:w="40" w:type="dxa"/>
              <w:left w:w="720" w:type="dxa"/>
              <w:bottom w:w="40" w:type="dxa"/>
              <w:right w:w="20" w:type="dxa"/>
            </w:tcMar>
            <w:vAlign w:val="bottom"/>
          </w:tcPr>
          <w:p w14:paraId="64A88B0A" w14:textId="77777777" w:rsidR="008D6614" w:rsidRDefault="00866AF2">
            <w:pPr>
              <w:textAlignment w:val="bottom"/>
            </w:pPr>
            <w:r>
              <w:rPr>
                <w:rFonts w:ascii="Arial" w:eastAsia="宋体" w:hAnsi="Arial" w:cs="Arial"/>
                <w:color w:val="000000"/>
                <w:sz w:val="18"/>
                <w:szCs w:val="18"/>
              </w:rPr>
              <w:t>Balance, end of period</w:t>
            </w:r>
          </w:p>
        </w:tc>
        <w:tc>
          <w:tcPr>
            <w:tcW w:w="0" w:type="auto"/>
            <w:shd w:val="clear" w:color="auto" w:fill="auto"/>
            <w:vAlign w:val="center"/>
          </w:tcPr>
          <w:p w14:paraId="64A88B0B" w14:textId="77777777" w:rsidR="008D6614" w:rsidRDefault="008D6614">
            <w:pPr>
              <w:rPr>
                <w:rFonts w:ascii="宋体"/>
                <w:vanish/>
              </w:rPr>
            </w:pPr>
          </w:p>
        </w:tc>
        <w:tc>
          <w:tcPr>
            <w:tcW w:w="0" w:type="auto"/>
            <w:shd w:val="clear" w:color="auto" w:fill="auto"/>
            <w:vAlign w:val="center"/>
          </w:tcPr>
          <w:p w14:paraId="64A88B0C" w14:textId="77777777" w:rsidR="008D6614" w:rsidRDefault="008D6614">
            <w:pPr>
              <w:rPr>
                <w:rFonts w:ascii="宋体"/>
                <w:vanish/>
              </w:rPr>
            </w:pPr>
          </w:p>
        </w:tc>
        <w:tc>
          <w:tcPr>
            <w:tcW w:w="0" w:type="auto"/>
            <w:shd w:val="clear" w:color="auto" w:fill="auto"/>
            <w:vAlign w:val="center"/>
          </w:tcPr>
          <w:p w14:paraId="64A88B0D"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B0E"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B0F" w14:textId="77777777" w:rsidR="008D6614" w:rsidRDefault="00866AF2">
            <w:pPr>
              <w:jc w:val="right"/>
              <w:textAlignment w:val="bottom"/>
            </w:pPr>
            <w:r>
              <w:rPr>
                <w:rFonts w:ascii="Arial" w:eastAsia="宋体" w:hAnsi="Arial" w:cs="Arial"/>
                <w:color w:val="000000"/>
                <w:sz w:val="18"/>
                <w:szCs w:val="18"/>
              </w:rPr>
              <w:t>21,051 </w:t>
            </w:r>
          </w:p>
        </w:tc>
        <w:tc>
          <w:tcPr>
            <w:tcW w:w="0" w:type="auto"/>
            <w:tcBorders>
              <w:top w:val="single" w:sz="8" w:space="0" w:color="000000"/>
            </w:tcBorders>
            <w:shd w:val="clear" w:color="auto" w:fill="FFFFFF"/>
            <w:tcMar>
              <w:top w:w="40" w:type="dxa"/>
              <w:bottom w:w="40" w:type="dxa"/>
              <w:right w:w="20" w:type="dxa"/>
            </w:tcMar>
            <w:vAlign w:val="bottom"/>
          </w:tcPr>
          <w:p w14:paraId="64A88B10"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8B11" w14:textId="77777777" w:rsidR="008D6614" w:rsidRDefault="008D6614">
            <w:pPr>
              <w:rPr>
                <w:rFonts w:ascii="宋体"/>
              </w:rPr>
            </w:pPr>
          </w:p>
        </w:tc>
        <w:tc>
          <w:tcPr>
            <w:tcW w:w="0" w:type="auto"/>
            <w:shd w:val="clear" w:color="auto" w:fill="FFFFFF"/>
            <w:tcMar>
              <w:right w:w="20" w:type="dxa"/>
            </w:tcMar>
            <w:vAlign w:val="bottom"/>
          </w:tcPr>
          <w:p w14:paraId="64A88B12" w14:textId="77777777" w:rsidR="008D6614" w:rsidRDefault="008D661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B13" w14:textId="77777777" w:rsidR="008D6614" w:rsidRDefault="00866AF2">
            <w:pPr>
              <w:jc w:val="right"/>
              <w:textAlignment w:val="bottom"/>
            </w:pPr>
            <w:r>
              <w:rPr>
                <w:rFonts w:ascii="Arial" w:eastAsia="宋体" w:hAnsi="Arial" w:cs="Arial"/>
                <w:color w:val="000000"/>
                <w:sz w:val="18"/>
                <w:szCs w:val="18"/>
              </w:rPr>
              <w:t>16,847 </w:t>
            </w:r>
          </w:p>
        </w:tc>
        <w:tc>
          <w:tcPr>
            <w:tcW w:w="0" w:type="auto"/>
            <w:tcBorders>
              <w:top w:val="single" w:sz="8" w:space="0" w:color="000000"/>
            </w:tcBorders>
            <w:shd w:val="clear" w:color="auto" w:fill="FFFFFF"/>
            <w:tcMar>
              <w:top w:w="40" w:type="dxa"/>
              <w:bottom w:w="40" w:type="dxa"/>
              <w:right w:w="20" w:type="dxa"/>
            </w:tcMar>
            <w:vAlign w:val="bottom"/>
          </w:tcPr>
          <w:p w14:paraId="64A88B1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B15" w14:textId="77777777" w:rsidR="008D6614" w:rsidRDefault="008D6614">
            <w:pPr>
              <w:rPr>
                <w:rFonts w:ascii="宋体"/>
              </w:rPr>
            </w:pPr>
          </w:p>
        </w:tc>
        <w:tc>
          <w:tcPr>
            <w:tcW w:w="0" w:type="auto"/>
            <w:shd w:val="clear" w:color="auto" w:fill="auto"/>
            <w:vAlign w:val="center"/>
          </w:tcPr>
          <w:p w14:paraId="64A88B16" w14:textId="77777777" w:rsidR="008D6614" w:rsidRDefault="008D6614">
            <w:pPr>
              <w:rPr>
                <w:rFonts w:ascii="宋体"/>
              </w:rPr>
            </w:pPr>
          </w:p>
        </w:tc>
        <w:tc>
          <w:tcPr>
            <w:tcW w:w="0" w:type="auto"/>
            <w:shd w:val="clear" w:color="auto" w:fill="auto"/>
            <w:vAlign w:val="center"/>
          </w:tcPr>
          <w:p w14:paraId="64A88B17" w14:textId="77777777" w:rsidR="008D6614" w:rsidRDefault="008D6614">
            <w:pPr>
              <w:rPr>
                <w:rFonts w:ascii="宋体"/>
              </w:rPr>
            </w:pPr>
          </w:p>
        </w:tc>
        <w:tc>
          <w:tcPr>
            <w:tcW w:w="0" w:type="auto"/>
            <w:shd w:val="clear" w:color="auto" w:fill="auto"/>
            <w:vAlign w:val="center"/>
          </w:tcPr>
          <w:p w14:paraId="64A88B18" w14:textId="77777777" w:rsidR="008D6614" w:rsidRDefault="008D6614">
            <w:pPr>
              <w:rPr>
                <w:rFonts w:ascii="宋体"/>
              </w:rPr>
            </w:pPr>
          </w:p>
        </w:tc>
        <w:tc>
          <w:tcPr>
            <w:tcW w:w="0" w:type="auto"/>
            <w:shd w:val="clear" w:color="auto" w:fill="auto"/>
            <w:vAlign w:val="center"/>
          </w:tcPr>
          <w:p w14:paraId="64A88B19" w14:textId="77777777" w:rsidR="008D6614" w:rsidRDefault="008D6614">
            <w:pPr>
              <w:rPr>
                <w:rFonts w:ascii="宋体"/>
              </w:rPr>
            </w:pPr>
          </w:p>
        </w:tc>
        <w:tc>
          <w:tcPr>
            <w:tcW w:w="0" w:type="auto"/>
            <w:shd w:val="clear" w:color="auto" w:fill="auto"/>
            <w:vAlign w:val="center"/>
          </w:tcPr>
          <w:p w14:paraId="64A88B1A" w14:textId="77777777" w:rsidR="008D6614" w:rsidRDefault="008D6614">
            <w:pPr>
              <w:rPr>
                <w:rFonts w:ascii="宋体"/>
              </w:rPr>
            </w:pPr>
          </w:p>
        </w:tc>
        <w:tc>
          <w:tcPr>
            <w:tcW w:w="0" w:type="auto"/>
            <w:shd w:val="clear" w:color="auto" w:fill="auto"/>
            <w:vAlign w:val="center"/>
          </w:tcPr>
          <w:p w14:paraId="64A88B1B" w14:textId="77777777" w:rsidR="008D6614" w:rsidRDefault="008D6614">
            <w:pPr>
              <w:rPr>
                <w:rFonts w:ascii="宋体"/>
              </w:rPr>
            </w:pPr>
          </w:p>
        </w:tc>
        <w:tc>
          <w:tcPr>
            <w:tcW w:w="0" w:type="auto"/>
            <w:shd w:val="clear" w:color="auto" w:fill="auto"/>
            <w:vAlign w:val="center"/>
          </w:tcPr>
          <w:p w14:paraId="64A88B1C" w14:textId="77777777" w:rsidR="008D6614" w:rsidRDefault="008D6614">
            <w:pPr>
              <w:rPr>
                <w:rFonts w:ascii="宋体"/>
              </w:rPr>
            </w:pPr>
          </w:p>
        </w:tc>
        <w:tc>
          <w:tcPr>
            <w:tcW w:w="0" w:type="auto"/>
            <w:shd w:val="clear" w:color="auto" w:fill="auto"/>
            <w:vAlign w:val="center"/>
          </w:tcPr>
          <w:p w14:paraId="64A88B1D" w14:textId="77777777" w:rsidR="008D6614" w:rsidRDefault="008D6614">
            <w:pPr>
              <w:rPr>
                <w:rFonts w:ascii="宋体"/>
              </w:rPr>
            </w:pPr>
          </w:p>
        </w:tc>
      </w:tr>
      <w:tr w:rsidR="008D6614" w14:paraId="64A88B31" w14:textId="77777777">
        <w:trPr>
          <w:jc w:val="center"/>
        </w:trPr>
        <w:tc>
          <w:tcPr>
            <w:tcW w:w="0" w:type="auto"/>
            <w:gridSpan w:val="3"/>
            <w:shd w:val="clear" w:color="auto" w:fill="E2E2E2"/>
            <w:tcMar>
              <w:top w:w="40" w:type="dxa"/>
              <w:left w:w="20" w:type="dxa"/>
              <w:bottom w:w="40" w:type="dxa"/>
              <w:right w:w="20" w:type="dxa"/>
            </w:tcMar>
            <w:vAlign w:val="bottom"/>
          </w:tcPr>
          <w:p w14:paraId="64A88B1F" w14:textId="77777777" w:rsidR="008D6614" w:rsidRDefault="00866AF2">
            <w:pPr>
              <w:textAlignment w:val="bottom"/>
            </w:pPr>
            <w:r>
              <w:rPr>
                <w:rFonts w:ascii="Arial" w:eastAsia="宋体" w:hAnsi="Arial" w:cs="Arial"/>
                <w:color w:val="000000"/>
                <w:sz w:val="18"/>
                <w:szCs w:val="18"/>
              </w:rPr>
              <w:t>Accumulated other comprehensive income:</w:t>
            </w:r>
          </w:p>
        </w:tc>
        <w:tc>
          <w:tcPr>
            <w:tcW w:w="0" w:type="auto"/>
            <w:shd w:val="clear" w:color="auto" w:fill="auto"/>
            <w:vAlign w:val="center"/>
          </w:tcPr>
          <w:p w14:paraId="64A88B20" w14:textId="77777777" w:rsidR="008D6614" w:rsidRDefault="008D6614">
            <w:pPr>
              <w:rPr>
                <w:rFonts w:ascii="宋体"/>
                <w:vanish/>
              </w:rPr>
            </w:pPr>
          </w:p>
        </w:tc>
        <w:tc>
          <w:tcPr>
            <w:tcW w:w="0" w:type="auto"/>
            <w:shd w:val="clear" w:color="auto" w:fill="auto"/>
            <w:vAlign w:val="center"/>
          </w:tcPr>
          <w:p w14:paraId="64A88B21" w14:textId="77777777" w:rsidR="008D6614" w:rsidRDefault="008D6614">
            <w:pPr>
              <w:rPr>
                <w:rFonts w:ascii="宋体"/>
                <w:vanish/>
              </w:rPr>
            </w:pPr>
          </w:p>
        </w:tc>
        <w:tc>
          <w:tcPr>
            <w:tcW w:w="0" w:type="auto"/>
            <w:shd w:val="clear" w:color="auto" w:fill="auto"/>
            <w:vAlign w:val="center"/>
          </w:tcPr>
          <w:p w14:paraId="64A88B22"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B23"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8B24" w14:textId="77777777" w:rsidR="008D6614" w:rsidRDefault="008D6614">
            <w:pPr>
              <w:rPr>
                <w:rFonts w:ascii="宋体"/>
              </w:rPr>
            </w:pPr>
          </w:p>
        </w:tc>
        <w:tc>
          <w:tcPr>
            <w:tcW w:w="0" w:type="auto"/>
            <w:gridSpan w:val="2"/>
            <w:shd w:val="clear" w:color="auto" w:fill="E2E2E2"/>
            <w:tcMar>
              <w:left w:w="20" w:type="dxa"/>
              <w:right w:w="0" w:type="dxa"/>
            </w:tcMar>
            <w:vAlign w:val="bottom"/>
          </w:tcPr>
          <w:p w14:paraId="64A88B25" w14:textId="77777777" w:rsidR="008D6614" w:rsidRDefault="008D6614">
            <w:pPr>
              <w:rPr>
                <w:rFonts w:ascii="宋体"/>
              </w:rPr>
            </w:pPr>
          </w:p>
        </w:tc>
        <w:tc>
          <w:tcPr>
            <w:tcW w:w="0" w:type="auto"/>
            <w:shd w:val="clear" w:color="auto" w:fill="E2E2E2"/>
            <w:tcMar>
              <w:right w:w="20" w:type="dxa"/>
            </w:tcMar>
            <w:vAlign w:val="bottom"/>
          </w:tcPr>
          <w:p w14:paraId="64A88B26" w14:textId="77777777" w:rsidR="008D6614" w:rsidRDefault="008D6614">
            <w:pPr>
              <w:jc w:val="right"/>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8B27" w14:textId="77777777" w:rsidR="008D6614" w:rsidRDefault="008D6614">
            <w:pPr>
              <w:rPr>
                <w:rFonts w:ascii="宋体"/>
              </w:rPr>
            </w:pPr>
          </w:p>
        </w:tc>
        <w:tc>
          <w:tcPr>
            <w:tcW w:w="0" w:type="auto"/>
            <w:shd w:val="clear" w:color="auto" w:fill="auto"/>
            <w:vAlign w:val="center"/>
          </w:tcPr>
          <w:p w14:paraId="64A88B28" w14:textId="77777777" w:rsidR="008D6614" w:rsidRDefault="008D6614">
            <w:pPr>
              <w:rPr>
                <w:rFonts w:ascii="宋体"/>
              </w:rPr>
            </w:pPr>
          </w:p>
        </w:tc>
        <w:tc>
          <w:tcPr>
            <w:tcW w:w="0" w:type="auto"/>
            <w:shd w:val="clear" w:color="auto" w:fill="auto"/>
            <w:vAlign w:val="center"/>
          </w:tcPr>
          <w:p w14:paraId="64A88B29" w14:textId="77777777" w:rsidR="008D6614" w:rsidRDefault="008D6614">
            <w:pPr>
              <w:rPr>
                <w:rFonts w:ascii="宋体"/>
              </w:rPr>
            </w:pPr>
          </w:p>
        </w:tc>
        <w:tc>
          <w:tcPr>
            <w:tcW w:w="0" w:type="auto"/>
            <w:shd w:val="clear" w:color="auto" w:fill="auto"/>
            <w:vAlign w:val="center"/>
          </w:tcPr>
          <w:p w14:paraId="64A88B2A" w14:textId="77777777" w:rsidR="008D6614" w:rsidRDefault="008D6614">
            <w:pPr>
              <w:rPr>
                <w:rFonts w:ascii="宋体"/>
              </w:rPr>
            </w:pPr>
          </w:p>
        </w:tc>
        <w:tc>
          <w:tcPr>
            <w:tcW w:w="0" w:type="auto"/>
            <w:shd w:val="clear" w:color="auto" w:fill="auto"/>
            <w:vAlign w:val="center"/>
          </w:tcPr>
          <w:p w14:paraId="64A88B2B" w14:textId="77777777" w:rsidR="008D6614" w:rsidRDefault="008D6614">
            <w:pPr>
              <w:rPr>
                <w:rFonts w:ascii="宋体"/>
              </w:rPr>
            </w:pPr>
          </w:p>
        </w:tc>
        <w:tc>
          <w:tcPr>
            <w:tcW w:w="0" w:type="auto"/>
            <w:shd w:val="clear" w:color="auto" w:fill="auto"/>
            <w:vAlign w:val="center"/>
          </w:tcPr>
          <w:p w14:paraId="64A88B2C" w14:textId="77777777" w:rsidR="008D6614" w:rsidRDefault="008D6614">
            <w:pPr>
              <w:rPr>
                <w:rFonts w:ascii="宋体"/>
              </w:rPr>
            </w:pPr>
          </w:p>
        </w:tc>
        <w:tc>
          <w:tcPr>
            <w:tcW w:w="0" w:type="auto"/>
            <w:shd w:val="clear" w:color="auto" w:fill="auto"/>
            <w:vAlign w:val="center"/>
          </w:tcPr>
          <w:p w14:paraId="64A88B2D" w14:textId="77777777" w:rsidR="008D6614" w:rsidRDefault="008D6614">
            <w:pPr>
              <w:rPr>
                <w:rFonts w:ascii="宋体"/>
              </w:rPr>
            </w:pPr>
          </w:p>
        </w:tc>
        <w:tc>
          <w:tcPr>
            <w:tcW w:w="0" w:type="auto"/>
            <w:shd w:val="clear" w:color="auto" w:fill="auto"/>
            <w:vAlign w:val="center"/>
          </w:tcPr>
          <w:p w14:paraId="64A88B2E" w14:textId="77777777" w:rsidR="008D6614" w:rsidRDefault="008D6614">
            <w:pPr>
              <w:rPr>
                <w:rFonts w:ascii="宋体"/>
              </w:rPr>
            </w:pPr>
          </w:p>
        </w:tc>
        <w:tc>
          <w:tcPr>
            <w:tcW w:w="0" w:type="auto"/>
            <w:shd w:val="clear" w:color="auto" w:fill="auto"/>
            <w:vAlign w:val="center"/>
          </w:tcPr>
          <w:p w14:paraId="64A88B2F" w14:textId="77777777" w:rsidR="008D6614" w:rsidRDefault="008D6614">
            <w:pPr>
              <w:rPr>
                <w:rFonts w:ascii="宋体"/>
              </w:rPr>
            </w:pPr>
          </w:p>
        </w:tc>
        <w:tc>
          <w:tcPr>
            <w:tcW w:w="0" w:type="auto"/>
            <w:shd w:val="clear" w:color="auto" w:fill="auto"/>
            <w:vAlign w:val="center"/>
          </w:tcPr>
          <w:p w14:paraId="64A88B30" w14:textId="77777777" w:rsidR="008D6614" w:rsidRDefault="008D6614">
            <w:pPr>
              <w:rPr>
                <w:rFonts w:ascii="宋体"/>
              </w:rPr>
            </w:pPr>
          </w:p>
        </w:tc>
      </w:tr>
      <w:tr w:rsidR="008D6614" w14:paraId="64A88B46" w14:textId="77777777">
        <w:trPr>
          <w:jc w:val="center"/>
        </w:trPr>
        <w:tc>
          <w:tcPr>
            <w:tcW w:w="0" w:type="auto"/>
            <w:gridSpan w:val="3"/>
            <w:shd w:val="clear" w:color="auto" w:fill="FFFFFF"/>
            <w:tcMar>
              <w:top w:w="40" w:type="dxa"/>
              <w:left w:w="225" w:type="dxa"/>
              <w:bottom w:w="40" w:type="dxa"/>
              <w:right w:w="20" w:type="dxa"/>
            </w:tcMar>
            <w:vAlign w:val="bottom"/>
          </w:tcPr>
          <w:p w14:paraId="64A88B32" w14:textId="77777777" w:rsidR="008D6614" w:rsidRDefault="00866AF2">
            <w:pPr>
              <w:textAlignment w:val="bottom"/>
            </w:pPr>
            <w:r>
              <w:rPr>
                <w:rFonts w:ascii="Arial" w:eastAsia="宋体" w:hAnsi="Arial" w:cs="Arial"/>
                <w:color w:val="000000"/>
                <w:sz w:val="18"/>
                <w:szCs w:val="18"/>
              </w:rPr>
              <w:t>Balance, beginning of period</w:t>
            </w:r>
          </w:p>
        </w:tc>
        <w:tc>
          <w:tcPr>
            <w:tcW w:w="0" w:type="auto"/>
            <w:shd w:val="clear" w:color="auto" w:fill="auto"/>
            <w:vAlign w:val="center"/>
          </w:tcPr>
          <w:p w14:paraId="64A88B33" w14:textId="77777777" w:rsidR="008D6614" w:rsidRDefault="008D6614">
            <w:pPr>
              <w:rPr>
                <w:rFonts w:ascii="宋体"/>
                <w:vanish/>
              </w:rPr>
            </w:pPr>
          </w:p>
        </w:tc>
        <w:tc>
          <w:tcPr>
            <w:tcW w:w="0" w:type="auto"/>
            <w:shd w:val="clear" w:color="auto" w:fill="auto"/>
            <w:vAlign w:val="center"/>
          </w:tcPr>
          <w:p w14:paraId="64A88B34" w14:textId="77777777" w:rsidR="008D6614" w:rsidRDefault="008D6614">
            <w:pPr>
              <w:rPr>
                <w:rFonts w:ascii="宋体"/>
                <w:vanish/>
              </w:rPr>
            </w:pPr>
          </w:p>
        </w:tc>
        <w:tc>
          <w:tcPr>
            <w:tcW w:w="0" w:type="auto"/>
            <w:shd w:val="clear" w:color="auto" w:fill="auto"/>
            <w:vAlign w:val="center"/>
          </w:tcPr>
          <w:p w14:paraId="64A88B35"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B3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B37" w14:textId="77777777" w:rsidR="008D6614" w:rsidRDefault="00866AF2">
            <w:pPr>
              <w:jc w:val="right"/>
              <w:textAlignment w:val="bottom"/>
            </w:pPr>
            <w:r>
              <w:rPr>
                <w:rFonts w:ascii="Arial" w:eastAsia="宋体" w:hAnsi="Arial" w:cs="Arial"/>
                <w:color w:val="000000"/>
                <w:sz w:val="18"/>
                <w:szCs w:val="18"/>
              </w:rPr>
              <w:t>384 </w:t>
            </w:r>
          </w:p>
        </w:tc>
        <w:tc>
          <w:tcPr>
            <w:tcW w:w="0" w:type="auto"/>
            <w:shd w:val="clear" w:color="auto" w:fill="FFFFFF"/>
            <w:tcMar>
              <w:top w:w="40" w:type="dxa"/>
              <w:bottom w:w="40" w:type="dxa"/>
              <w:right w:w="20" w:type="dxa"/>
            </w:tcMar>
            <w:vAlign w:val="bottom"/>
          </w:tcPr>
          <w:p w14:paraId="64A88B38"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8B39" w14:textId="77777777" w:rsidR="008D6614" w:rsidRDefault="008D6614">
            <w:pPr>
              <w:rPr>
                <w:rFonts w:ascii="宋体"/>
              </w:rPr>
            </w:pPr>
          </w:p>
        </w:tc>
        <w:tc>
          <w:tcPr>
            <w:tcW w:w="0" w:type="auto"/>
            <w:shd w:val="clear" w:color="auto" w:fill="FFFFFF"/>
            <w:tcMar>
              <w:right w:w="20" w:type="dxa"/>
            </w:tcMar>
            <w:vAlign w:val="bottom"/>
          </w:tcPr>
          <w:p w14:paraId="64A88B3A"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8B3B" w14:textId="77777777" w:rsidR="008D6614" w:rsidRDefault="00866AF2">
            <w:pPr>
              <w:jc w:val="right"/>
              <w:textAlignment w:val="bottom"/>
            </w:pPr>
            <w:r>
              <w:rPr>
                <w:rFonts w:ascii="Arial" w:eastAsia="宋体" w:hAnsi="Arial" w:cs="Arial"/>
                <w:color w:val="000000"/>
                <w:sz w:val="18"/>
                <w:szCs w:val="18"/>
              </w:rPr>
              <w:t>498 </w:t>
            </w:r>
          </w:p>
        </w:tc>
        <w:tc>
          <w:tcPr>
            <w:tcW w:w="0" w:type="auto"/>
            <w:shd w:val="clear" w:color="auto" w:fill="FFFFFF"/>
            <w:tcMar>
              <w:top w:w="40" w:type="dxa"/>
              <w:bottom w:w="40" w:type="dxa"/>
              <w:right w:w="20" w:type="dxa"/>
            </w:tcMar>
            <w:vAlign w:val="bottom"/>
          </w:tcPr>
          <w:p w14:paraId="64A88B3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B3D" w14:textId="77777777" w:rsidR="008D6614" w:rsidRDefault="008D6614">
            <w:pPr>
              <w:rPr>
                <w:rFonts w:ascii="宋体"/>
              </w:rPr>
            </w:pPr>
          </w:p>
        </w:tc>
        <w:tc>
          <w:tcPr>
            <w:tcW w:w="0" w:type="auto"/>
            <w:shd w:val="clear" w:color="auto" w:fill="auto"/>
            <w:vAlign w:val="center"/>
          </w:tcPr>
          <w:p w14:paraId="64A88B3E" w14:textId="77777777" w:rsidR="008D6614" w:rsidRDefault="008D6614">
            <w:pPr>
              <w:rPr>
                <w:rFonts w:ascii="宋体"/>
              </w:rPr>
            </w:pPr>
          </w:p>
        </w:tc>
        <w:tc>
          <w:tcPr>
            <w:tcW w:w="0" w:type="auto"/>
            <w:shd w:val="clear" w:color="auto" w:fill="auto"/>
            <w:vAlign w:val="center"/>
          </w:tcPr>
          <w:p w14:paraId="64A88B3F" w14:textId="77777777" w:rsidR="008D6614" w:rsidRDefault="008D6614">
            <w:pPr>
              <w:rPr>
                <w:rFonts w:ascii="宋体"/>
              </w:rPr>
            </w:pPr>
          </w:p>
        </w:tc>
        <w:tc>
          <w:tcPr>
            <w:tcW w:w="0" w:type="auto"/>
            <w:shd w:val="clear" w:color="auto" w:fill="auto"/>
            <w:vAlign w:val="center"/>
          </w:tcPr>
          <w:p w14:paraId="64A88B40" w14:textId="77777777" w:rsidR="008D6614" w:rsidRDefault="008D6614">
            <w:pPr>
              <w:rPr>
                <w:rFonts w:ascii="宋体"/>
              </w:rPr>
            </w:pPr>
          </w:p>
        </w:tc>
        <w:tc>
          <w:tcPr>
            <w:tcW w:w="0" w:type="auto"/>
            <w:shd w:val="clear" w:color="auto" w:fill="auto"/>
            <w:vAlign w:val="center"/>
          </w:tcPr>
          <w:p w14:paraId="64A88B41" w14:textId="77777777" w:rsidR="008D6614" w:rsidRDefault="008D6614">
            <w:pPr>
              <w:rPr>
                <w:rFonts w:ascii="宋体"/>
              </w:rPr>
            </w:pPr>
          </w:p>
        </w:tc>
        <w:tc>
          <w:tcPr>
            <w:tcW w:w="0" w:type="auto"/>
            <w:shd w:val="clear" w:color="auto" w:fill="auto"/>
            <w:vAlign w:val="center"/>
          </w:tcPr>
          <w:p w14:paraId="64A88B42" w14:textId="77777777" w:rsidR="008D6614" w:rsidRDefault="008D6614">
            <w:pPr>
              <w:rPr>
                <w:rFonts w:ascii="宋体"/>
              </w:rPr>
            </w:pPr>
          </w:p>
        </w:tc>
        <w:tc>
          <w:tcPr>
            <w:tcW w:w="0" w:type="auto"/>
            <w:shd w:val="clear" w:color="auto" w:fill="auto"/>
            <w:vAlign w:val="center"/>
          </w:tcPr>
          <w:p w14:paraId="64A88B43" w14:textId="77777777" w:rsidR="008D6614" w:rsidRDefault="008D6614">
            <w:pPr>
              <w:rPr>
                <w:rFonts w:ascii="宋体"/>
              </w:rPr>
            </w:pPr>
          </w:p>
        </w:tc>
        <w:tc>
          <w:tcPr>
            <w:tcW w:w="0" w:type="auto"/>
            <w:shd w:val="clear" w:color="auto" w:fill="auto"/>
            <w:vAlign w:val="center"/>
          </w:tcPr>
          <w:p w14:paraId="64A88B44" w14:textId="77777777" w:rsidR="008D6614" w:rsidRDefault="008D6614">
            <w:pPr>
              <w:rPr>
                <w:rFonts w:ascii="宋体"/>
              </w:rPr>
            </w:pPr>
          </w:p>
        </w:tc>
        <w:tc>
          <w:tcPr>
            <w:tcW w:w="0" w:type="auto"/>
            <w:shd w:val="clear" w:color="auto" w:fill="auto"/>
            <w:vAlign w:val="center"/>
          </w:tcPr>
          <w:p w14:paraId="64A88B45" w14:textId="77777777" w:rsidR="008D6614" w:rsidRDefault="008D6614">
            <w:pPr>
              <w:rPr>
                <w:rFonts w:ascii="宋体"/>
              </w:rPr>
            </w:pPr>
          </w:p>
        </w:tc>
      </w:tr>
      <w:tr w:rsidR="008D6614" w14:paraId="64A88B5B" w14:textId="77777777">
        <w:trPr>
          <w:jc w:val="center"/>
        </w:trPr>
        <w:tc>
          <w:tcPr>
            <w:tcW w:w="0" w:type="auto"/>
            <w:gridSpan w:val="3"/>
            <w:shd w:val="clear" w:color="auto" w:fill="E2E2E2"/>
            <w:tcMar>
              <w:top w:w="40" w:type="dxa"/>
              <w:left w:w="225" w:type="dxa"/>
              <w:bottom w:w="40" w:type="dxa"/>
              <w:right w:w="20" w:type="dxa"/>
            </w:tcMar>
            <w:vAlign w:val="bottom"/>
          </w:tcPr>
          <w:p w14:paraId="64A88B47" w14:textId="77777777" w:rsidR="008D6614" w:rsidRDefault="00866AF2">
            <w:pPr>
              <w:textAlignment w:val="bottom"/>
            </w:pPr>
            <w:r>
              <w:rPr>
                <w:rFonts w:ascii="Arial" w:eastAsia="宋体" w:hAnsi="Arial" w:cs="Arial"/>
                <w:color w:val="000000"/>
                <w:sz w:val="18"/>
                <w:szCs w:val="18"/>
              </w:rPr>
              <w:t>F</w:t>
            </w:r>
            <w:r>
              <w:rPr>
                <w:rFonts w:ascii="Arial" w:eastAsia="宋体" w:hAnsi="Arial" w:cs="Arial"/>
                <w:color w:val="000000"/>
                <w:sz w:val="18"/>
                <w:szCs w:val="18"/>
              </w:rPr>
              <w:t>oreign currency translation adjustment</w:t>
            </w:r>
          </w:p>
        </w:tc>
        <w:tc>
          <w:tcPr>
            <w:tcW w:w="0" w:type="auto"/>
            <w:shd w:val="clear" w:color="auto" w:fill="auto"/>
            <w:vAlign w:val="center"/>
          </w:tcPr>
          <w:p w14:paraId="64A88B48" w14:textId="77777777" w:rsidR="008D6614" w:rsidRDefault="008D6614">
            <w:pPr>
              <w:rPr>
                <w:rFonts w:ascii="宋体"/>
                <w:vanish/>
              </w:rPr>
            </w:pPr>
          </w:p>
        </w:tc>
        <w:tc>
          <w:tcPr>
            <w:tcW w:w="0" w:type="auto"/>
            <w:shd w:val="clear" w:color="auto" w:fill="auto"/>
            <w:vAlign w:val="center"/>
          </w:tcPr>
          <w:p w14:paraId="64A88B49" w14:textId="77777777" w:rsidR="008D6614" w:rsidRDefault="008D6614">
            <w:pPr>
              <w:rPr>
                <w:rFonts w:ascii="宋体"/>
                <w:vanish/>
              </w:rPr>
            </w:pPr>
          </w:p>
        </w:tc>
        <w:tc>
          <w:tcPr>
            <w:tcW w:w="0" w:type="auto"/>
            <w:shd w:val="clear" w:color="auto" w:fill="auto"/>
            <w:vAlign w:val="center"/>
          </w:tcPr>
          <w:p w14:paraId="64A88B4A"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B4B"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B4C" w14:textId="77777777" w:rsidR="008D6614" w:rsidRDefault="00866AF2">
            <w:pPr>
              <w:jc w:val="right"/>
              <w:textAlignment w:val="bottom"/>
            </w:pPr>
            <w:r>
              <w:rPr>
                <w:rFonts w:ascii="Arial" w:eastAsia="宋体" w:hAnsi="Arial" w:cs="Arial"/>
                <w:color w:val="000000"/>
                <w:sz w:val="18"/>
                <w:szCs w:val="18"/>
              </w:rPr>
              <w:t>(113)</w:t>
            </w:r>
          </w:p>
        </w:tc>
        <w:tc>
          <w:tcPr>
            <w:tcW w:w="0" w:type="auto"/>
            <w:shd w:val="clear" w:color="auto" w:fill="E2E2E2"/>
            <w:tcMar>
              <w:top w:w="40" w:type="dxa"/>
              <w:bottom w:w="40" w:type="dxa"/>
              <w:right w:w="20" w:type="dxa"/>
            </w:tcMar>
            <w:vAlign w:val="bottom"/>
          </w:tcPr>
          <w:p w14:paraId="64A88B4D"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8B4E" w14:textId="77777777" w:rsidR="008D6614" w:rsidRDefault="008D6614">
            <w:pPr>
              <w:rPr>
                <w:rFonts w:ascii="宋体"/>
              </w:rPr>
            </w:pPr>
          </w:p>
        </w:tc>
        <w:tc>
          <w:tcPr>
            <w:tcW w:w="0" w:type="auto"/>
            <w:shd w:val="clear" w:color="auto" w:fill="E2E2E2"/>
            <w:tcMar>
              <w:right w:w="20" w:type="dxa"/>
            </w:tcMar>
            <w:vAlign w:val="bottom"/>
          </w:tcPr>
          <w:p w14:paraId="64A88B4F"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8B50" w14:textId="77777777" w:rsidR="008D6614" w:rsidRDefault="00866AF2">
            <w:pPr>
              <w:jc w:val="right"/>
              <w:textAlignment w:val="bottom"/>
            </w:pPr>
            <w:r>
              <w:rPr>
                <w:rFonts w:ascii="Arial" w:eastAsia="宋体" w:hAnsi="Arial" w:cs="Arial"/>
                <w:color w:val="000000"/>
                <w:sz w:val="18"/>
                <w:szCs w:val="18"/>
              </w:rPr>
              <w:t>(32)</w:t>
            </w:r>
          </w:p>
        </w:tc>
        <w:tc>
          <w:tcPr>
            <w:tcW w:w="0" w:type="auto"/>
            <w:shd w:val="clear" w:color="auto" w:fill="E2E2E2"/>
            <w:tcMar>
              <w:top w:w="40" w:type="dxa"/>
              <w:bottom w:w="40" w:type="dxa"/>
              <w:right w:w="20" w:type="dxa"/>
            </w:tcMar>
            <w:vAlign w:val="bottom"/>
          </w:tcPr>
          <w:p w14:paraId="64A88B5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B52" w14:textId="77777777" w:rsidR="008D6614" w:rsidRDefault="008D6614">
            <w:pPr>
              <w:rPr>
                <w:rFonts w:ascii="宋体"/>
              </w:rPr>
            </w:pPr>
          </w:p>
        </w:tc>
        <w:tc>
          <w:tcPr>
            <w:tcW w:w="0" w:type="auto"/>
            <w:shd w:val="clear" w:color="auto" w:fill="auto"/>
            <w:vAlign w:val="center"/>
          </w:tcPr>
          <w:p w14:paraId="64A88B53" w14:textId="77777777" w:rsidR="008D6614" w:rsidRDefault="008D6614">
            <w:pPr>
              <w:rPr>
                <w:rFonts w:ascii="宋体"/>
              </w:rPr>
            </w:pPr>
          </w:p>
        </w:tc>
        <w:tc>
          <w:tcPr>
            <w:tcW w:w="0" w:type="auto"/>
            <w:shd w:val="clear" w:color="auto" w:fill="auto"/>
            <w:vAlign w:val="center"/>
          </w:tcPr>
          <w:p w14:paraId="64A88B54" w14:textId="77777777" w:rsidR="008D6614" w:rsidRDefault="008D6614">
            <w:pPr>
              <w:rPr>
                <w:rFonts w:ascii="宋体"/>
              </w:rPr>
            </w:pPr>
          </w:p>
        </w:tc>
        <w:tc>
          <w:tcPr>
            <w:tcW w:w="0" w:type="auto"/>
            <w:shd w:val="clear" w:color="auto" w:fill="auto"/>
            <w:vAlign w:val="center"/>
          </w:tcPr>
          <w:p w14:paraId="64A88B55" w14:textId="77777777" w:rsidR="008D6614" w:rsidRDefault="008D6614">
            <w:pPr>
              <w:rPr>
                <w:rFonts w:ascii="宋体"/>
              </w:rPr>
            </w:pPr>
          </w:p>
        </w:tc>
        <w:tc>
          <w:tcPr>
            <w:tcW w:w="0" w:type="auto"/>
            <w:shd w:val="clear" w:color="auto" w:fill="auto"/>
            <w:vAlign w:val="center"/>
          </w:tcPr>
          <w:p w14:paraId="64A88B56" w14:textId="77777777" w:rsidR="008D6614" w:rsidRDefault="008D6614">
            <w:pPr>
              <w:rPr>
                <w:rFonts w:ascii="宋体"/>
              </w:rPr>
            </w:pPr>
          </w:p>
        </w:tc>
        <w:tc>
          <w:tcPr>
            <w:tcW w:w="0" w:type="auto"/>
            <w:shd w:val="clear" w:color="auto" w:fill="auto"/>
            <w:vAlign w:val="center"/>
          </w:tcPr>
          <w:p w14:paraId="64A88B57" w14:textId="77777777" w:rsidR="008D6614" w:rsidRDefault="008D6614">
            <w:pPr>
              <w:rPr>
                <w:rFonts w:ascii="宋体"/>
              </w:rPr>
            </w:pPr>
          </w:p>
        </w:tc>
        <w:tc>
          <w:tcPr>
            <w:tcW w:w="0" w:type="auto"/>
            <w:shd w:val="clear" w:color="auto" w:fill="auto"/>
            <w:vAlign w:val="center"/>
          </w:tcPr>
          <w:p w14:paraId="64A88B58" w14:textId="77777777" w:rsidR="008D6614" w:rsidRDefault="008D6614">
            <w:pPr>
              <w:rPr>
                <w:rFonts w:ascii="宋体"/>
              </w:rPr>
            </w:pPr>
          </w:p>
        </w:tc>
        <w:tc>
          <w:tcPr>
            <w:tcW w:w="0" w:type="auto"/>
            <w:shd w:val="clear" w:color="auto" w:fill="auto"/>
            <w:vAlign w:val="center"/>
          </w:tcPr>
          <w:p w14:paraId="64A88B59" w14:textId="77777777" w:rsidR="008D6614" w:rsidRDefault="008D6614">
            <w:pPr>
              <w:rPr>
                <w:rFonts w:ascii="宋体"/>
              </w:rPr>
            </w:pPr>
          </w:p>
        </w:tc>
        <w:tc>
          <w:tcPr>
            <w:tcW w:w="0" w:type="auto"/>
            <w:shd w:val="clear" w:color="auto" w:fill="auto"/>
            <w:vAlign w:val="center"/>
          </w:tcPr>
          <w:p w14:paraId="64A88B5A" w14:textId="77777777" w:rsidR="008D6614" w:rsidRDefault="008D6614">
            <w:pPr>
              <w:rPr>
                <w:rFonts w:ascii="宋体"/>
              </w:rPr>
            </w:pPr>
          </w:p>
        </w:tc>
      </w:tr>
      <w:tr w:rsidR="008D6614" w14:paraId="64A88B70" w14:textId="77777777">
        <w:trPr>
          <w:jc w:val="center"/>
        </w:trPr>
        <w:tc>
          <w:tcPr>
            <w:tcW w:w="0" w:type="auto"/>
            <w:gridSpan w:val="3"/>
            <w:shd w:val="clear" w:color="auto" w:fill="FFFFFF"/>
            <w:tcMar>
              <w:top w:w="40" w:type="dxa"/>
              <w:left w:w="225" w:type="dxa"/>
              <w:bottom w:w="40" w:type="dxa"/>
              <w:right w:w="20" w:type="dxa"/>
            </w:tcMar>
            <w:vAlign w:val="bottom"/>
          </w:tcPr>
          <w:p w14:paraId="64A88B5C" w14:textId="77777777" w:rsidR="008D6614" w:rsidRDefault="00866AF2">
            <w:pPr>
              <w:textAlignment w:val="bottom"/>
            </w:pPr>
            <w:r>
              <w:rPr>
                <w:rFonts w:ascii="Arial" w:eastAsia="宋体" w:hAnsi="Arial" w:cs="Arial"/>
                <w:color w:val="000000"/>
                <w:sz w:val="18"/>
                <w:szCs w:val="18"/>
              </w:rPr>
              <w:t>C</w:t>
            </w:r>
            <w:r>
              <w:rPr>
                <w:rFonts w:ascii="Arial" w:eastAsia="宋体" w:hAnsi="Arial" w:cs="Arial"/>
                <w:color w:val="000000"/>
                <w:sz w:val="18"/>
                <w:szCs w:val="18"/>
              </w:rPr>
              <w:t>hange in unrealized gains (losses) on investments</w:t>
            </w:r>
          </w:p>
        </w:tc>
        <w:tc>
          <w:tcPr>
            <w:tcW w:w="0" w:type="auto"/>
            <w:shd w:val="clear" w:color="auto" w:fill="auto"/>
            <w:vAlign w:val="center"/>
          </w:tcPr>
          <w:p w14:paraId="64A88B5D" w14:textId="77777777" w:rsidR="008D6614" w:rsidRDefault="008D6614">
            <w:pPr>
              <w:rPr>
                <w:rFonts w:ascii="宋体"/>
                <w:vanish/>
              </w:rPr>
            </w:pPr>
          </w:p>
        </w:tc>
        <w:tc>
          <w:tcPr>
            <w:tcW w:w="0" w:type="auto"/>
            <w:shd w:val="clear" w:color="auto" w:fill="auto"/>
            <w:vAlign w:val="center"/>
          </w:tcPr>
          <w:p w14:paraId="64A88B5E" w14:textId="77777777" w:rsidR="008D6614" w:rsidRDefault="008D6614">
            <w:pPr>
              <w:rPr>
                <w:rFonts w:ascii="宋体"/>
                <w:vanish/>
              </w:rPr>
            </w:pPr>
          </w:p>
        </w:tc>
        <w:tc>
          <w:tcPr>
            <w:tcW w:w="0" w:type="auto"/>
            <w:shd w:val="clear" w:color="auto" w:fill="auto"/>
            <w:vAlign w:val="center"/>
          </w:tcPr>
          <w:p w14:paraId="64A88B5F"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B6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B61" w14:textId="77777777" w:rsidR="008D6614" w:rsidRDefault="00866AF2">
            <w:pPr>
              <w:jc w:val="right"/>
              <w:textAlignment w:val="bottom"/>
            </w:pPr>
            <w:r>
              <w:rPr>
                <w:rFonts w:ascii="Arial" w:eastAsia="宋体" w:hAnsi="Arial" w:cs="Arial"/>
                <w:color w:val="000000"/>
                <w:sz w:val="18"/>
                <w:szCs w:val="18"/>
              </w:rPr>
              <w:t>(31)</w:t>
            </w:r>
          </w:p>
        </w:tc>
        <w:tc>
          <w:tcPr>
            <w:tcW w:w="0" w:type="auto"/>
            <w:shd w:val="clear" w:color="auto" w:fill="FFFFFF"/>
            <w:tcMar>
              <w:top w:w="40" w:type="dxa"/>
              <w:bottom w:w="40" w:type="dxa"/>
              <w:right w:w="20" w:type="dxa"/>
            </w:tcMar>
            <w:vAlign w:val="bottom"/>
          </w:tcPr>
          <w:p w14:paraId="64A88B62"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8B63" w14:textId="77777777" w:rsidR="008D6614" w:rsidRDefault="008D6614">
            <w:pPr>
              <w:rPr>
                <w:rFonts w:ascii="宋体"/>
              </w:rPr>
            </w:pPr>
          </w:p>
        </w:tc>
        <w:tc>
          <w:tcPr>
            <w:tcW w:w="0" w:type="auto"/>
            <w:shd w:val="clear" w:color="auto" w:fill="FFFFFF"/>
            <w:tcMar>
              <w:right w:w="20" w:type="dxa"/>
            </w:tcMar>
            <w:vAlign w:val="bottom"/>
          </w:tcPr>
          <w:p w14:paraId="64A88B64"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8B65" w14:textId="77777777" w:rsidR="008D6614" w:rsidRDefault="00866AF2">
            <w:pPr>
              <w:jc w:val="right"/>
              <w:textAlignment w:val="bottom"/>
            </w:pPr>
            <w:r>
              <w:rPr>
                <w:rFonts w:ascii="Arial" w:eastAsia="宋体" w:hAnsi="Arial" w:cs="Arial"/>
                <w:color w:val="000000"/>
                <w:sz w:val="18"/>
                <w:szCs w:val="18"/>
              </w:rPr>
              <w:t>40 </w:t>
            </w:r>
          </w:p>
        </w:tc>
        <w:tc>
          <w:tcPr>
            <w:tcW w:w="0" w:type="auto"/>
            <w:shd w:val="clear" w:color="auto" w:fill="FFFFFF"/>
            <w:tcMar>
              <w:top w:w="40" w:type="dxa"/>
              <w:bottom w:w="40" w:type="dxa"/>
              <w:right w:w="20" w:type="dxa"/>
            </w:tcMar>
            <w:vAlign w:val="bottom"/>
          </w:tcPr>
          <w:p w14:paraId="64A88B6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B67" w14:textId="77777777" w:rsidR="008D6614" w:rsidRDefault="008D6614">
            <w:pPr>
              <w:rPr>
                <w:rFonts w:ascii="宋体"/>
              </w:rPr>
            </w:pPr>
          </w:p>
        </w:tc>
        <w:tc>
          <w:tcPr>
            <w:tcW w:w="0" w:type="auto"/>
            <w:shd w:val="clear" w:color="auto" w:fill="auto"/>
            <w:vAlign w:val="center"/>
          </w:tcPr>
          <w:p w14:paraId="64A88B68" w14:textId="77777777" w:rsidR="008D6614" w:rsidRDefault="008D6614">
            <w:pPr>
              <w:rPr>
                <w:rFonts w:ascii="宋体"/>
              </w:rPr>
            </w:pPr>
          </w:p>
        </w:tc>
        <w:tc>
          <w:tcPr>
            <w:tcW w:w="0" w:type="auto"/>
            <w:shd w:val="clear" w:color="auto" w:fill="auto"/>
            <w:vAlign w:val="center"/>
          </w:tcPr>
          <w:p w14:paraId="64A88B69" w14:textId="77777777" w:rsidR="008D6614" w:rsidRDefault="008D6614">
            <w:pPr>
              <w:rPr>
                <w:rFonts w:ascii="宋体"/>
              </w:rPr>
            </w:pPr>
          </w:p>
        </w:tc>
        <w:tc>
          <w:tcPr>
            <w:tcW w:w="0" w:type="auto"/>
            <w:shd w:val="clear" w:color="auto" w:fill="auto"/>
            <w:vAlign w:val="center"/>
          </w:tcPr>
          <w:p w14:paraId="64A88B6A" w14:textId="77777777" w:rsidR="008D6614" w:rsidRDefault="008D6614">
            <w:pPr>
              <w:rPr>
                <w:rFonts w:ascii="宋体"/>
              </w:rPr>
            </w:pPr>
          </w:p>
        </w:tc>
        <w:tc>
          <w:tcPr>
            <w:tcW w:w="0" w:type="auto"/>
            <w:shd w:val="clear" w:color="auto" w:fill="auto"/>
            <w:vAlign w:val="center"/>
          </w:tcPr>
          <w:p w14:paraId="64A88B6B" w14:textId="77777777" w:rsidR="008D6614" w:rsidRDefault="008D6614">
            <w:pPr>
              <w:rPr>
                <w:rFonts w:ascii="宋体"/>
              </w:rPr>
            </w:pPr>
          </w:p>
        </w:tc>
        <w:tc>
          <w:tcPr>
            <w:tcW w:w="0" w:type="auto"/>
            <w:shd w:val="clear" w:color="auto" w:fill="auto"/>
            <w:vAlign w:val="center"/>
          </w:tcPr>
          <w:p w14:paraId="64A88B6C" w14:textId="77777777" w:rsidR="008D6614" w:rsidRDefault="008D6614">
            <w:pPr>
              <w:rPr>
                <w:rFonts w:ascii="宋体"/>
              </w:rPr>
            </w:pPr>
          </w:p>
        </w:tc>
        <w:tc>
          <w:tcPr>
            <w:tcW w:w="0" w:type="auto"/>
            <w:shd w:val="clear" w:color="auto" w:fill="auto"/>
            <w:vAlign w:val="center"/>
          </w:tcPr>
          <w:p w14:paraId="64A88B6D" w14:textId="77777777" w:rsidR="008D6614" w:rsidRDefault="008D6614">
            <w:pPr>
              <w:rPr>
                <w:rFonts w:ascii="宋体"/>
              </w:rPr>
            </w:pPr>
          </w:p>
        </w:tc>
        <w:tc>
          <w:tcPr>
            <w:tcW w:w="0" w:type="auto"/>
            <w:shd w:val="clear" w:color="auto" w:fill="auto"/>
            <w:vAlign w:val="center"/>
          </w:tcPr>
          <w:p w14:paraId="64A88B6E" w14:textId="77777777" w:rsidR="008D6614" w:rsidRDefault="008D6614">
            <w:pPr>
              <w:rPr>
                <w:rFonts w:ascii="宋体"/>
              </w:rPr>
            </w:pPr>
          </w:p>
        </w:tc>
        <w:tc>
          <w:tcPr>
            <w:tcW w:w="0" w:type="auto"/>
            <w:shd w:val="clear" w:color="auto" w:fill="auto"/>
            <w:vAlign w:val="center"/>
          </w:tcPr>
          <w:p w14:paraId="64A88B6F" w14:textId="77777777" w:rsidR="008D6614" w:rsidRDefault="008D6614">
            <w:pPr>
              <w:rPr>
                <w:rFonts w:ascii="宋体"/>
              </w:rPr>
            </w:pPr>
          </w:p>
        </w:tc>
      </w:tr>
      <w:tr w:rsidR="008D6614" w14:paraId="64A88B85" w14:textId="77777777">
        <w:trPr>
          <w:jc w:val="center"/>
        </w:trPr>
        <w:tc>
          <w:tcPr>
            <w:tcW w:w="0" w:type="auto"/>
            <w:gridSpan w:val="3"/>
            <w:shd w:val="clear" w:color="auto" w:fill="E2E2E2"/>
            <w:tcMar>
              <w:top w:w="40" w:type="dxa"/>
              <w:left w:w="225" w:type="dxa"/>
              <w:bottom w:w="40" w:type="dxa"/>
              <w:right w:w="20" w:type="dxa"/>
            </w:tcMar>
            <w:vAlign w:val="bottom"/>
          </w:tcPr>
          <w:p w14:paraId="64A88B71" w14:textId="77777777" w:rsidR="008D6614" w:rsidRDefault="00866AF2">
            <w:pPr>
              <w:textAlignment w:val="bottom"/>
            </w:pPr>
            <w:r>
              <w:rPr>
                <w:rFonts w:ascii="Arial" w:eastAsia="宋体" w:hAnsi="Arial" w:cs="Arial"/>
                <w:color w:val="000000"/>
                <w:sz w:val="18"/>
                <w:szCs w:val="18"/>
              </w:rPr>
              <w:t>C</w:t>
            </w:r>
            <w:r>
              <w:rPr>
                <w:rFonts w:ascii="Arial" w:eastAsia="宋体" w:hAnsi="Arial" w:cs="Arial"/>
                <w:color w:val="000000"/>
                <w:sz w:val="18"/>
                <w:szCs w:val="18"/>
              </w:rPr>
              <w:t>hange in unrealized gains (losses) on derivative instruments</w:t>
            </w:r>
          </w:p>
        </w:tc>
        <w:tc>
          <w:tcPr>
            <w:tcW w:w="0" w:type="auto"/>
            <w:shd w:val="clear" w:color="auto" w:fill="auto"/>
            <w:vAlign w:val="center"/>
          </w:tcPr>
          <w:p w14:paraId="64A88B72" w14:textId="77777777" w:rsidR="008D6614" w:rsidRDefault="008D6614">
            <w:pPr>
              <w:rPr>
                <w:rFonts w:ascii="宋体"/>
                <w:vanish/>
              </w:rPr>
            </w:pPr>
          </w:p>
        </w:tc>
        <w:tc>
          <w:tcPr>
            <w:tcW w:w="0" w:type="auto"/>
            <w:shd w:val="clear" w:color="auto" w:fill="auto"/>
            <w:vAlign w:val="center"/>
          </w:tcPr>
          <w:p w14:paraId="64A88B73" w14:textId="77777777" w:rsidR="008D6614" w:rsidRDefault="008D6614">
            <w:pPr>
              <w:rPr>
                <w:rFonts w:ascii="宋体"/>
                <w:vanish/>
              </w:rPr>
            </w:pPr>
          </w:p>
        </w:tc>
        <w:tc>
          <w:tcPr>
            <w:tcW w:w="0" w:type="auto"/>
            <w:shd w:val="clear" w:color="auto" w:fill="auto"/>
            <w:vAlign w:val="center"/>
          </w:tcPr>
          <w:p w14:paraId="64A88B74"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B7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B76" w14:textId="77777777" w:rsidR="008D6614" w:rsidRDefault="00866AF2">
            <w:pPr>
              <w:jc w:val="right"/>
              <w:textAlignment w:val="bottom"/>
            </w:pPr>
            <w:r>
              <w:rPr>
                <w:rFonts w:ascii="Arial" w:eastAsia="宋体" w:hAnsi="Arial" w:cs="Arial"/>
                <w:color w:val="000000"/>
                <w:sz w:val="18"/>
                <w:szCs w:val="18"/>
              </w:rPr>
              <w:t>47 </w:t>
            </w:r>
          </w:p>
        </w:tc>
        <w:tc>
          <w:tcPr>
            <w:tcW w:w="0" w:type="auto"/>
            <w:shd w:val="clear" w:color="auto" w:fill="E2E2E2"/>
            <w:tcMar>
              <w:top w:w="40" w:type="dxa"/>
              <w:bottom w:w="40" w:type="dxa"/>
              <w:right w:w="20" w:type="dxa"/>
            </w:tcMar>
            <w:vAlign w:val="bottom"/>
          </w:tcPr>
          <w:p w14:paraId="64A88B77"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8B78" w14:textId="77777777" w:rsidR="008D6614" w:rsidRDefault="008D6614">
            <w:pPr>
              <w:rPr>
                <w:rFonts w:ascii="宋体"/>
              </w:rPr>
            </w:pPr>
          </w:p>
        </w:tc>
        <w:tc>
          <w:tcPr>
            <w:tcW w:w="0" w:type="auto"/>
            <w:shd w:val="clear" w:color="auto" w:fill="E2E2E2"/>
            <w:tcMar>
              <w:right w:w="20" w:type="dxa"/>
            </w:tcMar>
            <w:vAlign w:val="bottom"/>
          </w:tcPr>
          <w:p w14:paraId="64A88B79"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8B7A" w14:textId="77777777" w:rsidR="008D6614" w:rsidRDefault="00866AF2">
            <w:pPr>
              <w:jc w:val="right"/>
              <w:textAlignment w:val="bottom"/>
            </w:pPr>
            <w:r>
              <w:rPr>
                <w:rFonts w:ascii="Arial" w:eastAsia="宋体" w:hAnsi="Arial" w:cs="Arial"/>
                <w:color w:val="000000"/>
                <w:sz w:val="18"/>
                <w:szCs w:val="18"/>
              </w:rPr>
              <w:t>(41)</w:t>
            </w:r>
          </w:p>
        </w:tc>
        <w:tc>
          <w:tcPr>
            <w:tcW w:w="0" w:type="auto"/>
            <w:shd w:val="clear" w:color="auto" w:fill="E2E2E2"/>
            <w:tcMar>
              <w:top w:w="40" w:type="dxa"/>
              <w:bottom w:w="40" w:type="dxa"/>
              <w:right w:w="20" w:type="dxa"/>
            </w:tcMar>
            <w:vAlign w:val="bottom"/>
          </w:tcPr>
          <w:p w14:paraId="64A88B7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B7C" w14:textId="77777777" w:rsidR="008D6614" w:rsidRDefault="008D6614">
            <w:pPr>
              <w:rPr>
                <w:rFonts w:ascii="宋体"/>
              </w:rPr>
            </w:pPr>
          </w:p>
        </w:tc>
        <w:tc>
          <w:tcPr>
            <w:tcW w:w="0" w:type="auto"/>
            <w:shd w:val="clear" w:color="auto" w:fill="auto"/>
            <w:vAlign w:val="center"/>
          </w:tcPr>
          <w:p w14:paraId="64A88B7D" w14:textId="77777777" w:rsidR="008D6614" w:rsidRDefault="008D6614">
            <w:pPr>
              <w:rPr>
                <w:rFonts w:ascii="宋体"/>
              </w:rPr>
            </w:pPr>
          </w:p>
        </w:tc>
        <w:tc>
          <w:tcPr>
            <w:tcW w:w="0" w:type="auto"/>
            <w:shd w:val="clear" w:color="auto" w:fill="auto"/>
            <w:vAlign w:val="center"/>
          </w:tcPr>
          <w:p w14:paraId="64A88B7E" w14:textId="77777777" w:rsidR="008D6614" w:rsidRDefault="008D6614">
            <w:pPr>
              <w:rPr>
                <w:rFonts w:ascii="宋体"/>
              </w:rPr>
            </w:pPr>
          </w:p>
        </w:tc>
        <w:tc>
          <w:tcPr>
            <w:tcW w:w="0" w:type="auto"/>
            <w:shd w:val="clear" w:color="auto" w:fill="auto"/>
            <w:vAlign w:val="center"/>
          </w:tcPr>
          <w:p w14:paraId="64A88B7F" w14:textId="77777777" w:rsidR="008D6614" w:rsidRDefault="008D6614">
            <w:pPr>
              <w:rPr>
                <w:rFonts w:ascii="宋体"/>
              </w:rPr>
            </w:pPr>
          </w:p>
        </w:tc>
        <w:tc>
          <w:tcPr>
            <w:tcW w:w="0" w:type="auto"/>
            <w:shd w:val="clear" w:color="auto" w:fill="auto"/>
            <w:vAlign w:val="center"/>
          </w:tcPr>
          <w:p w14:paraId="64A88B80" w14:textId="77777777" w:rsidR="008D6614" w:rsidRDefault="008D6614">
            <w:pPr>
              <w:rPr>
                <w:rFonts w:ascii="宋体"/>
              </w:rPr>
            </w:pPr>
          </w:p>
        </w:tc>
        <w:tc>
          <w:tcPr>
            <w:tcW w:w="0" w:type="auto"/>
            <w:shd w:val="clear" w:color="auto" w:fill="auto"/>
            <w:vAlign w:val="center"/>
          </w:tcPr>
          <w:p w14:paraId="64A88B81" w14:textId="77777777" w:rsidR="008D6614" w:rsidRDefault="008D6614">
            <w:pPr>
              <w:rPr>
                <w:rFonts w:ascii="宋体"/>
              </w:rPr>
            </w:pPr>
          </w:p>
        </w:tc>
        <w:tc>
          <w:tcPr>
            <w:tcW w:w="0" w:type="auto"/>
            <w:shd w:val="clear" w:color="auto" w:fill="auto"/>
            <w:vAlign w:val="center"/>
          </w:tcPr>
          <w:p w14:paraId="64A88B82" w14:textId="77777777" w:rsidR="008D6614" w:rsidRDefault="008D6614">
            <w:pPr>
              <w:rPr>
                <w:rFonts w:ascii="宋体"/>
              </w:rPr>
            </w:pPr>
          </w:p>
        </w:tc>
        <w:tc>
          <w:tcPr>
            <w:tcW w:w="0" w:type="auto"/>
            <w:shd w:val="clear" w:color="auto" w:fill="auto"/>
            <w:vAlign w:val="center"/>
          </w:tcPr>
          <w:p w14:paraId="64A88B83" w14:textId="77777777" w:rsidR="008D6614" w:rsidRDefault="008D6614">
            <w:pPr>
              <w:rPr>
                <w:rFonts w:ascii="宋体"/>
              </w:rPr>
            </w:pPr>
          </w:p>
        </w:tc>
        <w:tc>
          <w:tcPr>
            <w:tcW w:w="0" w:type="auto"/>
            <w:shd w:val="clear" w:color="auto" w:fill="auto"/>
            <w:vAlign w:val="center"/>
          </w:tcPr>
          <w:p w14:paraId="64A88B84" w14:textId="77777777" w:rsidR="008D6614" w:rsidRDefault="008D6614">
            <w:pPr>
              <w:rPr>
                <w:rFonts w:ascii="宋体"/>
              </w:rPr>
            </w:pPr>
          </w:p>
        </w:tc>
      </w:tr>
      <w:tr w:rsidR="008D6614" w14:paraId="64A88B99" w14:textId="77777777">
        <w:trPr>
          <w:jc w:val="center"/>
        </w:trPr>
        <w:tc>
          <w:tcPr>
            <w:tcW w:w="0" w:type="auto"/>
            <w:gridSpan w:val="3"/>
            <w:shd w:val="clear" w:color="auto" w:fill="FFFFFF"/>
            <w:tcMar>
              <w:top w:w="40" w:type="dxa"/>
              <w:left w:w="225" w:type="dxa"/>
              <w:bottom w:w="40" w:type="dxa"/>
              <w:right w:w="20" w:type="dxa"/>
            </w:tcMar>
            <w:vAlign w:val="bottom"/>
          </w:tcPr>
          <w:p w14:paraId="64A88B86" w14:textId="77777777" w:rsidR="008D6614" w:rsidRDefault="00866AF2">
            <w:pPr>
              <w:textAlignment w:val="bottom"/>
            </w:pPr>
            <w:r>
              <w:rPr>
                <w:rFonts w:ascii="Arial" w:eastAsia="宋体" w:hAnsi="Arial" w:cs="Arial"/>
                <w:color w:val="000000"/>
                <w:sz w:val="18"/>
                <w:szCs w:val="18"/>
              </w:rPr>
              <w:t>T</w:t>
            </w:r>
            <w:r>
              <w:rPr>
                <w:rFonts w:ascii="Arial" w:eastAsia="宋体" w:hAnsi="Arial" w:cs="Arial"/>
                <w:color w:val="000000"/>
                <w:sz w:val="18"/>
                <w:szCs w:val="18"/>
              </w:rPr>
              <w:t>ax benefit (provision) on above items</w:t>
            </w:r>
          </w:p>
        </w:tc>
        <w:tc>
          <w:tcPr>
            <w:tcW w:w="0" w:type="auto"/>
            <w:shd w:val="clear" w:color="auto" w:fill="auto"/>
            <w:vAlign w:val="center"/>
          </w:tcPr>
          <w:p w14:paraId="64A88B87" w14:textId="77777777" w:rsidR="008D6614" w:rsidRDefault="008D6614">
            <w:pPr>
              <w:rPr>
                <w:rFonts w:ascii="宋体"/>
                <w:vanish/>
              </w:rPr>
            </w:pPr>
          </w:p>
        </w:tc>
        <w:tc>
          <w:tcPr>
            <w:tcW w:w="0" w:type="auto"/>
            <w:shd w:val="clear" w:color="auto" w:fill="auto"/>
            <w:vAlign w:val="center"/>
          </w:tcPr>
          <w:p w14:paraId="64A88B88" w14:textId="77777777" w:rsidR="008D6614" w:rsidRDefault="008D6614">
            <w:pPr>
              <w:rPr>
                <w:rFonts w:ascii="宋体"/>
                <w:vanish/>
              </w:rPr>
            </w:pPr>
          </w:p>
        </w:tc>
        <w:tc>
          <w:tcPr>
            <w:tcW w:w="0" w:type="auto"/>
            <w:shd w:val="clear" w:color="auto" w:fill="auto"/>
            <w:vAlign w:val="center"/>
          </w:tcPr>
          <w:p w14:paraId="64A88B89"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B8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B8B" w14:textId="77777777" w:rsidR="008D6614" w:rsidRDefault="00866AF2">
            <w:pPr>
              <w:jc w:val="right"/>
              <w:textAlignment w:val="bottom"/>
            </w:pPr>
            <w:r>
              <w:rPr>
                <w:rFonts w:ascii="Arial" w:eastAsia="宋体" w:hAnsi="Arial" w:cs="Arial"/>
                <w:color w:val="000000"/>
                <w:sz w:val="18"/>
                <w:szCs w:val="18"/>
              </w:rPr>
              <w:t>(2)</w:t>
            </w:r>
          </w:p>
        </w:tc>
        <w:tc>
          <w:tcPr>
            <w:tcW w:w="0" w:type="auto"/>
            <w:shd w:val="clear" w:color="auto" w:fill="FFFFFF"/>
            <w:tcMar>
              <w:top w:w="40" w:type="dxa"/>
              <w:bottom w:w="40" w:type="dxa"/>
              <w:right w:w="20" w:type="dxa"/>
            </w:tcMar>
            <w:vAlign w:val="bottom"/>
          </w:tcPr>
          <w:p w14:paraId="64A88B8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B8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B8E" w14:textId="77777777" w:rsidR="008D6614" w:rsidRDefault="00866AF2">
            <w:pPr>
              <w:jc w:val="right"/>
              <w:textAlignment w:val="bottom"/>
            </w:pPr>
            <w:r>
              <w:rPr>
                <w:rFonts w:ascii="Arial" w:eastAsia="宋体" w:hAnsi="Arial" w:cs="Arial"/>
                <w:color w:val="000000"/>
                <w:sz w:val="18"/>
                <w:szCs w:val="18"/>
              </w:rPr>
              <w:t>(1)</w:t>
            </w:r>
          </w:p>
        </w:tc>
        <w:tc>
          <w:tcPr>
            <w:tcW w:w="0" w:type="auto"/>
            <w:shd w:val="clear" w:color="auto" w:fill="FFFFFF"/>
            <w:tcMar>
              <w:top w:w="40" w:type="dxa"/>
              <w:bottom w:w="40" w:type="dxa"/>
              <w:right w:w="20" w:type="dxa"/>
            </w:tcMar>
            <w:vAlign w:val="bottom"/>
          </w:tcPr>
          <w:p w14:paraId="64A88B8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B90" w14:textId="77777777" w:rsidR="008D6614" w:rsidRDefault="008D6614">
            <w:pPr>
              <w:rPr>
                <w:rFonts w:ascii="宋体"/>
              </w:rPr>
            </w:pPr>
          </w:p>
        </w:tc>
        <w:tc>
          <w:tcPr>
            <w:tcW w:w="0" w:type="auto"/>
            <w:shd w:val="clear" w:color="auto" w:fill="auto"/>
            <w:vAlign w:val="center"/>
          </w:tcPr>
          <w:p w14:paraId="64A88B91" w14:textId="77777777" w:rsidR="008D6614" w:rsidRDefault="008D6614">
            <w:pPr>
              <w:rPr>
                <w:rFonts w:ascii="宋体"/>
              </w:rPr>
            </w:pPr>
          </w:p>
        </w:tc>
        <w:tc>
          <w:tcPr>
            <w:tcW w:w="0" w:type="auto"/>
            <w:shd w:val="clear" w:color="auto" w:fill="auto"/>
            <w:vAlign w:val="center"/>
          </w:tcPr>
          <w:p w14:paraId="64A88B92" w14:textId="77777777" w:rsidR="008D6614" w:rsidRDefault="008D6614">
            <w:pPr>
              <w:rPr>
                <w:rFonts w:ascii="宋体"/>
              </w:rPr>
            </w:pPr>
          </w:p>
        </w:tc>
        <w:tc>
          <w:tcPr>
            <w:tcW w:w="0" w:type="auto"/>
            <w:shd w:val="clear" w:color="auto" w:fill="auto"/>
            <w:vAlign w:val="center"/>
          </w:tcPr>
          <w:p w14:paraId="64A88B93" w14:textId="77777777" w:rsidR="008D6614" w:rsidRDefault="008D6614">
            <w:pPr>
              <w:rPr>
                <w:rFonts w:ascii="宋体"/>
              </w:rPr>
            </w:pPr>
          </w:p>
        </w:tc>
        <w:tc>
          <w:tcPr>
            <w:tcW w:w="0" w:type="auto"/>
            <w:shd w:val="clear" w:color="auto" w:fill="auto"/>
            <w:vAlign w:val="center"/>
          </w:tcPr>
          <w:p w14:paraId="64A88B94" w14:textId="77777777" w:rsidR="008D6614" w:rsidRDefault="008D6614">
            <w:pPr>
              <w:rPr>
                <w:rFonts w:ascii="宋体"/>
              </w:rPr>
            </w:pPr>
          </w:p>
        </w:tc>
        <w:tc>
          <w:tcPr>
            <w:tcW w:w="0" w:type="auto"/>
            <w:shd w:val="clear" w:color="auto" w:fill="auto"/>
            <w:vAlign w:val="center"/>
          </w:tcPr>
          <w:p w14:paraId="64A88B95" w14:textId="77777777" w:rsidR="008D6614" w:rsidRDefault="008D6614">
            <w:pPr>
              <w:rPr>
                <w:rFonts w:ascii="宋体"/>
              </w:rPr>
            </w:pPr>
          </w:p>
        </w:tc>
        <w:tc>
          <w:tcPr>
            <w:tcW w:w="0" w:type="auto"/>
            <w:shd w:val="clear" w:color="auto" w:fill="auto"/>
            <w:vAlign w:val="center"/>
          </w:tcPr>
          <w:p w14:paraId="64A88B96" w14:textId="77777777" w:rsidR="008D6614" w:rsidRDefault="008D6614">
            <w:pPr>
              <w:rPr>
                <w:rFonts w:ascii="宋体"/>
              </w:rPr>
            </w:pPr>
          </w:p>
        </w:tc>
        <w:tc>
          <w:tcPr>
            <w:tcW w:w="0" w:type="auto"/>
            <w:shd w:val="clear" w:color="auto" w:fill="auto"/>
            <w:vAlign w:val="center"/>
          </w:tcPr>
          <w:p w14:paraId="64A88B97" w14:textId="77777777" w:rsidR="008D6614" w:rsidRDefault="008D6614">
            <w:pPr>
              <w:rPr>
                <w:rFonts w:ascii="宋体"/>
              </w:rPr>
            </w:pPr>
          </w:p>
        </w:tc>
        <w:tc>
          <w:tcPr>
            <w:tcW w:w="0" w:type="auto"/>
            <w:shd w:val="clear" w:color="auto" w:fill="auto"/>
            <w:vAlign w:val="center"/>
          </w:tcPr>
          <w:p w14:paraId="64A88B98" w14:textId="77777777" w:rsidR="008D6614" w:rsidRDefault="008D6614">
            <w:pPr>
              <w:rPr>
                <w:rFonts w:ascii="宋体"/>
              </w:rPr>
            </w:pPr>
          </w:p>
        </w:tc>
      </w:tr>
      <w:tr w:rsidR="008D6614" w14:paraId="64A88BAB" w14:textId="77777777">
        <w:trPr>
          <w:jc w:val="center"/>
          <w:hidden/>
        </w:trPr>
        <w:tc>
          <w:tcPr>
            <w:tcW w:w="0" w:type="auto"/>
            <w:gridSpan w:val="3"/>
            <w:shd w:val="clear" w:color="auto" w:fill="auto"/>
            <w:vAlign w:val="center"/>
          </w:tcPr>
          <w:p w14:paraId="64A88B9A" w14:textId="77777777" w:rsidR="008D6614" w:rsidRDefault="008D6614">
            <w:pPr>
              <w:rPr>
                <w:rFonts w:ascii="宋体"/>
                <w:vanish/>
              </w:rPr>
            </w:pPr>
          </w:p>
        </w:tc>
        <w:tc>
          <w:tcPr>
            <w:tcW w:w="0" w:type="auto"/>
            <w:shd w:val="clear" w:color="auto" w:fill="auto"/>
            <w:vAlign w:val="center"/>
          </w:tcPr>
          <w:p w14:paraId="64A88B9B" w14:textId="77777777" w:rsidR="008D6614" w:rsidRDefault="008D6614">
            <w:pPr>
              <w:rPr>
                <w:rFonts w:ascii="宋体"/>
                <w:vanish/>
              </w:rPr>
            </w:pPr>
          </w:p>
        </w:tc>
        <w:tc>
          <w:tcPr>
            <w:tcW w:w="0" w:type="auto"/>
            <w:shd w:val="clear" w:color="auto" w:fill="auto"/>
            <w:vAlign w:val="center"/>
          </w:tcPr>
          <w:p w14:paraId="64A88B9C" w14:textId="77777777" w:rsidR="008D6614" w:rsidRDefault="008D6614">
            <w:pPr>
              <w:rPr>
                <w:rFonts w:ascii="宋体"/>
                <w:vanish/>
              </w:rPr>
            </w:pPr>
          </w:p>
        </w:tc>
        <w:tc>
          <w:tcPr>
            <w:tcW w:w="0" w:type="auto"/>
            <w:shd w:val="clear" w:color="auto" w:fill="auto"/>
            <w:vAlign w:val="center"/>
          </w:tcPr>
          <w:p w14:paraId="64A88B9D" w14:textId="77777777" w:rsidR="008D6614" w:rsidRDefault="008D6614">
            <w:pPr>
              <w:rPr>
                <w:rFonts w:ascii="宋体"/>
                <w:vanish/>
              </w:rPr>
            </w:pPr>
          </w:p>
        </w:tc>
        <w:tc>
          <w:tcPr>
            <w:tcW w:w="0" w:type="auto"/>
            <w:gridSpan w:val="3"/>
            <w:shd w:val="clear" w:color="auto" w:fill="auto"/>
            <w:vAlign w:val="center"/>
          </w:tcPr>
          <w:p w14:paraId="64A88B9E" w14:textId="77777777" w:rsidR="008D6614" w:rsidRDefault="008D6614">
            <w:pPr>
              <w:rPr>
                <w:rFonts w:ascii="宋体"/>
                <w:vanish/>
              </w:rPr>
            </w:pPr>
          </w:p>
        </w:tc>
        <w:tc>
          <w:tcPr>
            <w:tcW w:w="0" w:type="auto"/>
            <w:gridSpan w:val="3"/>
            <w:shd w:val="clear" w:color="auto" w:fill="auto"/>
            <w:vAlign w:val="center"/>
          </w:tcPr>
          <w:p w14:paraId="64A88B9F" w14:textId="77777777" w:rsidR="008D6614" w:rsidRDefault="008D6614">
            <w:pPr>
              <w:rPr>
                <w:rFonts w:ascii="宋体"/>
                <w:vanish/>
              </w:rPr>
            </w:pPr>
          </w:p>
        </w:tc>
        <w:tc>
          <w:tcPr>
            <w:tcW w:w="0" w:type="auto"/>
            <w:gridSpan w:val="3"/>
            <w:shd w:val="clear" w:color="auto" w:fill="auto"/>
            <w:vAlign w:val="center"/>
          </w:tcPr>
          <w:p w14:paraId="64A88BA0" w14:textId="77777777" w:rsidR="008D6614" w:rsidRDefault="008D6614">
            <w:pPr>
              <w:rPr>
                <w:rFonts w:ascii="宋体"/>
                <w:vanish/>
              </w:rPr>
            </w:pPr>
          </w:p>
        </w:tc>
        <w:tc>
          <w:tcPr>
            <w:tcW w:w="0" w:type="auto"/>
            <w:gridSpan w:val="3"/>
            <w:shd w:val="clear" w:color="auto" w:fill="auto"/>
            <w:vAlign w:val="center"/>
          </w:tcPr>
          <w:p w14:paraId="64A88BA1" w14:textId="77777777" w:rsidR="008D6614" w:rsidRDefault="008D6614">
            <w:pPr>
              <w:rPr>
                <w:rFonts w:ascii="宋体"/>
                <w:vanish/>
              </w:rPr>
            </w:pPr>
          </w:p>
        </w:tc>
        <w:tc>
          <w:tcPr>
            <w:tcW w:w="0" w:type="auto"/>
            <w:shd w:val="clear" w:color="auto" w:fill="auto"/>
            <w:vAlign w:val="center"/>
          </w:tcPr>
          <w:p w14:paraId="64A88BA2" w14:textId="77777777" w:rsidR="008D6614" w:rsidRDefault="008D6614">
            <w:pPr>
              <w:rPr>
                <w:rFonts w:ascii="宋体"/>
              </w:rPr>
            </w:pPr>
          </w:p>
        </w:tc>
        <w:tc>
          <w:tcPr>
            <w:tcW w:w="0" w:type="auto"/>
            <w:shd w:val="clear" w:color="auto" w:fill="auto"/>
            <w:vAlign w:val="center"/>
          </w:tcPr>
          <w:p w14:paraId="64A88BA3" w14:textId="77777777" w:rsidR="008D6614" w:rsidRDefault="008D6614">
            <w:pPr>
              <w:rPr>
                <w:rFonts w:ascii="宋体"/>
              </w:rPr>
            </w:pPr>
          </w:p>
        </w:tc>
        <w:tc>
          <w:tcPr>
            <w:tcW w:w="0" w:type="auto"/>
            <w:shd w:val="clear" w:color="auto" w:fill="auto"/>
            <w:vAlign w:val="center"/>
          </w:tcPr>
          <w:p w14:paraId="64A88BA4" w14:textId="77777777" w:rsidR="008D6614" w:rsidRDefault="008D6614">
            <w:pPr>
              <w:rPr>
                <w:rFonts w:ascii="宋体"/>
              </w:rPr>
            </w:pPr>
          </w:p>
        </w:tc>
        <w:tc>
          <w:tcPr>
            <w:tcW w:w="0" w:type="auto"/>
            <w:shd w:val="clear" w:color="auto" w:fill="auto"/>
            <w:vAlign w:val="center"/>
          </w:tcPr>
          <w:p w14:paraId="64A88BA5" w14:textId="77777777" w:rsidR="008D6614" w:rsidRDefault="008D6614">
            <w:pPr>
              <w:rPr>
                <w:rFonts w:ascii="宋体"/>
              </w:rPr>
            </w:pPr>
          </w:p>
        </w:tc>
        <w:tc>
          <w:tcPr>
            <w:tcW w:w="0" w:type="auto"/>
            <w:shd w:val="clear" w:color="auto" w:fill="auto"/>
            <w:vAlign w:val="center"/>
          </w:tcPr>
          <w:p w14:paraId="64A88BA6" w14:textId="77777777" w:rsidR="008D6614" w:rsidRDefault="008D6614">
            <w:pPr>
              <w:rPr>
                <w:rFonts w:ascii="宋体"/>
              </w:rPr>
            </w:pPr>
          </w:p>
        </w:tc>
        <w:tc>
          <w:tcPr>
            <w:tcW w:w="0" w:type="auto"/>
            <w:shd w:val="clear" w:color="auto" w:fill="auto"/>
            <w:vAlign w:val="center"/>
          </w:tcPr>
          <w:p w14:paraId="64A88BA7" w14:textId="77777777" w:rsidR="008D6614" w:rsidRDefault="008D6614">
            <w:pPr>
              <w:rPr>
                <w:rFonts w:ascii="宋体"/>
              </w:rPr>
            </w:pPr>
          </w:p>
        </w:tc>
        <w:tc>
          <w:tcPr>
            <w:tcW w:w="0" w:type="auto"/>
            <w:shd w:val="clear" w:color="auto" w:fill="auto"/>
            <w:vAlign w:val="center"/>
          </w:tcPr>
          <w:p w14:paraId="64A88BA8" w14:textId="77777777" w:rsidR="008D6614" w:rsidRDefault="008D6614">
            <w:pPr>
              <w:rPr>
                <w:rFonts w:ascii="宋体"/>
              </w:rPr>
            </w:pPr>
          </w:p>
        </w:tc>
        <w:tc>
          <w:tcPr>
            <w:tcW w:w="0" w:type="auto"/>
            <w:shd w:val="clear" w:color="auto" w:fill="auto"/>
            <w:vAlign w:val="center"/>
          </w:tcPr>
          <w:p w14:paraId="64A88BA9" w14:textId="77777777" w:rsidR="008D6614" w:rsidRDefault="008D6614">
            <w:pPr>
              <w:rPr>
                <w:rFonts w:ascii="宋体"/>
              </w:rPr>
            </w:pPr>
          </w:p>
        </w:tc>
        <w:tc>
          <w:tcPr>
            <w:tcW w:w="0" w:type="auto"/>
            <w:shd w:val="clear" w:color="auto" w:fill="auto"/>
            <w:vAlign w:val="center"/>
          </w:tcPr>
          <w:p w14:paraId="64A88BAA" w14:textId="77777777" w:rsidR="008D6614" w:rsidRDefault="008D6614">
            <w:pPr>
              <w:rPr>
                <w:rFonts w:ascii="宋体"/>
              </w:rPr>
            </w:pPr>
          </w:p>
        </w:tc>
      </w:tr>
      <w:tr w:rsidR="008D6614" w14:paraId="64A88BC0" w14:textId="77777777">
        <w:trPr>
          <w:jc w:val="center"/>
        </w:trPr>
        <w:tc>
          <w:tcPr>
            <w:tcW w:w="0" w:type="auto"/>
            <w:gridSpan w:val="3"/>
            <w:shd w:val="clear" w:color="auto" w:fill="E2E2E2"/>
            <w:tcMar>
              <w:top w:w="40" w:type="dxa"/>
              <w:left w:w="720" w:type="dxa"/>
              <w:bottom w:w="40" w:type="dxa"/>
              <w:right w:w="20" w:type="dxa"/>
            </w:tcMar>
            <w:vAlign w:val="bottom"/>
          </w:tcPr>
          <w:p w14:paraId="64A88BAC" w14:textId="77777777" w:rsidR="008D6614" w:rsidRDefault="00866AF2">
            <w:pPr>
              <w:textAlignment w:val="bottom"/>
            </w:pPr>
            <w:r>
              <w:rPr>
                <w:rFonts w:ascii="Arial" w:eastAsia="宋体" w:hAnsi="Arial" w:cs="Arial"/>
                <w:color w:val="000000"/>
                <w:sz w:val="18"/>
                <w:szCs w:val="18"/>
              </w:rPr>
              <w:t>Balance, end of period</w:t>
            </w:r>
          </w:p>
        </w:tc>
        <w:tc>
          <w:tcPr>
            <w:tcW w:w="0" w:type="auto"/>
            <w:shd w:val="clear" w:color="auto" w:fill="auto"/>
            <w:vAlign w:val="center"/>
          </w:tcPr>
          <w:p w14:paraId="64A88BAD" w14:textId="77777777" w:rsidR="008D6614" w:rsidRDefault="008D6614">
            <w:pPr>
              <w:rPr>
                <w:rFonts w:ascii="宋体"/>
                <w:vanish/>
              </w:rPr>
            </w:pPr>
          </w:p>
        </w:tc>
        <w:tc>
          <w:tcPr>
            <w:tcW w:w="0" w:type="auto"/>
            <w:shd w:val="clear" w:color="auto" w:fill="auto"/>
            <w:vAlign w:val="center"/>
          </w:tcPr>
          <w:p w14:paraId="64A88BAE" w14:textId="77777777" w:rsidR="008D6614" w:rsidRDefault="008D6614">
            <w:pPr>
              <w:rPr>
                <w:rFonts w:ascii="宋体"/>
                <w:vanish/>
              </w:rPr>
            </w:pPr>
          </w:p>
        </w:tc>
        <w:tc>
          <w:tcPr>
            <w:tcW w:w="0" w:type="auto"/>
            <w:shd w:val="clear" w:color="auto" w:fill="auto"/>
            <w:vAlign w:val="center"/>
          </w:tcPr>
          <w:p w14:paraId="64A88BAF"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BB0"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BB1" w14:textId="77777777" w:rsidR="008D6614" w:rsidRDefault="00866AF2">
            <w:pPr>
              <w:jc w:val="right"/>
              <w:textAlignment w:val="bottom"/>
            </w:pPr>
            <w:r>
              <w:rPr>
                <w:rFonts w:ascii="Arial" w:eastAsia="宋体" w:hAnsi="Arial" w:cs="Arial"/>
                <w:color w:val="000000"/>
                <w:sz w:val="18"/>
                <w:szCs w:val="18"/>
              </w:rPr>
              <w:t>285 </w:t>
            </w:r>
          </w:p>
        </w:tc>
        <w:tc>
          <w:tcPr>
            <w:tcW w:w="0" w:type="auto"/>
            <w:tcBorders>
              <w:top w:val="single" w:sz="8" w:space="0" w:color="000000"/>
            </w:tcBorders>
            <w:shd w:val="clear" w:color="auto" w:fill="E2E2E2"/>
            <w:tcMar>
              <w:top w:w="40" w:type="dxa"/>
              <w:bottom w:w="40" w:type="dxa"/>
              <w:right w:w="20" w:type="dxa"/>
            </w:tcMar>
            <w:vAlign w:val="bottom"/>
          </w:tcPr>
          <w:p w14:paraId="64A88BB2"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8BB3" w14:textId="77777777" w:rsidR="008D6614" w:rsidRDefault="008D6614">
            <w:pPr>
              <w:rPr>
                <w:rFonts w:ascii="宋体"/>
              </w:rPr>
            </w:pPr>
          </w:p>
        </w:tc>
        <w:tc>
          <w:tcPr>
            <w:tcW w:w="0" w:type="auto"/>
            <w:shd w:val="clear" w:color="auto" w:fill="E2E2E2"/>
            <w:tcMar>
              <w:right w:w="20" w:type="dxa"/>
            </w:tcMar>
            <w:vAlign w:val="bottom"/>
          </w:tcPr>
          <w:p w14:paraId="64A88BB4" w14:textId="77777777" w:rsidR="008D6614" w:rsidRDefault="008D6614">
            <w:pPr>
              <w:jc w:val="right"/>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8BB5" w14:textId="77777777" w:rsidR="008D6614" w:rsidRDefault="00866AF2">
            <w:pPr>
              <w:jc w:val="right"/>
              <w:textAlignment w:val="bottom"/>
            </w:pPr>
            <w:r>
              <w:rPr>
                <w:rFonts w:ascii="Arial" w:eastAsia="宋体" w:hAnsi="Arial" w:cs="Arial"/>
                <w:color w:val="000000"/>
                <w:sz w:val="18"/>
                <w:szCs w:val="18"/>
              </w:rPr>
              <w:t>464 </w:t>
            </w:r>
          </w:p>
        </w:tc>
        <w:tc>
          <w:tcPr>
            <w:tcW w:w="0" w:type="auto"/>
            <w:tcBorders>
              <w:top w:val="single" w:sz="8" w:space="0" w:color="000000"/>
            </w:tcBorders>
            <w:shd w:val="clear" w:color="auto" w:fill="E2E2E2"/>
            <w:tcMar>
              <w:top w:w="40" w:type="dxa"/>
              <w:bottom w:w="40" w:type="dxa"/>
              <w:right w:w="20" w:type="dxa"/>
            </w:tcMar>
            <w:vAlign w:val="bottom"/>
          </w:tcPr>
          <w:p w14:paraId="64A88BB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BB7" w14:textId="77777777" w:rsidR="008D6614" w:rsidRDefault="008D6614">
            <w:pPr>
              <w:rPr>
                <w:rFonts w:ascii="宋体"/>
              </w:rPr>
            </w:pPr>
          </w:p>
        </w:tc>
        <w:tc>
          <w:tcPr>
            <w:tcW w:w="0" w:type="auto"/>
            <w:shd w:val="clear" w:color="auto" w:fill="auto"/>
            <w:vAlign w:val="center"/>
          </w:tcPr>
          <w:p w14:paraId="64A88BB8" w14:textId="77777777" w:rsidR="008D6614" w:rsidRDefault="008D6614">
            <w:pPr>
              <w:rPr>
                <w:rFonts w:ascii="宋体"/>
              </w:rPr>
            </w:pPr>
          </w:p>
        </w:tc>
        <w:tc>
          <w:tcPr>
            <w:tcW w:w="0" w:type="auto"/>
            <w:shd w:val="clear" w:color="auto" w:fill="auto"/>
            <w:vAlign w:val="center"/>
          </w:tcPr>
          <w:p w14:paraId="64A88BB9" w14:textId="77777777" w:rsidR="008D6614" w:rsidRDefault="008D6614">
            <w:pPr>
              <w:rPr>
                <w:rFonts w:ascii="宋体"/>
              </w:rPr>
            </w:pPr>
          </w:p>
        </w:tc>
        <w:tc>
          <w:tcPr>
            <w:tcW w:w="0" w:type="auto"/>
            <w:shd w:val="clear" w:color="auto" w:fill="auto"/>
            <w:vAlign w:val="center"/>
          </w:tcPr>
          <w:p w14:paraId="64A88BBA" w14:textId="77777777" w:rsidR="008D6614" w:rsidRDefault="008D6614">
            <w:pPr>
              <w:rPr>
                <w:rFonts w:ascii="宋体"/>
              </w:rPr>
            </w:pPr>
          </w:p>
        </w:tc>
        <w:tc>
          <w:tcPr>
            <w:tcW w:w="0" w:type="auto"/>
            <w:shd w:val="clear" w:color="auto" w:fill="auto"/>
            <w:vAlign w:val="center"/>
          </w:tcPr>
          <w:p w14:paraId="64A88BBB" w14:textId="77777777" w:rsidR="008D6614" w:rsidRDefault="008D6614">
            <w:pPr>
              <w:rPr>
                <w:rFonts w:ascii="宋体"/>
              </w:rPr>
            </w:pPr>
          </w:p>
        </w:tc>
        <w:tc>
          <w:tcPr>
            <w:tcW w:w="0" w:type="auto"/>
            <w:shd w:val="clear" w:color="auto" w:fill="auto"/>
            <w:vAlign w:val="center"/>
          </w:tcPr>
          <w:p w14:paraId="64A88BBC" w14:textId="77777777" w:rsidR="008D6614" w:rsidRDefault="008D6614">
            <w:pPr>
              <w:rPr>
                <w:rFonts w:ascii="宋体"/>
              </w:rPr>
            </w:pPr>
          </w:p>
        </w:tc>
        <w:tc>
          <w:tcPr>
            <w:tcW w:w="0" w:type="auto"/>
            <w:shd w:val="clear" w:color="auto" w:fill="auto"/>
            <w:vAlign w:val="center"/>
          </w:tcPr>
          <w:p w14:paraId="64A88BBD" w14:textId="77777777" w:rsidR="008D6614" w:rsidRDefault="008D6614">
            <w:pPr>
              <w:rPr>
                <w:rFonts w:ascii="宋体"/>
              </w:rPr>
            </w:pPr>
          </w:p>
        </w:tc>
        <w:tc>
          <w:tcPr>
            <w:tcW w:w="0" w:type="auto"/>
            <w:shd w:val="clear" w:color="auto" w:fill="auto"/>
            <w:vAlign w:val="center"/>
          </w:tcPr>
          <w:p w14:paraId="64A88BBE" w14:textId="77777777" w:rsidR="008D6614" w:rsidRDefault="008D6614">
            <w:pPr>
              <w:rPr>
                <w:rFonts w:ascii="宋体"/>
              </w:rPr>
            </w:pPr>
          </w:p>
        </w:tc>
        <w:tc>
          <w:tcPr>
            <w:tcW w:w="0" w:type="auto"/>
            <w:shd w:val="clear" w:color="auto" w:fill="auto"/>
            <w:vAlign w:val="center"/>
          </w:tcPr>
          <w:p w14:paraId="64A88BBF" w14:textId="77777777" w:rsidR="008D6614" w:rsidRDefault="008D6614">
            <w:pPr>
              <w:rPr>
                <w:rFonts w:ascii="宋体"/>
              </w:rPr>
            </w:pPr>
          </w:p>
        </w:tc>
      </w:tr>
      <w:tr w:rsidR="008D6614" w14:paraId="64A88BD6" w14:textId="77777777">
        <w:trPr>
          <w:jc w:val="center"/>
        </w:trPr>
        <w:tc>
          <w:tcPr>
            <w:tcW w:w="0" w:type="auto"/>
            <w:gridSpan w:val="3"/>
            <w:shd w:val="clear" w:color="auto" w:fill="FFFFFF"/>
            <w:tcMar>
              <w:top w:w="40" w:type="dxa"/>
              <w:left w:w="20" w:type="dxa"/>
              <w:bottom w:w="40" w:type="dxa"/>
              <w:right w:w="20" w:type="dxa"/>
            </w:tcMar>
            <w:vAlign w:val="bottom"/>
          </w:tcPr>
          <w:p w14:paraId="64A88BC1" w14:textId="77777777" w:rsidR="008D6614" w:rsidRDefault="00866AF2">
            <w:pPr>
              <w:textAlignment w:val="bottom"/>
            </w:pPr>
            <w:r>
              <w:rPr>
                <w:rFonts w:ascii="Arial" w:eastAsia="宋体" w:hAnsi="Arial" w:cs="Arial"/>
                <w:color w:val="000000"/>
                <w:sz w:val="18"/>
                <w:szCs w:val="18"/>
              </w:rPr>
              <w:t>Total stockholders’ equity</w:t>
            </w:r>
          </w:p>
        </w:tc>
        <w:tc>
          <w:tcPr>
            <w:tcW w:w="0" w:type="auto"/>
            <w:shd w:val="clear" w:color="auto" w:fill="auto"/>
            <w:vAlign w:val="center"/>
          </w:tcPr>
          <w:p w14:paraId="64A88BC2" w14:textId="77777777" w:rsidR="008D6614" w:rsidRDefault="008D6614">
            <w:pPr>
              <w:rPr>
                <w:rFonts w:ascii="宋体"/>
                <w:vanish/>
              </w:rPr>
            </w:pPr>
          </w:p>
        </w:tc>
        <w:tc>
          <w:tcPr>
            <w:tcW w:w="0" w:type="auto"/>
            <w:shd w:val="clear" w:color="auto" w:fill="auto"/>
            <w:vAlign w:val="center"/>
          </w:tcPr>
          <w:p w14:paraId="64A88BC3" w14:textId="77777777" w:rsidR="008D6614" w:rsidRDefault="008D6614">
            <w:pPr>
              <w:rPr>
                <w:rFonts w:ascii="宋体"/>
                <w:vanish/>
              </w:rPr>
            </w:pPr>
          </w:p>
        </w:tc>
        <w:tc>
          <w:tcPr>
            <w:tcW w:w="0" w:type="auto"/>
            <w:shd w:val="clear" w:color="auto" w:fill="auto"/>
            <w:vAlign w:val="center"/>
          </w:tcPr>
          <w:p w14:paraId="64A88BC4"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BC5"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8BC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8BC7" w14:textId="77777777" w:rsidR="008D6614" w:rsidRDefault="00866AF2">
            <w:pPr>
              <w:jc w:val="right"/>
              <w:textAlignment w:val="bottom"/>
            </w:pPr>
            <w:r>
              <w:rPr>
                <w:rFonts w:ascii="Arial" w:eastAsia="宋体" w:hAnsi="Arial" w:cs="Arial"/>
                <w:color w:val="000000"/>
                <w:sz w:val="18"/>
                <w:szCs w:val="18"/>
              </w:rPr>
              <w:t>2,115 </w:t>
            </w:r>
          </w:p>
        </w:tc>
        <w:tc>
          <w:tcPr>
            <w:tcW w:w="0" w:type="auto"/>
            <w:tcBorders>
              <w:top w:val="single" w:sz="8" w:space="0" w:color="000000"/>
            </w:tcBorders>
            <w:shd w:val="clear" w:color="auto" w:fill="FFFFFF"/>
            <w:tcMar>
              <w:top w:w="40" w:type="dxa"/>
              <w:bottom w:w="40" w:type="dxa"/>
              <w:right w:w="20" w:type="dxa"/>
            </w:tcMar>
            <w:vAlign w:val="bottom"/>
          </w:tcPr>
          <w:p w14:paraId="64A88BC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BC9"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8BC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8BCB" w14:textId="77777777" w:rsidR="008D6614" w:rsidRDefault="00866AF2">
            <w:pPr>
              <w:jc w:val="right"/>
              <w:textAlignment w:val="bottom"/>
            </w:pPr>
            <w:r>
              <w:rPr>
                <w:rFonts w:ascii="Arial" w:eastAsia="宋体" w:hAnsi="Arial" w:cs="Arial"/>
                <w:color w:val="000000"/>
                <w:sz w:val="18"/>
                <w:szCs w:val="18"/>
              </w:rPr>
              <w:t>5,203 </w:t>
            </w:r>
          </w:p>
        </w:tc>
        <w:tc>
          <w:tcPr>
            <w:tcW w:w="0" w:type="auto"/>
            <w:tcBorders>
              <w:top w:val="single" w:sz="8" w:space="0" w:color="000000"/>
            </w:tcBorders>
            <w:shd w:val="clear" w:color="auto" w:fill="FFFFFF"/>
            <w:tcMar>
              <w:top w:w="40" w:type="dxa"/>
              <w:bottom w:w="40" w:type="dxa"/>
              <w:right w:w="20" w:type="dxa"/>
            </w:tcMar>
            <w:vAlign w:val="bottom"/>
          </w:tcPr>
          <w:p w14:paraId="64A88BC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BCD" w14:textId="77777777" w:rsidR="008D6614" w:rsidRDefault="008D6614">
            <w:pPr>
              <w:rPr>
                <w:rFonts w:ascii="宋体"/>
              </w:rPr>
            </w:pPr>
          </w:p>
        </w:tc>
        <w:tc>
          <w:tcPr>
            <w:tcW w:w="0" w:type="auto"/>
            <w:shd w:val="clear" w:color="auto" w:fill="auto"/>
            <w:vAlign w:val="center"/>
          </w:tcPr>
          <w:p w14:paraId="64A88BCE" w14:textId="77777777" w:rsidR="008D6614" w:rsidRDefault="008D6614">
            <w:pPr>
              <w:rPr>
                <w:rFonts w:ascii="宋体"/>
              </w:rPr>
            </w:pPr>
          </w:p>
        </w:tc>
        <w:tc>
          <w:tcPr>
            <w:tcW w:w="0" w:type="auto"/>
            <w:shd w:val="clear" w:color="auto" w:fill="auto"/>
            <w:vAlign w:val="center"/>
          </w:tcPr>
          <w:p w14:paraId="64A88BCF" w14:textId="77777777" w:rsidR="008D6614" w:rsidRDefault="008D6614">
            <w:pPr>
              <w:rPr>
                <w:rFonts w:ascii="宋体"/>
              </w:rPr>
            </w:pPr>
          </w:p>
        </w:tc>
        <w:tc>
          <w:tcPr>
            <w:tcW w:w="0" w:type="auto"/>
            <w:shd w:val="clear" w:color="auto" w:fill="auto"/>
            <w:vAlign w:val="center"/>
          </w:tcPr>
          <w:p w14:paraId="64A88BD0" w14:textId="77777777" w:rsidR="008D6614" w:rsidRDefault="008D6614">
            <w:pPr>
              <w:rPr>
                <w:rFonts w:ascii="宋体"/>
              </w:rPr>
            </w:pPr>
          </w:p>
        </w:tc>
        <w:tc>
          <w:tcPr>
            <w:tcW w:w="0" w:type="auto"/>
            <w:shd w:val="clear" w:color="auto" w:fill="auto"/>
            <w:vAlign w:val="center"/>
          </w:tcPr>
          <w:p w14:paraId="64A88BD1" w14:textId="77777777" w:rsidR="008D6614" w:rsidRDefault="008D6614">
            <w:pPr>
              <w:rPr>
                <w:rFonts w:ascii="宋体"/>
              </w:rPr>
            </w:pPr>
          </w:p>
        </w:tc>
        <w:tc>
          <w:tcPr>
            <w:tcW w:w="0" w:type="auto"/>
            <w:shd w:val="clear" w:color="auto" w:fill="auto"/>
            <w:vAlign w:val="center"/>
          </w:tcPr>
          <w:p w14:paraId="64A88BD2" w14:textId="77777777" w:rsidR="008D6614" w:rsidRDefault="008D6614">
            <w:pPr>
              <w:rPr>
                <w:rFonts w:ascii="宋体"/>
              </w:rPr>
            </w:pPr>
          </w:p>
        </w:tc>
        <w:tc>
          <w:tcPr>
            <w:tcW w:w="0" w:type="auto"/>
            <w:shd w:val="clear" w:color="auto" w:fill="auto"/>
            <w:vAlign w:val="center"/>
          </w:tcPr>
          <w:p w14:paraId="64A88BD3" w14:textId="77777777" w:rsidR="008D6614" w:rsidRDefault="008D6614">
            <w:pPr>
              <w:rPr>
                <w:rFonts w:ascii="宋体"/>
              </w:rPr>
            </w:pPr>
          </w:p>
        </w:tc>
        <w:tc>
          <w:tcPr>
            <w:tcW w:w="0" w:type="auto"/>
            <w:shd w:val="clear" w:color="auto" w:fill="auto"/>
            <w:vAlign w:val="center"/>
          </w:tcPr>
          <w:p w14:paraId="64A88BD4" w14:textId="77777777" w:rsidR="008D6614" w:rsidRDefault="008D6614">
            <w:pPr>
              <w:rPr>
                <w:rFonts w:ascii="宋体"/>
              </w:rPr>
            </w:pPr>
          </w:p>
        </w:tc>
        <w:tc>
          <w:tcPr>
            <w:tcW w:w="0" w:type="auto"/>
            <w:shd w:val="clear" w:color="auto" w:fill="auto"/>
            <w:vAlign w:val="center"/>
          </w:tcPr>
          <w:p w14:paraId="64A88BD5" w14:textId="77777777" w:rsidR="008D6614" w:rsidRDefault="008D6614">
            <w:pPr>
              <w:rPr>
                <w:rFonts w:ascii="宋体"/>
              </w:rPr>
            </w:pPr>
          </w:p>
        </w:tc>
      </w:tr>
      <w:tr w:rsidR="008D6614" w14:paraId="64A88BE8" w14:textId="77777777">
        <w:trPr>
          <w:trHeight w:val="300"/>
          <w:jc w:val="center"/>
        </w:trPr>
        <w:tc>
          <w:tcPr>
            <w:tcW w:w="0" w:type="auto"/>
            <w:gridSpan w:val="3"/>
            <w:shd w:val="clear" w:color="auto" w:fill="E2E2E2"/>
            <w:tcMar>
              <w:left w:w="20" w:type="dxa"/>
              <w:right w:w="20" w:type="dxa"/>
            </w:tcMar>
            <w:vAlign w:val="bottom"/>
          </w:tcPr>
          <w:p w14:paraId="64A88BD7" w14:textId="77777777" w:rsidR="008D6614" w:rsidRDefault="008D6614">
            <w:pPr>
              <w:rPr>
                <w:rFonts w:ascii="宋体"/>
              </w:rPr>
            </w:pPr>
          </w:p>
        </w:tc>
        <w:tc>
          <w:tcPr>
            <w:tcW w:w="0" w:type="auto"/>
            <w:shd w:val="clear" w:color="auto" w:fill="auto"/>
            <w:vAlign w:val="center"/>
          </w:tcPr>
          <w:p w14:paraId="64A88BD8" w14:textId="77777777" w:rsidR="008D6614" w:rsidRDefault="008D6614">
            <w:pPr>
              <w:rPr>
                <w:rFonts w:ascii="宋体"/>
                <w:vanish/>
              </w:rPr>
            </w:pPr>
          </w:p>
        </w:tc>
        <w:tc>
          <w:tcPr>
            <w:tcW w:w="0" w:type="auto"/>
            <w:shd w:val="clear" w:color="auto" w:fill="auto"/>
            <w:vAlign w:val="center"/>
          </w:tcPr>
          <w:p w14:paraId="64A88BD9" w14:textId="77777777" w:rsidR="008D6614" w:rsidRDefault="008D6614">
            <w:pPr>
              <w:rPr>
                <w:rFonts w:ascii="宋体"/>
                <w:vanish/>
              </w:rPr>
            </w:pPr>
          </w:p>
        </w:tc>
        <w:tc>
          <w:tcPr>
            <w:tcW w:w="0" w:type="auto"/>
            <w:shd w:val="clear" w:color="auto" w:fill="auto"/>
            <w:vAlign w:val="center"/>
          </w:tcPr>
          <w:p w14:paraId="64A88BDA"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BDB"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8BDC"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8BDD"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8BDE" w14:textId="77777777" w:rsidR="008D6614" w:rsidRDefault="008D6614">
            <w:pPr>
              <w:rPr>
                <w:rFonts w:ascii="宋体"/>
              </w:rPr>
            </w:pPr>
          </w:p>
        </w:tc>
        <w:tc>
          <w:tcPr>
            <w:tcW w:w="0" w:type="auto"/>
            <w:shd w:val="clear" w:color="auto" w:fill="auto"/>
            <w:vAlign w:val="center"/>
          </w:tcPr>
          <w:p w14:paraId="64A88BDF" w14:textId="77777777" w:rsidR="008D6614" w:rsidRDefault="008D6614">
            <w:pPr>
              <w:rPr>
                <w:rFonts w:ascii="宋体"/>
              </w:rPr>
            </w:pPr>
          </w:p>
        </w:tc>
        <w:tc>
          <w:tcPr>
            <w:tcW w:w="0" w:type="auto"/>
            <w:shd w:val="clear" w:color="auto" w:fill="auto"/>
            <w:vAlign w:val="center"/>
          </w:tcPr>
          <w:p w14:paraId="64A88BE0" w14:textId="77777777" w:rsidR="008D6614" w:rsidRDefault="008D6614">
            <w:pPr>
              <w:rPr>
                <w:rFonts w:ascii="宋体"/>
              </w:rPr>
            </w:pPr>
          </w:p>
        </w:tc>
        <w:tc>
          <w:tcPr>
            <w:tcW w:w="0" w:type="auto"/>
            <w:shd w:val="clear" w:color="auto" w:fill="auto"/>
            <w:vAlign w:val="center"/>
          </w:tcPr>
          <w:p w14:paraId="64A88BE1" w14:textId="77777777" w:rsidR="008D6614" w:rsidRDefault="008D6614">
            <w:pPr>
              <w:rPr>
                <w:rFonts w:ascii="宋体"/>
              </w:rPr>
            </w:pPr>
          </w:p>
        </w:tc>
        <w:tc>
          <w:tcPr>
            <w:tcW w:w="0" w:type="auto"/>
            <w:shd w:val="clear" w:color="auto" w:fill="auto"/>
            <w:vAlign w:val="center"/>
          </w:tcPr>
          <w:p w14:paraId="64A88BE2" w14:textId="77777777" w:rsidR="008D6614" w:rsidRDefault="008D6614">
            <w:pPr>
              <w:rPr>
                <w:rFonts w:ascii="宋体"/>
              </w:rPr>
            </w:pPr>
          </w:p>
        </w:tc>
        <w:tc>
          <w:tcPr>
            <w:tcW w:w="0" w:type="auto"/>
            <w:shd w:val="clear" w:color="auto" w:fill="auto"/>
            <w:vAlign w:val="center"/>
          </w:tcPr>
          <w:p w14:paraId="64A88BE3" w14:textId="77777777" w:rsidR="008D6614" w:rsidRDefault="008D6614">
            <w:pPr>
              <w:rPr>
                <w:rFonts w:ascii="宋体"/>
              </w:rPr>
            </w:pPr>
          </w:p>
        </w:tc>
        <w:tc>
          <w:tcPr>
            <w:tcW w:w="0" w:type="auto"/>
            <w:shd w:val="clear" w:color="auto" w:fill="auto"/>
            <w:vAlign w:val="center"/>
          </w:tcPr>
          <w:p w14:paraId="64A88BE4" w14:textId="77777777" w:rsidR="008D6614" w:rsidRDefault="008D6614">
            <w:pPr>
              <w:rPr>
                <w:rFonts w:ascii="宋体"/>
              </w:rPr>
            </w:pPr>
          </w:p>
        </w:tc>
        <w:tc>
          <w:tcPr>
            <w:tcW w:w="0" w:type="auto"/>
            <w:shd w:val="clear" w:color="auto" w:fill="auto"/>
            <w:vAlign w:val="center"/>
          </w:tcPr>
          <w:p w14:paraId="64A88BE5" w14:textId="77777777" w:rsidR="008D6614" w:rsidRDefault="008D6614">
            <w:pPr>
              <w:rPr>
                <w:rFonts w:ascii="宋体"/>
              </w:rPr>
            </w:pPr>
          </w:p>
        </w:tc>
        <w:tc>
          <w:tcPr>
            <w:tcW w:w="0" w:type="auto"/>
            <w:shd w:val="clear" w:color="auto" w:fill="auto"/>
            <w:vAlign w:val="center"/>
          </w:tcPr>
          <w:p w14:paraId="64A88BE6" w14:textId="77777777" w:rsidR="008D6614" w:rsidRDefault="008D6614">
            <w:pPr>
              <w:rPr>
                <w:rFonts w:ascii="宋体"/>
              </w:rPr>
            </w:pPr>
          </w:p>
        </w:tc>
        <w:tc>
          <w:tcPr>
            <w:tcW w:w="0" w:type="auto"/>
            <w:shd w:val="clear" w:color="auto" w:fill="auto"/>
            <w:vAlign w:val="center"/>
          </w:tcPr>
          <w:p w14:paraId="64A88BE7" w14:textId="77777777" w:rsidR="008D6614" w:rsidRDefault="008D6614">
            <w:pPr>
              <w:rPr>
                <w:rFonts w:ascii="宋体"/>
              </w:rPr>
            </w:pPr>
          </w:p>
        </w:tc>
      </w:tr>
      <w:tr w:rsidR="008D6614" w14:paraId="64A88BFE" w14:textId="77777777">
        <w:trPr>
          <w:jc w:val="center"/>
        </w:trPr>
        <w:tc>
          <w:tcPr>
            <w:tcW w:w="0" w:type="auto"/>
            <w:gridSpan w:val="3"/>
            <w:shd w:val="clear" w:color="auto" w:fill="FFFFFF"/>
            <w:tcMar>
              <w:top w:w="40" w:type="dxa"/>
              <w:left w:w="20" w:type="dxa"/>
              <w:bottom w:w="40" w:type="dxa"/>
              <w:right w:w="20" w:type="dxa"/>
            </w:tcMar>
            <w:vAlign w:val="bottom"/>
          </w:tcPr>
          <w:p w14:paraId="64A88BE9" w14:textId="77777777" w:rsidR="008D6614" w:rsidRDefault="00866AF2">
            <w:pPr>
              <w:textAlignment w:val="bottom"/>
            </w:pPr>
            <w:r>
              <w:rPr>
                <w:rFonts w:ascii="Arial" w:eastAsia="宋体" w:hAnsi="Arial" w:cs="Arial"/>
                <w:color w:val="000000"/>
                <w:sz w:val="18"/>
                <w:szCs w:val="18"/>
              </w:rPr>
              <w:t>Dividends and dividend equivalents declared per share or restricted stock unit</w:t>
            </w:r>
          </w:p>
        </w:tc>
        <w:tc>
          <w:tcPr>
            <w:tcW w:w="0" w:type="auto"/>
            <w:shd w:val="clear" w:color="auto" w:fill="auto"/>
            <w:vAlign w:val="center"/>
          </w:tcPr>
          <w:p w14:paraId="64A88BEA" w14:textId="77777777" w:rsidR="008D6614" w:rsidRDefault="008D6614">
            <w:pPr>
              <w:rPr>
                <w:rFonts w:ascii="宋体"/>
                <w:vanish/>
              </w:rPr>
            </w:pPr>
          </w:p>
        </w:tc>
        <w:tc>
          <w:tcPr>
            <w:tcW w:w="0" w:type="auto"/>
            <w:shd w:val="clear" w:color="auto" w:fill="auto"/>
            <w:vAlign w:val="center"/>
          </w:tcPr>
          <w:p w14:paraId="64A88BEB" w14:textId="77777777" w:rsidR="008D6614" w:rsidRDefault="008D6614">
            <w:pPr>
              <w:rPr>
                <w:rFonts w:ascii="宋体"/>
                <w:vanish/>
              </w:rPr>
            </w:pPr>
          </w:p>
        </w:tc>
        <w:tc>
          <w:tcPr>
            <w:tcW w:w="0" w:type="auto"/>
            <w:shd w:val="clear" w:color="auto" w:fill="auto"/>
            <w:vAlign w:val="center"/>
          </w:tcPr>
          <w:p w14:paraId="64A88BEC"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BED"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8BEE"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BEF" w14:textId="77777777" w:rsidR="008D6614" w:rsidRDefault="00866AF2">
            <w:pPr>
              <w:jc w:val="right"/>
              <w:textAlignment w:val="bottom"/>
            </w:pPr>
            <w:r>
              <w:rPr>
                <w:rFonts w:ascii="Arial" w:eastAsia="宋体" w:hAnsi="Arial" w:cs="Arial"/>
                <w:color w:val="000000"/>
                <w:sz w:val="18"/>
                <w:szCs w:val="18"/>
              </w:rPr>
              <w:t>0.16 </w:t>
            </w:r>
          </w:p>
        </w:tc>
        <w:tc>
          <w:tcPr>
            <w:tcW w:w="0" w:type="auto"/>
            <w:shd w:val="clear" w:color="auto" w:fill="FFFFFF"/>
            <w:tcMar>
              <w:top w:w="40" w:type="dxa"/>
              <w:bottom w:w="40" w:type="dxa"/>
              <w:right w:w="20" w:type="dxa"/>
            </w:tcMar>
            <w:vAlign w:val="bottom"/>
          </w:tcPr>
          <w:p w14:paraId="64A88BF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BF1"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8BF2"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BF3" w14:textId="77777777" w:rsidR="008D6614" w:rsidRDefault="00866AF2">
            <w:pPr>
              <w:jc w:val="right"/>
              <w:textAlignment w:val="bottom"/>
            </w:pPr>
            <w:r>
              <w:rPr>
                <w:rFonts w:ascii="Arial" w:eastAsia="宋体" w:hAnsi="Arial" w:cs="Arial"/>
                <w:color w:val="000000"/>
                <w:sz w:val="18"/>
                <w:szCs w:val="18"/>
              </w:rPr>
              <w:t>0.14 </w:t>
            </w:r>
          </w:p>
        </w:tc>
        <w:tc>
          <w:tcPr>
            <w:tcW w:w="0" w:type="auto"/>
            <w:shd w:val="clear" w:color="auto" w:fill="FFFFFF"/>
            <w:tcMar>
              <w:top w:w="40" w:type="dxa"/>
              <w:bottom w:w="40" w:type="dxa"/>
              <w:right w:w="20" w:type="dxa"/>
            </w:tcMar>
            <w:vAlign w:val="bottom"/>
          </w:tcPr>
          <w:p w14:paraId="64A88BF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BF5" w14:textId="77777777" w:rsidR="008D6614" w:rsidRDefault="008D6614">
            <w:pPr>
              <w:rPr>
                <w:rFonts w:ascii="宋体"/>
              </w:rPr>
            </w:pPr>
          </w:p>
        </w:tc>
        <w:tc>
          <w:tcPr>
            <w:tcW w:w="0" w:type="auto"/>
            <w:shd w:val="clear" w:color="auto" w:fill="auto"/>
            <w:vAlign w:val="center"/>
          </w:tcPr>
          <w:p w14:paraId="64A88BF6" w14:textId="77777777" w:rsidR="008D6614" w:rsidRDefault="008D6614">
            <w:pPr>
              <w:rPr>
                <w:rFonts w:ascii="宋体"/>
              </w:rPr>
            </w:pPr>
          </w:p>
        </w:tc>
        <w:tc>
          <w:tcPr>
            <w:tcW w:w="0" w:type="auto"/>
            <w:shd w:val="clear" w:color="auto" w:fill="auto"/>
            <w:vAlign w:val="center"/>
          </w:tcPr>
          <w:p w14:paraId="64A88BF7" w14:textId="77777777" w:rsidR="008D6614" w:rsidRDefault="008D6614">
            <w:pPr>
              <w:rPr>
                <w:rFonts w:ascii="宋体"/>
              </w:rPr>
            </w:pPr>
          </w:p>
        </w:tc>
        <w:tc>
          <w:tcPr>
            <w:tcW w:w="0" w:type="auto"/>
            <w:shd w:val="clear" w:color="auto" w:fill="auto"/>
            <w:vAlign w:val="center"/>
          </w:tcPr>
          <w:p w14:paraId="64A88BF8" w14:textId="77777777" w:rsidR="008D6614" w:rsidRDefault="008D6614">
            <w:pPr>
              <w:rPr>
                <w:rFonts w:ascii="宋体"/>
              </w:rPr>
            </w:pPr>
          </w:p>
        </w:tc>
        <w:tc>
          <w:tcPr>
            <w:tcW w:w="0" w:type="auto"/>
            <w:shd w:val="clear" w:color="auto" w:fill="auto"/>
            <w:vAlign w:val="center"/>
          </w:tcPr>
          <w:p w14:paraId="64A88BF9" w14:textId="77777777" w:rsidR="008D6614" w:rsidRDefault="008D6614">
            <w:pPr>
              <w:rPr>
                <w:rFonts w:ascii="宋体"/>
              </w:rPr>
            </w:pPr>
          </w:p>
        </w:tc>
        <w:tc>
          <w:tcPr>
            <w:tcW w:w="0" w:type="auto"/>
            <w:shd w:val="clear" w:color="auto" w:fill="auto"/>
            <w:vAlign w:val="center"/>
          </w:tcPr>
          <w:p w14:paraId="64A88BFA" w14:textId="77777777" w:rsidR="008D6614" w:rsidRDefault="008D6614">
            <w:pPr>
              <w:rPr>
                <w:rFonts w:ascii="宋体"/>
              </w:rPr>
            </w:pPr>
          </w:p>
        </w:tc>
        <w:tc>
          <w:tcPr>
            <w:tcW w:w="0" w:type="auto"/>
            <w:shd w:val="clear" w:color="auto" w:fill="auto"/>
            <w:vAlign w:val="center"/>
          </w:tcPr>
          <w:p w14:paraId="64A88BFB" w14:textId="77777777" w:rsidR="008D6614" w:rsidRDefault="008D6614">
            <w:pPr>
              <w:rPr>
                <w:rFonts w:ascii="宋体"/>
              </w:rPr>
            </w:pPr>
          </w:p>
        </w:tc>
        <w:tc>
          <w:tcPr>
            <w:tcW w:w="0" w:type="auto"/>
            <w:shd w:val="clear" w:color="auto" w:fill="auto"/>
            <w:vAlign w:val="center"/>
          </w:tcPr>
          <w:p w14:paraId="64A88BFC" w14:textId="77777777" w:rsidR="008D6614" w:rsidRDefault="008D6614">
            <w:pPr>
              <w:rPr>
                <w:rFonts w:ascii="宋体"/>
              </w:rPr>
            </w:pPr>
          </w:p>
        </w:tc>
        <w:tc>
          <w:tcPr>
            <w:tcW w:w="0" w:type="auto"/>
            <w:shd w:val="clear" w:color="auto" w:fill="auto"/>
            <w:vAlign w:val="center"/>
          </w:tcPr>
          <w:p w14:paraId="64A88BFD" w14:textId="77777777" w:rsidR="008D6614" w:rsidRDefault="008D6614">
            <w:pPr>
              <w:rPr>
                <w:rFonts w:ascii="宋体"/>
              </w:rPr>
            </w:pPr>
          </w:p>
        </w:tc>
      </w:tr>
    </w:tbl>
    <w:p w14:paraId="64A88BFF" w14:textId="77777777" w:rsidR="008D6614" w:rsidRDefault="008D6614">
      <w:pPr>
        <w:jc w:val="center"/>
      </w:pPr>
    </w:p>
    <w:p w14:paraId="64A88C00" w14:textId="77777777" w:rsidR="008D6614" w:rsidRDefault="00866AF2">
      <w:pPr>
        <w:jc w:val="center"/>
      </w:pPr>
      <w:r>
        <w:rPr>
          <w:rFonts w:ascii="Arial" w:eastAsia="宋体" w:hAnsi="Arial" w:cs="Arial"/>
          <w:color w:val="000000"/>
          <w:sz w:val="18"/>
          <w:szCs w:val="18"/>
        </w:rPr>
        <w:t xml:space="preserve">The accompanying notes are an integral part of these condensed consolidated financial statements. </w:t>
      </w:r>
    </w:p>
    <w:p w14:paraId="64A88C01" w14:textId="77777777" w:rsidR="008D6614" w:rsidRDefault="008D6614">
      <w:pPr>
        <w:jc w:val="center"/>
      </w:pPr>
    </w:p>
    <w:p w14:paraId="64A88C02" w14:textId="77777777" w:rsidR="008D6614" w:rsidRDefault="008D6614">
      <w:pPr>
        <w:jc w:val="center"/>
      </w:pPr>
    </w:p>
    <w:p w14:paraId="64A88C03" w14:textId="77777777" w:rsidR="008D6614" w:rsidRDefault="00866AF2">
      <w:pPr>
        <w:jc w:val="center"/>
      </w:pPr>
      <w:r>
        <w:rPr>
          <w:rFonts w:ascii="Arial" w:eastAsia="宋体" w:hAnsi="Arial" w:cs="Arial"/>
          <w:color w:val="000000"/>
          <w:sz w:val="20"/>
          <w:szCs w:val="20"/>
        </w:rPr>
        <w:t>5</w:t>
      </w:r>
    </w:p>
    <w:p w14:paraId="64A88C04" w14:textId="77777777" w:rsidR="008D6614" w:rsidRDefault="00866AF2">
      <w:r>
        <w:pict w14:anchorId="64A8B9E2">
          <v:rect id="_x0000_i1029" style="width:415.3pt;height:1.5pt" o:hralign="center" o:hrstd="t" o:hr="t" fillcolor="#a0a0a0" stroked="f"/>
        </w:pict>
      </w:r>
    </w:p>
    <w:p w14:paraId="64A88C05" w14:textId="77777777" w:rsidR="008D6614" w:rsidRDefault="008D6614"/>
    <w:p w14:paraId="64A88C06" w14:textId="77777777" w:rsidR="008D6614" w:rsidRDefault="00866AF2">
      <w:pPr>
        <w:jc w:val="center"/>
      </w:pPr>
      <w:r>
        <w:rPr>
          <w:rFonts w:ascii="Arial" w:eastAsia="宋体" w:hAnsi="Arial" w:cs="Arial"/>
          <w:b/>
          <w:bCs/>
          <w:color w:val="000000"/>
          <w:sz w:val="20"/>
          <w:szCs w:val="20"/>
        </w:rPr>
        <w:t>eBay Inc.</w:t>
      </w:r>
    </w:p>
    <w:p w14:paraId="64A88C07" w14:textId="77777777" w:rsidR="008D6614" w:rsidRDefault="00866AF2">
      <w:pPr>
        <w:jc w:val="center"/>
      </w:pPr>
      <w:r>
        <w:rPr>
          <w:rFonts w:ascii="Arial" w:eastAsia="宋体" w:hAnsi="Arial" w:cs="Arial"/>
          <w:b/>
          <w:bCs/>
          <w:color w:val="000000"/>
          <w:sz w:val="20"/>
          <w:szCs w:val="20"/>
        </w:rPr>
        <w:t>CONDENSED CONSOLIDATED STATEMENT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5210"/>
        <w:gridCol w:w="52"/>
        <w:gridCol w:w="137"/>
        <w:gridCol w:w="1137"/>
        <w:gridCol w:w="86"/>
        <w:gridCol w:w="36"/>
        <w:gridCol w:w="36"/>
        <w:gridCol w:w="36"/>
        <w:gridCol w:w="137"/>
        <w:gridCol w:w="1115"/>
        <w:gridCol w:w="86"/>
        <w:gridCol w:w="36"/>
        <w:gridCol w:w="36"/>
        <w:gridCol w:w="36"/>
        <w:gridCol w:w="36"/>
        <w:gridCol w:w="36"/>
        <w:gridCol w:w="36"/>
      </w:tblGrid>
      <w:tr w:rsidR="008D6614" w14:paraId="64A88C14" w14:textId="77777777">
        <w:trPr>
          <w:gridAfter w:val="6"/>
          <w:jc w:val="center"/>
        </w:trPr>
        <w:tc>
          <w:tcPr>
            <w:tcW w:w="50" w:type="pct"/>
            <w:shd w:val="clear" w:color="auto" w:fill="auto"/>
            <w:vAlign w:val="center"/>
          </w:tcPr>
          <w:p w14:paraId="64A88C08" w14:textId="77777777" w:rsidR="008D6614" w:rsidRDefault="008D6614">
            <w:pPr>
              <w:rPr>
                <w:rFonts w:ascii="宋体"/>
              </w:rPr>
            </w:pPr>
          </w:p>
        </w:tc>
        <w:tc>
          <w:tcPr>
            <w:tcW w:w="3226" w:type="pct"/>
            <w:shd w:val="clear" w:color="auto" w:fill="auto"/>
            <w:vAlign w:val="center"/>
          </w:tcPr>
          <w:p w14:paraId="64A88C09" w14:textId="77777777" w:rsidR="008D6614" w:rsidRDefault="008D6614">
            <w:pPr>
              <w:rPr>
                <w:rFonts w:ascii="宋体"/>
              </w:rPr>
            </w:pPr>
          </w:p>
        </w:tc>
        <w:tc>
          <w:tcPr>
            <w:tcW w:w="50" w:type="pct"/>
            <w:shd w:val="clear" w:color="auto" w:fill="auto"/>
            <w:vAlign w:val="center"/>
          </w:tcPr>
          <w:p w14:paraId="64A88C0A" w14:textId="77777777" w:rsidR="008D6614" w:rsidRDefault="008D6614">
            <w:pPr>
              <w:rPr>
                <w:rFonts w:ascii="宋体"/>
              </w:rPr>
            </w:pPr>
          </w:p>
        </w:tc>
        <w:tc>
          <w:tcPr>
            <w:tcW w:w="50" w:type="pct"/>
            <w:shd w:val="clear" w:color="auto" w:fill="auto"/>
            <w:vAlign w:val="center"/>
          </w:tcPr>
          <w:p w14:paraId="64A88C0B" w14:textId="77777777" w:rsidR="008D6614" w:rsidRDefault="008D6614">
            <w:pPr>
              <w:rPr>
                <w:rFonts w:ascii="宋体"/>
              </w:rPr>
            </w:pPr>
          </w:p>
        </w:tc>
        <w:tc>
          <w:tcPr>
            <w:tcW w:w="718" w:type="pct"/>
            <w:shd w:val="clear" w:color="auto" w:fill="auto"/>
            <w:vAlign w:val="center"/>
          </w:tcPr>
          <w:p w14:paraId="64A88C0C" w14:textId="77777777" w:rsidR="008D6614" w:rsidRDefault="008D6614">
            <w:pPr>
              <w:rPr>
                <w:rFonts w:ascii="宋体"/>
              </w:rPr>
            </w:pPr>
          </w:p>
        </w:tc>
        <w:tc>
          <w:tcPr>
            <w:tcW w:w="50" w:type="pct"/>
            <w:shd w:val="clear" w:color="auto" w:fill="auto"/>
            <w:vAlign w:val="center"/>
          </w:tcPr>
          <w:p w14:paraId="64A88C0D" w14:textId="77777777" w:rsidR="008D6614" w:rsidRDefault="008D6614">
            <w:pPr>
              <w:rPr>
                <w:rFonts w:ascii="宋体"/>
              </w:rPr>
            </w:pPr>
          </w:p>
        </w:tc>
        <w:tc>
          <w:tcPr>
            <w:tcW w:w="5" w:type="pct"/>
            <w:shd w:val="clear" w:color="auto" w:fill="auto"/>
            <w:vAlign w:val="center"/>
          </w:tcPr>
          <w:p w14:paraId="64A88C0E" w14:textId="77777777" w:rsidR="008D6614" w:rsidRDefault="008D6614">
            <w:pPr>
              <w:rPr>
                <w:rFonts w:ascii="宋体"/>
              </w:rPr>
            </w:pPr>
          </w:p>
        </w:tc>
        <w:tc>
          <w:tcPr>
            <w:tcW w:w="26" w:type="pct"/>
            <w:shd w:val="clear" w:color="auto" w:fill="auto"/>
            <w:vAlign w:val="center"/>
          </w:tcPr>
          <w:p w14:paraId="64A88C0F" w14:textId="77777777" w:rsidR="008D6614" w:rsidRDefault="008D6614">
            <w:pPr>
              <w:rPr>
                <w:rFonts w:ascii="宋体"/>
              </w:rPr>
            </w:pPr>
          </w:p>
        </w:tc>
        <w:tc>
          <w:tcPr>
            <w:tcW w:w="5" w:type="pct"/>
            <w:shd w:val="clear" w:color="auto" w:fill="auto"/>
            <w:vAlign w:val="center"/>
          </w:tcPr>
          <w:p w14:paraId="64A88C10" w14:textId="77777777" w:rsidR="008D6614" w:rsidRDefault="008D6614">
            <w:pPr>
              <w:rPr>
                <w:rFonts w:ascii="宋体"/>
              </w:rPr>
            </w:pPr>
          </w:p>
        </w:tc>
        <w:tc>
          <w:tcPr>
            <w:tcW w:w="50" w:type="pct"/>
            <w:shd w:val="clear" w:color="auto" w:fill="auto"/>
            <w:vAlign w:val="center"/>
          </w:tcPr>
          <w:p w14:paraId="64A88C11" w14:textId="77777777" w:rsidR="008D6614" w:rsidRDefault="008D6614">
            <w:pPr>
              <w:rPr>
                <w:rFonts w:ascii="宋体"/>
              </w:rPr>
            </w:pPr>
          </w:p>
        </w:tc>
        <w:tc>
          <w:tcPr>
            <w:tcW w:w="718" w:type="pct"/>
            <w:shd w:val="clear" w:color="auto" w:fill="auto"/>
            <w:vAlign w:val="center"/>
          </w:tcPr>
          <w:p w14:paraId="64A88C12" w14:textId="77777777" w:rsidR="008D6614" w:rsidRDefault="008D6614">
            <w:pPr>
              <w:rPr>
                <w:rFonts w:ascii="宋体"/>
              </w:rPr>
            </w:pPr>
          </w:p>
        </w:tc>
        <w:tc>
          <w:tcPr>
            <w:tcW w:w="50" w:type="pct"/>
            <w:shd w:val="clear" w:color="auto" w:fill="auto"/>
            <w:vAlign w:val="center"/>
          </w:tcPr>
          <w:p w14:paraId="64A88C13" w14:textId="77777777" w:rsidR="008D6614" w:rsidRDefault="008D6614">
            <w:pPr>
              <w:rPr>
                <w:rFonts w:ascii="宋体"/>
              </w:rPr>
            </w:pPr>
          </w:p>
        </w:tc>
      </w:tr>
      <w:tr w:rsidR="008D6614" w14:paraId="64A88C19" w14:textId="77777777">
        <w:trPr>
          <w:jc w:val="center"/>
        </w:trPr>
        <w:tc>
          <w:tcPr>
            <w:tcW w:w="0" w:type="auto"/>
            <w:gridSpan w:val="3"/>
            <w:shd w:val="clear" w:color="auto" w:fill="auto"/>
            <w:tcMar>
              <w:top w:w="40" w:type="dxa"/>
              <w:left w:w="20" w:type="dxa"/>
              <w:bottom w:w="40" w:type="dxa"/>
              <w:right w:w="20" w:type="dxa"/>
            </w:tcMar>
            <w:vAlign w:val="bottom"/>
          </w:tcPr>
          <w:p w14:paraId="64A88C15" w14:textId="77777777" w:rsidR="008D6614" w:rsidRDefault="00866AF2">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A88C16" w14:textId="77777777" w:rsidR="008D6614" w:rsidRDefault="00866AF2">
            <w:pPr>
              <w:jc w:val="center"/>
              <w:textAlignment w:val="bottom"/>
            </w:pPr>
            <w:r>
              <w:rPr>
                <w:rFonts w:ascii="Arial" w:eastAsia="宋体" w:hAnsi="Arial" w:cs="Arial"/>
                <w:b/>
                <w:bCs/>
                <w:color w:val="000000"/>
                <w:sz w:val="18"/>
                <w:szCs w:val="18"/>
              </w:rPr>
              <w:t>Three Months Ended</w:t>
            </w:r>
            <w:r>
              <w:rPr>
                <w:rFonts w:ascii="Arial" w:eastAsia="宋体" w:hAnsi="Arial" w:cs="Arial"/>
                <w:b/>
                <w:bCs/>
                <w:color w:val="000000"/>
                <w:sz w:val="18"/>
                <w:szCs w:val="18"/>
              </w:rPr>
              <w:br/>
              <w:t>March 31,</w:t>
            </w:r>
          </w:p>
        </w:tc>
        <w:tc>
          <w:tcPr>
            <w:tcW w:w="0" w:type="auto"/>
            <w:gridSpan w:val="3"/>
            <w:shd w:val="clear" w:color="auto" w:fill="auto"/>
            <w:vAlign w:val="center"/>
          </w:tcPr>
          <w:p w14:paraId="64A88C17" w14:textId="77777777" w:rsidR="008D6614" w:rsidRDefault="008D6614">
            <w:pPr>
              <w:rPr>
                <w:rFonts w:ascii="宋体"/>
                <w:vanish/>
              </w:rPr>
            </w:pPr>
          </w:p>
        </w:tc>
        <w:tc>
          <w:tcPr>
            <w:tcW w:w="0" w:type="auto"/>
            <w:gridSpan w:val="3"/>
            <w:shd w:val="clear" w:color="auto" w:fill="auto"/>
            <w:vAlign w:val="center"/>
          </w:tcPr>
          <w:p w14:paraId="64A88C18" w14:textId="77777777" w:rsidR="008D6614" w:rsidRDefault="008D6614">
            <w:pPr>
              <w:rPr>
                <w:rFonts w:ascii="宋体"/>
                <w:vanish/>
              </w:rPr>
            </w:pPr>
          </w:p>
        </w:tc>
      </w:tr>
      <w:tr w:rsidR="008D6614" w14:paraId="64A88C24" w14:textId="77777777">
        <w:trPr>
          <w:jc w:val="center"/>
        </w:trPr>
        <w:tc>
          <w:tcPr>
            <w:tcW w:w="0" w:type="auto"/>
            <w:gridSpan w:val="3"/>
            <w:shd w:val="clear" w:color="auto" w:fill="auto"/>
            <w:tcMar>
              <w:top w:w="40" w:type="dxa"/>
              <w:left w:w="20" w:type="dxa"/>
              <w:bottom w:w="40" w:type="dxa"/>
              <w:right w:w="20" w:type="dxa"/>
            </w:tcMar>
            <w:vAlign w:val="bottom"/>
          </w:tcPr>
          <w:p w14:paraId="64A88C1A" w14:textId="77777777" w:rsidR="008D6614" w:rsidRDefault="00866AF2">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8C1B" w14:textId="77777777" w:rsidR="008D6614" w:rsidRDefault="00866AF2">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left w:w="20" w:type="dxa"/>
              <w:right w:w="20" w:type="dxa"/>
            </w:tcMar>
            <w:vAlign w:val="bottom"/>
          </w:tcPr>
          <w:p w14:paraId="64A88C1C"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8C1D" w14:textId="77777777" w:rsidR="008D6614" w:rsidRDefault="00866AF2">
            <w:pPr>
              <w:jc w:val="center"/>
              <w:textAlignment w:val="bottom"/>
            </w:pPr>
            <w:r>
              <w:rPr>
                <w:rFonts w:ascii="Arial" w:eastAsia="宋体" w:hAnsi="Arial" w:cs="Arial"/>
                <w:b/>
                <w:bCs/>
                <w:color w:val="000000"/>
                <w:sz w:val="18"/>
                <w:szCs w:val="18"/>
              </w:rPr>
              <w:t>2019</w:t>
            </w:r>
          </w:p>
        </w:tc>
        <w:tc>
          <w:tcPr>
            <w:tcW w:w="0" w:type="auto"/>
            <w:shd w:val="clear" w:color="auto" w:fill="auto"/>
            <w:vAlign w:val="center"/>
          </w:tcPr>
          <w:p w14:paraId="64A88C1E" w14:textId="77777777" w:rsidR="008D6614" w:rsidRDefault="008D6614">
            <w:pPr>
              <w:rPr>
                <w:rFonts w:ascii="宋体"/>
              </w:rPr>
            </w:pPr>
          </w:p>
        </w:tc>
        <w:tc>
          <w:tcPr>
            <w:tcW w:w="0" w:type="auto"/>
            <w:shd w:val="clear" w:color="auto" w:fill="auto"/>
            <w:vAlign w:val="center"/>
          </w:tcPr>
          <w:p w14:paraId="64A88C1F" w14:textId="77777777" w:rsidR="008D6614" w:rsidRDefault="008D6614">
            <w:pPr>
              <w:rPr>
                <w:rFonts w:ascii="宋体"/>
              </w:rPr>
            </w:pPr>
          </w:p>
        </w:tc>
        <w:tc>
          <w:tcPr>
            <w:tcW w:w="0" w:type="auto"/>
            <w:shd w:val="clear" w:color="auto" w:fill="auto"/>
            <w:vAlign w:val="center"/>
          </w:tcPr>
          <w:p w14:paraId="64A88C20" w14:textId="77777777" w:rsidR="008D6614" w:rsidRDefault="008D6614">
            <w:pPr>
              <w:rPr>
                <w:rFonts w:ascii="宋体"/>
              </w:rPr>
            </w:pPr>
          </w:p>
        </w:tc>
        <w:tc>
          <w:tcPr>
            <w:tcW w:w="0" w:type="auto"/>
            <w:shd w:val="clear" w:color="auto" w:fill="auto"/>
            <w:vAlign w:val="center"/>
          </w:tcPr>
          <w:p w14:paraId="64A88C21" w14:textId="77777777" w:rsidR="008D6614" w:rsidRDefault="008D6614">
            <w:pPr>
              <w:rPr>
                <w:rFonts w:ascii="宋体"/>
              </w:rPr>
            </w:pPr>
          </w:p>
        </w:tc>
        <w:tc>
          <w:tcPr>
            <w:tcW w:w="0" w:type="auto"/>
            <w:shd w:val="clear" w:color="auto" w:fill="auto"/>
            <w:vAlign w:val="center"/>
          </w:tcPr>
          <w:p w14:paraId="64A88C22" w14:textId="77777777" w:rsidR="008D6614" w:rsidRDefault="008D6614">
            <w:pPr>
              <w:rPr>
                <w:rFonts w:ascii="宋体"/>
              </w:rPr>
            </w:pPr>
          </w:p>
        </w:tc>
        <w:tc>
          <w:tcPr>
            <w:tcW w:w="0" w:type="auto"/>
            <w:shd w:val="clear" w:color="auto" w:fill="auto"/>
            <w:vAlign w:val="center"/>
          </w:tcPr>
          <w:p w14:paraId="64A88C23" w14:textId="77777777" w:rsidR="008D6614" w:rsidRDefault="008D6614">
            <w:pPr>
              <w:rPr>
                <w:rFonts w:ascii="宋体"/>
              </w:rPr>
            </w:pPr>
          </w:p>
        </w:tc>
      </w:tr>
      <w:tr w:rsidR="008D6614" w14:paraId="64A88C29" w14:textId="77777777">
        <w:trPr>
          <w:jc w:val="center"/>
        </w:trPr>
        <w:tc>
          <w:tcPr>
            <w:tcW w:w="0" w:type="auto"/>
            <w:gridSpan w:val="3"/>
            <w:shd w:val="clear" w:color="auto" w:fill="auto"/>
            <w:tcMar>
              <w:top w:w="40" w:type="dxa"/>
              <w:left w:w="20" w:type="dxa"/>
              <w:bottom w:w="40" w:type="dxa"/>
              <w:right w:w="20" w:type="dxa"/>
            </w:tcMar>
            <w:vAlign w:val="bottom"/>
          </w:tcPr>
          <w:p w14:paraId="64A88C25" w14:textId="77777777" w:rsidR="008D6614" w:rsidRDefault="00866AF2">
            <w:pPr>
              <w:textAlignment w:val="bottom"/>
            </w:pPr>
            <w:r>
              <w:rPr>
                <w:rFonts w:ascii="Arial" w:eastAsia="宋体" w:hAnsi="Arial" w:cs="Arial"/>
                <w:b/>
                <w:bCs/>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A88C26" w14:textId="77777777" w:rsidR="008D6614" w:rsidRDefault="00866AF2">
            <w:pPr>
              <w:jc w:val="cente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w:t>
            </w:r>
          </w:p>
        </w:tc>
        <w:tc>
          <w:tcPr>
            <w:tcW w:w="0" w:type="auto"/>
            <w:gridSpan w:val="3"/>
            <w:shd w:val="clear" w:color="auto" w:fill="auto"/>
            <w:vAlign w:val="center"/>
          </w:tcPr>
          <w:p w14:paraId="64A88C27" w14:textId="77777777" w:rsidR="008D6614" w:rsidRDefault="008D6614">
            <w:pPr>
              <w:rPr>
                <w:rFonts w:ascii="宋体"/>
                <w:vanish/>
              </w:rPr>
            </w:pPr>
          </w:p>
        </w:tc>
        <w:tc>
          <w:tcPr>
            <w:tcW w:w="0" w:type="auto"/>
            <w:gridSpan w:val="3"/>
            <w:shd w:val="clear" w:color="auto" w:fill="auto"/>
            <w:vAlign w:val="center"/>
          </w:tcPr>
          <w:p w14:paraId="64A88C28" w14:textId="77777777" w:rsidR="008D6614" w:rsidRDefault="008D6614">
            <w:pPr>
              <w:rPr>
                <w:rFonts w:ascii="宋体"/>
                <w:vanish/>
              </w:rPr>
            </w:pPr>
          </w:p>
        </w:tc>
      </w:tr>
      <w:tr w:rsidR="008D6614" w14:paraId="64A88C2E" w14:textId="77777777">
        <w:trPr>
          <w:jc w:val="center"/>
        </w:trPr>
        <w:tc>
          <w:tcPr>
            <w:tcW w:w="0" w:type="auto"/>
            <w:gridSpan w:val="3"/>
            <w:shd w:val="clear" w:color="auto" w:fill="auto"/>
            <w:tcMar>
              <w:top w:w="40" w:type="dxa"/>
              <w:left w:w="20" w:type="dxa"/>
              <w:bottom w:w="40" w:type="dxa"/>
              <w:right w:w="20" w:type="dxa"/>
            </w:tcMar>
            <w:vAlign w:val="bottom"/>
          </w:tcPr>
          <w:p w14:paraId="64A88C2A" w14:textId="77777777" w:rsidR="008D6614" w:rsidRDefault="00866AF2">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A88C2B" w14:textId="77777777" w:rsidR="008D6614" w:rsidRDefault="00866AF2">
            <w:pPr>
              <w:jc w:val="center"/>
              <w:textAlignment w:val="bottom"/>
            </w:pPr>
            <w:r>
              <w:rPr>
                <w:rFonts w:ascii="Arial" w:eastAsia="宋体" w:hAnsi="Arial" w:cs="Arial"/>
                <w:b/>
                <w:bCs/>
                <w:color w:val="000000"/>
                <w:sz w:val="16"/>
                <w:szCs w:val="16"/>
              </w:rPr>
              <w:t>(Unaudited)</w:t>
            </w:r>
          </w:p>
        </w:tc>
        <w:tc>
          <w:tcPr>
            <w:tcW w:w="0" w:type="auto"/>
            <w:gridSpan w:val="3"/>
            <w:shd w:val="clear" w:color="auto" w:fill="auto"/>
            <w:vAlign w:val="center"/>
          </w:tcPr>
          <w:p w14:paraId="64A88C2C" w14:textId="77777777" w:rsidR="008D6614" w:rsidRDefault="008D6614">
            <w:pPr>
              <w:rPr>
                <w:rFonts w:ascii="宋体"/>
                <w:vanish/>
              </w:rPr>
            </w:pPr>
          </w:p>
        </w:tc>
        <w:tc>
          <w:tcPr>
            <w:tcW w:w="0" w:type="auto"/>
            <w:gridSpan w:val="3"/>
            <w:shd w:val="clear" w:color="auto" w:fill="auto"/>
            <w:vAlign w:val="center"/>
          </w:tcPr>
          <w:p w14:paraId="64A88C2D" w14:textId="77777777" w:rsidR="008D6614" w:rsidRDefault="008D6614">
            <w:pPr>
              <w:rPr>
                <w:rFonts w:ascii="宋体"/>
                <w:vanish/>
              </w:rPr>
            </w:pPr>
          </w:p>
        </w:tc>
      </w:tr>
      <w:tr w:rsidR="008D6614" w14:paraId="64A88C39" w14:textId="77777777">
        <w:trPr>
          <w:jc w:val="center"/>
        </w:trPr>
        <w:tc>
          <w:tcPr>
            <w:tcW w:w="0" w:type="auto"/>
            <w:gridSpan w:val="3"/>
            <w:shd w:val="clear" w:color="auto" w:fill="DDDDDD"/>
            <w:tcMar>
              <w:top w:w="40" w:type="dxa"/>
              <w:left w:w="20" w:type="dxa"/>
              <w:bottom w:w="40" w:type="dxa"/>
              <w:right w:w="20" w:type="dxa"/>
            </w:tcMar>
            <w:vAlign w:val="bottom"/>
          </w:tcPr>
          <w:p w14:paraId="64A88C2F" w14:textId="77777777" w:rsidR="008D6614" w:rsidRDefault="00866AF2">
            <w:pPr>
              <w:textAlignment w:val="bottom"/>
            </w:pPr>
            <w:r>
              <w:rPr>
                <w:rFonts w:ascii="Arial" w:eastAsia="宋体" w:hAnsi="Arial" w:cs="Arial"/>
                <w:color w:val="000000"/>
                <w:sz w:val="18"/>
                <w:szCs w:val="18"/>
              </w:rPr>
              <w:t>Cash flows from operating activities:</w:t>
            </w:r>
          </w:p>
        </w:tc>
        <w:tc>
          <w:tcPr>
            <w:tcW w:w="0" w:type="auto"/>
            <w:gridSpan w:val="3"/>
            <w:shd w:val="clear" w:color="auto" w:fill="DDDDDD"/>
            <w:tcMar>
              <w:top w:w="40" w:type="dxa"/>
              <w:left w:w="20" w:type="dxa"/>
              <w:bottom w:w="40" w:type="dxa"/>
              <w:right w:w="20" w:type="dxa"/>
            </w:tcMar>
            <w:vAlign w:val="bottom"/>
          </w:tcPr>
          <w:p w14:paraId="64A88C30"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C31" w14:textId="77777777" w:rsidR="008D6614" w:rsidRDefault="008D6614">
            <w:pPr>
              <w:rPr>
                <w:rFonts w:ascii="宋体"/>
              </w:rPr>
            </w:pPr>
          </w:p>
        </w:tc>
        <w:tc>
          <w:tcPr>
            <w:tcW w:w="0" w:type="auto"/>
            <w:gridSpan w:val="3"/>
            <w:shd w:val="clear" w:color="auto" w:fill="DDDDDD"/>
            <w:tcMar>
              <w:top w:w="40" w:type="dxa"/>
              <w:left w:w="20" w:type="dxa"/>
              <w:bottom w:w="40" w:type="dxa"/>
              <w:right w:w="20" w:type="dxa"/>
            </w:tcMar>
            <w:vAlign w:val="bottom"/>
          </w:tcPr>
          <w:p w14:paraId="64A88C32" w14:textId="77777777" w:rsidR="008D6614" w:rsidRDefault="00866AF2">
            <w:pPr>
              <w:textAlignment w:val="bottom"/>
            </w:pPr>
            <w:r>
              <w:rPr>
                <w:rFonts w:ascii="Arial" w:eastAsia="宋体" w:hAnsi="Arial" w:cs="Arial"/>
                <w:color w:val="FFFFFF"/>
                <w:sz w:val="18"/>
                <w:szCs w:val="18"/>
              </w:rPr>
              <w:t> </w:t>
            </w:r>
          </w:p>
        </w:tc>
        <w:tc>
          <w:tcPr>
            <w:tcW w:w="0" w:type="auto"/>
            <w:shd w:val="clear" w:color="auto" w:fill="auto"/>
            <w:vAlign w:val="center"/>
          </w:tcPr>
          <w:p w14:paraId="64A88C33" w14:textId="77777777" w:rsidR="008D6614" w:rsidRDefault="008D6614">
            <w:pPr>
              <w:rPr>
                <w:rFonts w:ascii="宋体"/>
              </w:rPr>
            </w:pPr>
          </w:p>
        </w:tc>
        <w:tc>
          <w:tcPr>
            <w:tcW w:w="0" w:type="auto"/>
            <w:shd w:val="clear" w:color="auto" w:fill="auto"/>
            <w:vAlign w:val="center"/>
          </w:tcPr>
          <w:p w14:paraId="64A88C34" w14:textId="77777777" w:rsidR="008D6614" w:rsidRDefault="008D6614">
            <w:pPr>
              <w:rPr>
                <w:rFonts w:ascii="宋体"/>
              </w:rPr>
            </w:pPr>
          </w:p>
        </w:tc>
        <w:tc>
          <w:tcPr>
            <w:tcW w:w="0" w:type="auto"/>
            <w:shd w:val="clear" w:color="auto" w:fill="auto"/>
            <w:vAlign w:val="center"/>
          </w:tcPr>
          <w:p w14:paraId="64A88C35" w14:textId="77777777" w:rsidR="008D6614" w:rsidRDefault="008D6614">
            <w:pPr>
              <w:rPr>
                <w:rFonts w:ascii="宋体"/>
              </w:rPr>
            </w:pPr>
          </w:p>
        </w:tc>
        <w:tc>
          <w:tcPr>
            <w:tcW w:w="0" w:type="auto"/>
            <w:shd w:val="clear" w:color="auto" w:fill="auto"/>
            <w:vAlign w:val="center"/>
          </w:tcPr>
          <w:p w14:paraId="64A88C36" w14:textId="77777777" w:rsidR="008D6614" w:rsidRDefault="008D6614">
            <w:pPr>
              <w:rPr>
                <w:rFonts w:ascii="宋体"/>
              </w:rPr>
            </w:pPr>
          </w:p>
        </w:tc>
        <w:tc>
          <w:tcPr>
            <w:tcW w:w="0" w:type="auto"/>
            <w:shd w:val="clear" w:color="auto" w:fill="auto"/>
            <w:vAlign w:val="center"/>
          </w:tcPr>
          <w:p w14:paraId="64A88C37" w14:textId="77777777" w:rsidR="008D6614" w:rsidRDefault="008D6614">
            <w:pPr>
              <w:rPr>
                <w:rFonts w:ascii="宋体"/>
              </w:rPr>
            </w:pPr>
          </w:p>
        </w:tc>
        <w:tc>
          <w:tcPr>
            <w:tcW w:w="0" w:type="auto"/>
            <w:shd w:val="clear" w:color="auto" w:fill="auto"/>
            <w:vAlign w:val="center"/>
          </w:tcPr>
          <w:p w14:paraId="64A88C38" w14:textId="77777777" w:rsidR="008D6614" w:rsidRDefault="008D6614">
            <w:pPr>
              <w:rPr>
                <w:rFonts w:ascii="宋体"/>
              </w:rPr>
            </w:pPr>
          </w:p>
        </w:tc>
      </w:tr>
      <w:tr w:rsidR="008D6614" w14:paraId="64A88C48" w14:textId="77777777">
        <w:trPr>
          <w:jc w:val="center"/>
        </w:trPr>
        <w:tc>
          <w:tcPr>
            <w:tcW w:w="0" w:type="auto"/>
            <w:gridSpan w:val="3"/>
            <w:shd w:val="clear" w:color="auto" w:fill="FFFFFF"/>
            <w:tcMar>
              <w:top w:w="40" w:type="dxa"/>
              <w:left w:w="225" w:type="dxa"/>
              <w:bottom w:w="40" w:type="dxa"/>
              <w:right w:w="20" w:type="dxa"/>
            </w:tcMar>
            <w:vAlign w:val="bottom"/>
          </w:tcPr>
          <w:p w14:paraId="64A88C3A" w14:textId="77777777" w:rsidR="008D6614" w:rsidRDefault="00866AF2">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tcMar>
            <w:vAlign w:val="bottom"/>
          </w:tcPr>
          <w:p w14:paraId="64A88C3B"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C3C" w14:textId="77777777" w:rsidR="008D6614" w:rsidRDefault="00866AF2">
            <w:pPr>
              <w:jc w:val="right"/>
              <w:textAlignment w:val="bottom"/>
            </w:pPr>
            <w:r>
              <w:rPr>
                <w:rFonts w:ascii="Arial" w:eastAsia="宋体" w:hAnsi="Arial" w:cs="Arial"/>
                <w:color w:val="000000"/>
                <w:sz w:val="18"/>
                <w:szCs w:val="18"/>
              </w:rPr>
              <w:t>3,412 </w:t>
            </w:r>
          </w:p>
        </w:tc>
        <w:tc>
          <w:tcPr>
            <w:tcW w:w="0" w:type="auto"/>
            <w:shd w:val="clear" w:color="auto" w:fill="FFFFFF"/>
            <w:tcMar>
              <w:top w:w="40" w:type="dxa"/>
              <w:bottom w:w="40" w:type="dxa"/>
              <w:right w:w="20" w:type="dxa"/>
            </w:tcMar>
            <w:vAlign w:val="bottom"/>
          </w:tcPr>
          <w:p w14:paraId="64A88C3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C3E"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8C3F"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C40" w14:textId="77777777" w:rsidR="008D6614" w:rsidRDefault="00866AF2">
            <w:pPr>
              <w:jc w:val="right"/>
              <w:textAlignment w:val="bottom"/>
            </w:pPr>
            <w:r>
              <w:rPr>
                <w:rFonts w:ascii="Arial" w:eastAsia="宋体" w:hAnsi="Arial" w:cs="Arial"/>
                <w:color w:val="000000"/>
                <w:sz w:val="18"/>
                <w:szCs w:val="18"/>
              </w:rPr>
              <w:t>518 </w:t>
            </w:r>
          </w:p>
        </w:tc>
        <w:tc>
          <w:tcPr>
            <w:tcW w:w="0" w:type="auto"/>
            <w:shd w:val="clear" w:color="auto" w:fill="FFFFFF"/>
            <w:tcMar>
              <w:top w:w="40" w:type="dxa"/>
              <w:bottom w:w="40" w:type="dxa"/>
              <w:right w:w="20" w:type="dxa"/>
            </w:tcMar>
            <w:vAlign w:val="bottom"/>
          </w:tcPr>
          <w:p w14:paraId="64A88C4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42" w14:textId="77777777" w:rsidR="008D6614" w:rsidRDefault="008D6614">
            <w:pPr>
              <w:rPr>
                <w:rFonts w:ascii="宋体"/>
              </w:rPr>
            </w:pPr>
          </w:p>
        </w:tc>
        <w:tc>
          <w:tcPr>
            <w:tcW w:w="0" w:type="auto"/>
            <w:shd w:val="clear" w:color="auto" w:fill="auto"/>
            <w:vAlign w:val="center"/>
          </w:tcPr>
          <w:p w14:paraId="64A88C43" w14:textId="77777777" w:rsidR="008D6614" w:rsidRDefault="008D6614">
            <w:pPr>
              <w:rPr>
                <w:rFonts w:ascii="宋体"/>
              </w:rPr>
            </w:pPr>
          </w:p>
        </w:tc>
        <w:tc>
          <w:tcPr>
            <w:tcW w:w="0" w:type="auto"/>
            <w:shd w:val="clear" w:color="auto" w:fill="auto"/>
            <w:vAlign w:val="center"/>
          </w:tcPr>
          <w:p w14:paraId="64A88C44" w14:textId="77777777" w:rsidR="008D6614" w:rsidRDefault="008D6614">
            <w:pPr>
              <w:rPr>
                <w:rFonts w:ascii="宋体"/>
              </w:rPr>
            </w:pPr>
          </w:p>
        </w:tc>
        <w:tc>
          <w:tcPr>
            <w:tcW w:w="0" w:type="auto"/>
            <w:shd w:val="clear" w:color="auto" w:fill="auto"/>
            <w:vAlign w:val="center"/>
          </w:tcPr>
          <w:p w14:paraId="64A88C45" w14:textId="77777777" w:rsidR="008D6614" w:rsidRDefault="008D6614">
            <w:pPr>
              <w:rPr>
                <w:rFonts w:ascii="宋体"/>
              </w:rPr>
            </w:pPr>
          </w:p>
        </w:tc>
        <w:tc>
          <w:tcPr>
            <w:tcW w:w="0" w:type="auto"/>
            <w:shd w:val="clear" w:color="auto" w:fill="auto"/>
            <w:vAlign w:val="center"/>
          </w:tcPr>
          <w:p w14:paraId="64A88C46" w14:textId="77777777" w:rsidR="008D6614" w:rsidRDefault="008D6614">
            <w:pPr>
              <w:rPr>
                <w:rFonts w:ascii="宋体"/>
              </w:rPr>
            </w:pPr>
          </w:p>
        </w:tc>
        <w:tc>
          <w:tcPr>
            <w:tcW w:w="0" w:type="auto"/>
            <w:shd w:val="clear" w:color="auto" w:fill="auto"/>
            <w:vAlign w:val="center"/>
          </w:tcPr>
          <w:p w14:paraId="64A88C47" w14:textId="77777777" w:rsidR="008D6614" w:rsidRDefault="008D6614">
            <w:pPr>
              <w:rPr>
                <w:rFonts w:ascii="宋体"/>
              </w:rPr>
            </w:pPr>
          </w:p>
        </w:tc>
      </w:tr>
      <w:tr w:rsidR="008D6614" w14:paraId="64A88C55" w14:textId="77777777">
        <w:trPr>
          <w:jc w:val="center"/>
        </w:trPr>
        <w:tc>
          <w:tcPr>
            <w:tcW w:w="0" w:type="auto"/>
            <w:gridSpan w:val="3"/>
            <w:shd w:val="clear" w:color="auto" w:fill="DDDDDD"/>
            <w:tcMar>
              <w:top w:w="40" w:type="dxa"/>
              <w:left w:w="225" w:type="dxa"/>
              <w:bottom w:w="40" w:type="dxa"/>
              <w:right w:w="20" w:type="dxa"/>
            </w:tcMar>
            <w:vAlign w:val="bottom"/>
          </w:tcPr>
          <w:p w14:paraId="64A88C49" w14:textId="77777777" w:rsidR="008D6614" w:rsidRDefault="00866AF2">
            <w:pPr>
              <w:textAlignment w:val="bottom"/>
            </w:pPr>
            <w:r>
              <w:rPr>
                <w:rFonts w:ascii="Arial" w:eastAsia="宋体" w:hAnsi="Arial" w:cs="Arial"/>
                <w:color w:val="000000"/>
                <w:sz w:val="18"/>
                <w:szCs w:val="18"/>
              </w:rPr>
              <w:t>(Income) loss from discontinued operations, net of income taxes</w:t>
            </w:r>
          </w:p>
        </w:tc>
        <w:tc>
          <w:tcPr>
            <w:tcW w:w="0" w:type="auto"/>
            <w:gridSpan w:val="2"/>
            <w:shd w:val="clear" w:color="auto" w:fill="DDDDDD"/>
            <w:tcMar>
              <w:top w:w="40" w:type="dxa"/>
              <w:left w:w="20" w:type="dxa"/>
              <w:bottom w:w="40" w:type="dxa"/>
              <w:right w:w="0" w:type="dxa"/>
            </w:tcMar>
            <w:vAlign w:val="bottom"/>
          </w:tcPr>
          <w:p w14:paraId="64A88C4A" w14:textId="77777777" w:rsidR="008D6614" w:rsidRDefault="00866AF2">
            <w:pPr>
              <w:jc w:val="right"/>
              <w:textAlignment w:val="bottom"/>
            </w:pPr>
            <w:r>
              <w:rPr>
                <w:rFonts w:ascii="Arial" w:eastAsia="宋体" w:hAnsi="Arial" w:cs="Arial"/>
                <w:color w:val="000000"/>
                <w:sz w:val="18"/>
                <w:szCs w:val="18"/>
              </w:rPr>
              <w:t>(2,927)</w:t>
            </w:r>
          </w:p>
        </w:tc>
        <w:tc>
          <w:tcPr>
            <w:tcW w:w="0" w:type="auto"/>
            <w:shd w:val="clear" w:color="auto" w:fill="DDDDDD"/>
            <w:tcMar>
              <w:top w:w="40" w:type="dxa"/>
              <w:bottom w:w="40" w:type="dxa"/>
              <w:right w:w="20" w:type="dxa"/>
            </w:tcMar>
            <w:vAlign w:val="bottom"/>
          </w:tcPr>
          <w:p w14:paraId="64A88C4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C4C"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8C4D" w14:textId="77777777" w:rsidR="008D6614" w:rsidRDefault="00866AF2">
            <w:pPr>
              <w:jc w:val="right"/>
              <w:textAlignment w:val="bottom"/>
            </w:pPr>
            <w:r>
              <w:rPr>
                <w:rFonts w:ascii="Arial" w:eastAsia="宋体" w:hAnsi="Arial" w:cs="Arial"/>
                <w:color w:val="000000"/>
                <w:sz w:val="18"/>
                <w:szCs w:val="18"/>
              </w:rPr>
              <w:t>(2)</w:t>
            </w:r>
          </w:p>
        </w:tc>
        <w:tc>
          <w:tcPr>
            <w:tcW w:w="0" w:type="auto"/>
            <w:shd w:val="clear" w:color="auto" w:fill="DDDDDD"/>
            <w:tcMar>
              <w:top w:w="40" w:type="dxa"/>
              <w:bottom w:w="40" w:type="dxa"/>
              <w:right w:w="20" w:type="dxa"/>
            </w:tcMar>
            <w:vAlign w:val="bottom"/>
          </w:tcPr>
          <w:p w14:paraId="64A88C4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4F" w14:textId="77777777" w:rsidR="008D6614" w:rsidRDefault="008D6614">
            <w:pPr>
              <w:rPr>
                <w:rFonts w:ascii="宋体"/>
              </w:rPr>
            </w:pPr>
          </w:p>
        </w:tc>
        <w:tc>
          <w:tcPr>
            <w:tcW w:w="0" w:type="auto"/>
            <w:shd w:val="clear" w:color="auto" w:fill="auto"/>
            <w:vAlign w:val="center"/>
          </w:tcPr>
          <w:p w14:paraId="64A88C50" w14:textId="77777777" w:rsidR="008D6614" w:rsidRDefault="008D6614">
            <w:pPr>
              <w:rPr>
                <w:rFonts w:ascii="宋体"/>
              </w:rPr>
            </w:pPr>
          </w:p>
        </w:tc>
        <w:tc>
          <w:tcPr>
            <w:tcW w:w="0" w:type="auto"/>
            <w:shd w:val="clear" w:color="auto" w:fill="auto"/>
            <w:vAlign w:val="center"/>
          </w:tcPr>
          <w:p w14:paraId="64A88C51" w14:textId="77777777" w:rsidR="008D6614" w:rsidRDefault="008D6614">
            <w:pPr>
              <w:rPr>
                <w:rFonts w:ascii="宋体"/>
              </w:rPr>
            </w:pPr>
          </w:p>
        </w:tc>
        <w:tc>
          <w:tcPr>
            <w:tcW w:w="0" w:type="auto"/>
            <w:shd w:val="clear" w:color="auto" w:fill="auto"/>
            <w:vAlign w:val="center"/>
          </w:tcPr>
          <w:p w14:paraId="64A88C52" w14:textId="77777777" w:rsidR="008D6614" w:rsidRDefault="008D6614">
            <w:pPr>
              <w:rPr>
                <w:rFonts w:ascii="宋体"/>
              </w:rPr>
            </w:pPr>
          </w:p>
        </w:tc>
        <w:tc>
          <w:tcPr>
            <w:tcW w:w="0" w:type="auto"/>
            <w:shd w:val="clear" w:color="auto" w:fill="auto"/>
            <w:vAlign w:val="center"/>
          </w:tcPr>
          <w:p w14:paraId="64A88C53" w14:textId="77777777" w:rsidR="008D6614" w:rsidRDefault="008D6614">
            <w:pPr>
              <w:rPr>
                <w:rFonts w:ascii="宋体"/>
              </w:rPr>
            </w:pPr>
          </w:p>
        </w:tc>
        <w:tc>
          <w:tcPr>
            <w:tcW w:w="0" w:type="auto"/>
            <w:shd w:val="clear" w:color="auto" w:fill="auto"/>
            <w:vAlign w:val="center"/>
          </w:tcPr>
          <w:p w14:paraId="64A88C54" w14:textId="77777777" w:rsidR="008D6614" w:rsidRDefault="008D6614">
            <w:pPr>
              <w:rPr>
                <w:rFonts w:ascii="宋体"/>
              </w:rPr>
            </w:pPr>
          </w:p>
        </w:tc>
      </w:tr>
      <w:tr w:rsidR="008D6614" w14:paraId="64A88C60" w14:textId="77777777">
        <w:trPr>
          <w:jc w:val="center"/>
        </w:trPr>
        <w:tc>
          <w:tcPr>
            <w:tcW w:w="0" w:type="auto"/>
            <w:gridSpan w:val="3"/>
            <w:shd w:val="clear" w:color="auto" w:fill="FFFFFF"/>
            <w:tcMar>
              <w:top w:w="40" w:type="dxa"/>
              <w:left w:w="225" w:type="dxa"/>
              <w:bottom w:w="40" w:type="dxa"/>
              <w:right w:w="20" w:type="dxa"/>
            </w:tcMar>
            <w:vAlign w:val="bottom"/>
          </w:tcPr>
          <w:p w14:paraId="64A88C56" w14:textId="77777777" w:rsidR="008D6614" w:rsidRDefault="00866AF2">
            <w:pPr>
              <w:textAlignment w:val="bottom"/>
            </w:pPr>
            <w:r>
              <w:rPr>
                <w:rFonts w:ascii="Arial" w:eastAsia="宋体" w:hAnsi="Arial" w:cs="Arial"/>
                <w:color w:val="000000"/>
                <w:sz w:val="18"/>
                <w:szCs w:val="18"/>
              </w:rPr>
              <w:t>Adjustments:</w:t>
            </w:r>
          </w:p>
        </w:tc>
        <w:tc>
          <w:tcPr>
            <w:tcW w:w="0" w:type="auto"/>
            <w:gridSpan w:val="3"/>
            <w:shd w:val="clear" w:color="auto" w:fill="FFFFFF"/>
            <w:tcMar>
              <w:left w:w="20" w:type="dxa"/>
              <w:right w:w="20" w:type="dxa"/>
            </w:tcMar>
            <w:vAlign w:val="bottom"/>
          </w:tcPr>
          <w:p w14:paraId="64A88C5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C58"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C59" w14:textId="77777777" w:rsidR="008D6614" w:rsidRDefault="008D6614">
            <w:pPr>
              <w:rPr>
                <w:rFonts w:ascii="宋体"/>
              </w:rPr>
            </w:pPr>
          </w:p>
        </w:tc>
        <w:tc>
          <w:tcPr>
            <w:tcW w:w="0" w:type="auto"/>
            <w:shd w:val="clear" w:color="auto" w:fill="auto"/>
            <w:vAlign w:val="center"/>
          </w:tcPr>
          <w:p w14:paraId="64A88C5A" w14:textId="77777777" w:rsidR="008D6614" w:rsidRDefault="008D6614">
            <w:pPr>
              <w:rPr>
                <w:rFonts w:ascii="宋体"/>
              </w:rPr>
            </w:pPr>
          </w:p>
        </w:tc>
        <w:tc>
          <w:tcPr>
            <w:tcW w:w="0" w:type="auto"/>
            <w:shd w:val="clear" w:color="auto" w:fill="auto"/>
            <w:vAlign w:val="center"/>
          </w:tcPr>
          <w:p w14:paraId="64A88C5B" w14:textId="77777777" w:rsidR="008D6614" w:rsidRDefault="008D6614">
            <w:pPr>
              <w:rPr>
                <w:rFonts w:ascii="宋体"/>
              </w:rPr>
            </w:pPr>
          </w:p>
        </w:tc>
        <w:tc>
          <w:tcPr>
            <w:tcW w:w="0" w:type="auto"/>
            <w:shd w:val="clear" w:color="auto" w:fill="auto"/>
            <w:vAlign w:val="center"/>
          </w:tcPr>
          <w:p w14:paraId="64A88C5C" w14:textId="77777777" w:rsidR="008D6614" w:rsidRDefault="008D6614">
            <w:pPr>
              <w:rPr>
                <w:rFonts w:ascii="宋体"/>
              </w:rPr>
            </w:pPr>
          </w:p>
        </w:tc>
        <w:tc>
          <w:tcPr>
            <w:tcW w:w="0" w:type="auto"/>
            <w:shd w:val="clear" w:color="auto" w:fill="auto"/>
            <w:vAlign w:val="center"/>
          </w:tcPr>
          <w:p w14:paraId="64A88C5D" w14:textId="77777777" w:rsidR="008D6614" w:rsidRDefault="008D6614">
            <w:pPr>
              <w:rPr>
                <w:rFonts w:ascii="宋体"/>
              </w:rPr>
            </w:pPr>
          </w:p>
        </w:tc>
        <w:tc>
          <w:tcPr>
            <w:tcW w:w="0" w:type="auto"/>
            <w:shd w:val="clear" w:color="auto" w:fill="auto"/>
            <w:vAlign w:val="center"/>
          </w:tcPr>
          <w:p w14:paraId="64A88C5E" w14:textId="77777777" w:rsidR="008D6614" w:rsidRDefault="008D6614">
            <w:pPr>
              <w:rPr>
                <w:rFonts w:ascii="宋体"/>
              </w:rPr>
            </w:pPr>
          </w:p>
        </w:tc>
        <w:tc>
          <w:tcPr>
            <w:tcW w:w="0" w:type="auto"/>
            <w:shd w:val="clear" w:color="auto" w:fill="auto"/>
            <w:vAlign w:val="center"/>
          </w:tcPr>
          <w:p w14:paraId="64A88C5F" w14:textId="77777777" w:rsidR="008D6614" w:rsidRDefault="008D6614">
            <w:pPr>
              <w:rPr>
                <w:rFonts w:ascii="宋体"/>
              </w:rPr>
            </w:pPr>
          </w:p>
        </w:tc>
      </w:tr>
      <w:tr w:rsidR="008D6614" w14:paraId="64A88C6D" w14:textId="77777777">
        <w:trPr>
          <w:jc w:val="center"/>
        </w:trPr>
        <w:tc>
          <w:tcPr>
            <w:tcW w:w="0" w:type="auto"/>
            <w:gridSpan w:val="3"/>
            <w:shd w:val="clear" w:color="auto" w:fill="DDDDDD"/>
            <w:tcMar>
              <w:top w:w="40" w:type="dxa"/>
              <w:left w:w="495" w:type="dxa"/>
              <w:bottom w:w="40" w:type="dxa"/>
              <w:right w:w="20" w:type="dxa"/>
            </w:tcMar>
            <w:vAlign w:val="bottom"/>
          </w:tcPr>
          <w:p w14:paraId="64A88C61" w14:textId="77777777" w:rsidR="008D6614" w:rsidRDefault="00866AF2">
            <w:pPr>
              <w:textAlignment w:val="bottom"/>
            </w:pPr>
            <w:r>
              <w:rPr>
                <w:rFonts w:ascii="Arial" w:eastAsia="宋体" w:hAnsi="Arial" w:cs="Arial"/>
                <w:color w:val="000000"/>
                <w:sz w:val="18"/>
                <w:szCs w:val="18"/>
              </w:rPr>
              <w:t xml:space="preserve">Provision for </w:t>
            </w:r>
            <w:r>
              <w:rPr>
                <w:rFonts w:ascii="Arial" w:eastAsia="宋体" w:hAnsi="Arial" w:cs="Arial"/>
                <w:color w:val="000000"/>
                <w:sz w:val="18"/>
                <w:szCs w:val="18"/>
              </w:rPr>
              <w:t>transaction losses</w:t>
            </w:r>
          </w:p>
        </w:tc>
        <w:tc>
          <w:tcPr>
            <w:tcW w:w="0" w:type="auto"/>
            <w:gridSpan w:val="2"/>
            <w:shd w:val="clear" w:color="auto" w:fill="DDDDDD"/>
            <w:tcMar>
              <w:top w:w="40" w:type="dxa"/>
              <w:left w:w="20" w:type="dxa"/>
              <w:bottom w:w="40" w:type="dxa"/>
              <w:right w:w="0" w:type="dxa"/>
            </w:tcMar>
            <w:vAlign w:val="bottom"/>
          </w:tcPr>
          <w:p w14:paraId="64A88C62" w14:textId="77777777" w:rsidR="008D6614" w:rsidRDefault="00866AF2">
            <w:pPr>
              <w:jc w:val="right"/>
              <w:textAlignment w:val="bottom"/>
            </w:pPr>
            <w:r>
              <w:rPr>
                <w:rFonts w:ascii="Arial" w:eastAsia="宋体" w:hAnsi="Arial" w:cs="Arial"/>
                <w:color w:val="000000"/>
                <w:sz w:val="18"/>
                <w:szCs w:val="18"/>
              </w:rPr>
              <w:t>102 </w:t>
            </w:r>
          </w:p>
        </w:tc>
        <w:tc>
          <w:tcPr>
            <w:tcW w:w="0" w:type="auto"/>
            <w:shd w:val="clear" w:color="auto" w:fill="DDDDDD"/>
            <w:tcMar>
              <w:top w:w="40" w:type="dxa"/>
              <w:bottom w:w="40" w:type="dxa"/>
              <w:right w:w="20" w:type="dxa"/>
            </w:tcMar>
            <w:vAlign w:val="bottom"/>
          </w:tcPr>
          <w:p w14:paraId="64A88C6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C64"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8C65" w14:textId="77777777" w:rsidR="008D6614" w:rsidRDefault="00866AF2">
            <w:pPr>
              <w:jc w:val="right"/>
              <w:textAlignment w:val="bottom"/>
            </w:pPr>
            <w:r>
              <w:rPr>
                <w:rFonts w:ascii="Arial" w:eastAsia="宋体" w:hAnsi="Arial" w:cs="Arial"/>
                <w:color w:val="000000"/>
                <w:sz w:val="18"/>
                <w:szCs w:val="18"/>
              </w:rPr>
              <w:t>67 </w:t>
            </w:r>
          </w:p>
        </w:tc>
        <w:tc>
          <w:tcPr>
            <w:tcW w:w="0" w:type="auto"/>
            <w:shd w:val="clear" w:color="auto" w:fill="DDDDDD"/>
            <w:tcMar>
              <w:top w:w="40" w:type="dxa"/>
              <w:bottom w:w="40" w:type="dxa"/>
              <w:right w:w="20" w:type="dxa"/>
            </w:tcMar>
            <w:vAlign w:val="bottom"/>
          </w:tcPr>
          <w:p w14:paraId="64A88C6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67" w14:textId="77777777" w:rsidR="008D6614" w:rsidRDefault="008D6614">
            <w:pPr>
              <w:rPr>
                <w:rFonts w:ascii="宋体"/>
              </w:rPr>
            </w:pPr>
          </w:p>
        </w:tc>
        <w:tc>
          <w:tcPr>
            <w:tcW w:w="0" w:type="auto"/>
            <w:shd w:val="clear" w:color="auto" w:fill="auto"/>
            <w:vAlign w:val="center"/>
          </w:tcPr>
          <w:p w14:paraId="64A88C68" w14:textId="77777777" w:rsidR="008D6614" w:rsidRDefault="008D6614">
            <w:pPr>
              <w:rPr>
                <w:rFonts w:ascii="宋体"/>
              </w:rPr>
            </w:pPr>
          </w:p>
        </w:tc>
        <w:tc>
          <w:tcPr>
            <w:tcW w:w="0" w:type="auto"/>
            <w:shd w:val="clear" w:color="auto" w:fill="auto"/>
            <w:vAlign w:val="center"/>
          </w:tcPr>
          <w:p w14:paraId="64A88C69" w14:textId="77777777" w:rsidR="008D6614" w:rsidRDefault="008D6614">
            <w:pPr>
              <w:rPr>
                <w:rFonts w:ascii="宋体"/>
              </w:rPr>
            </w:pPr>
          </w:p>
        </w:tc>
        <w:tc>
          <w:tcPr>
            <w:tcW w:w="0" w:type="auto"/>
            <w:shd w:val="clear" w:color="auto" w:fill="auto"/>
            <w:vAlign w:val="center"/>
          </w:tcPr>
          <w:p w14:paraId="64A88C6A" w14:textId="77777777" w:rsidR="008D6614" w:rsidRDefault="008D6614">
            <w:pPr>
              <w:rPr>
                <w:rFonts w:ascii="宋体"/>
              </w:rPr>
            </w:pPr>
          </w:p>
        </w:tc>
        <w:tc>
          <w:tcPr>
            <w:tcW w:w="0" w:type="auto"/>
            <w:shd w:val="clear" w:color="auto" w:fill="auto"/>
            <w:vAlign w:val="center"/>
          </w:tcPr>
          <w:p w14:paraId="64A88C6B" w14:textId="77777777" w:rsidR="008D6614" w:rsidRDefault="008D6614">
            <w:pPr>
              <w:rPr>
                <w:rFonts w:ascii="宋体"/>
              </w:rPr>
            </w:pPr>
          </w:p>
        </w:tc>
        <w:tc>
          <w:tcPr>
            <w:tcW w:w="0" w:type="auto"/>
            <w:shd w:val="clear" w:color="auto" w:fill="auto"/>
            <w:vAlign w:val="center"/>
          </w:tcPr>
          <w:p w14:paraId="64A88C6C" w14:textId="77777777" w:rsidR="008D6614" w:rsidRDefault="008D6614">
            <w:pPr>
              <w:rPr>
                <w:rFonts w:ascii="宋体"/>
              </w:rPr>
            </w:pPr>
          </w:p>
        </w:tc>
      </w:tr>
      <w:tr w:rsidR="008D6614" w14:paraId="64A88C7A" w14:textId="77777777">
        <w:trPr>
          <w:jc w:val="center"/>
        </w:trPr>
        <w:tc>
          <w:tcPr>
            <w:tcW w:w="0" w:type="auto"/>
            <w:gridSpan w:val="3"/>
            <w:shd w:val="clear" w:color="auto" w:fill="FFFFFF"/>
            <w:tcMar>
              <w:top w:w="40" w:type="dxa"/>
              <w:left w:w="495" w:type="dxa"/>
              <w:bottom w:w="40" w:type="dxa"/>
              <w:right w:w="20" w:type="dxa"/>
            </w:tcMar>
            <w:vAlign w:val="bottom"/>
          </w:tcPr>
          <w:p w14:paraId="64A88C6E" w14:textId="77777777" w:rsidR="008D6614" w:rsidRDefault="00866AF2">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64A88C6F" w14:textId="77777777" w:rsidR="008D6614" w:rsidRDefault="00866AF2">
            <w:pPr>
              <w:jc w:val="right"/>
              <w:textAlignment w:val="bottom"/>
            </w:pPr>
            <w:r>
              <w:rPr>
                <w:rFonts w:ascii="Arial" w:eastAsia="宋体" w:hAnsi="Arial" w:cs="Arial"/>
                <w:color w:val="000000"/>
                <w:sz w:val="18"/>
                <w:szCs w:val="18"/>
              </w:rPr>
              <w:t>147 </w:t>
            </w:r>
          </w:p>
        </w:tc>
        <w:tc>
          <w:tcPr>
            <w:tcW w:w="0" w:type="auto"/>
            <w:shd w:val="clear" w:color="auto" w:fill="FFFFFF"/>
            <w:tcMar>
              <w:top w:w="40" w:type="dxa"/>
              <w:bottom w:w="40" w:type="dxa"/>
              <w:right w:w="20" w:type="dxa"/>
            </w:tcMar>
            <w:vAlign w:val="bottom"/>
          </w:tcPr>
          <w:p w14:paraId="64A88C7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C7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C72" w14:textId="77777777" w:rsidR="008D6614" w:rsidRDefault="00866AF2">
            <w:pPr>
              <w:jc w:val="right"/>
              <w:textAlignment w:val="bottom"/>
            </w:pPr>
            <w:r>
              <w:rPr>
                <w:rFonts w:ascii="Arial" w:eastAsia="宋体" w:hAnsi="Arial" w:cs="Arial"/>
                <w:color w:val="000000"/>
                <w:sz w:val="18"/>
                <w:szCs w:val="18"/>
              </w:rPr>
              <w:t>162 </w:t>
            </w:r>
          </w:p>
        </w:tc>
        <w:tc>
          <w:tcPr>
            <w:tcW w:w="0" w:type="auto"/>
            <w:shd w:val="clear" w:color="auto" w:fill="FFFFFF"/>
            <w:tcMar>
              <w:top w:w="40" w:type="dxa"/>
              <w:bottom w:w="40" w:type="dxa"/>
              <w:right w:w="20" w:type="dxa"/>
            </w:tcMar>
            <w:vAlign w:val="bottom"/>
          </w:tcPr>
          <w:p w14:paraId="64A88C7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74" w14:textId="77777777" w:rsidR="008D6614" w:rsidRDefault="008D6614">
            <w:pPr>
              <w:rPr>
                <w:rFonts w:ascii="宋体"/>
              </w:rPr>
            </w:pPr>
          </w:p>
        </w:tc>
        <w:tc>
          <w:tcPr>
            <w:tcW w:w="0" w:type="auto"/>
            <w:shd w:val="clear" w:color="auto" w:fill="auto"/>
            <w:vAlign w:val="center"/>
          </w:tcPr>
          <w:p w14:paraId="64A88C75" w14:textId="77777777" w:rsidR="008D6614" w:rsidRDefault="008D6614">
            <w:pPr>
              <w:rPr>
                <w:rFonts w:ascii="宋体"/>
              </w:rPr>
            </w:pPr>
          </w:p>
        </w:tc>
        <w:tc>
          <w:tcPr>
            <w:tcW w:w="0" w:type="auto"/>
            <w:shd w:val="clear" w:color="auto" w:fill="auto"/>
            <w:vAlign w:val="center"/>
          </w:tcPr>
          <w:p w14:paraId="64A88C76" w14:textId="77777777" w:rsidR="008D6614" w:rsidRDefault="008D6614">
            <w:pPr>
              <w:rPr>
                <w:rFonts w:ascii="宋体"/>
              </w:rPr>
            </w:pPr>
          </w:p>
        </w:tc>
        <w:tc>
          <w:tcPr>
            <w:tcW w:w="0" w:type="auto"/>
            <w:shd w:val="clear" w:color="auto" w:fill="auto"/>
            <w:vAlign w:val="center"/>
          </w:tcPr>
          <w:p w14:paraId="64A88C77" w14:textId="77777777" w:rsidR="008D6614" w:rsidRDefault="008D6614">
            <w:pPr>
              <w:rPr>
                <w:rFonts w:ascii="宋体"/>
              </w:rPr>
            </w:pPr>
          </w:p>
        </w:tc>
        <w:tc>
          <w:tcPr>
            <w:tcW w:w="0" w:type="auto"/>
            <w:shd w:val="clear" w:color="auto" w:fill="auto"/>
            <w:vAlign w:val="center"/>
          </w:tcPr>
          <w:p w14:paraId="64A88C78" w14:textId="77777777" w:rsidR="008D6614" w:rsidRDefault="008D6614">
            <w:pPr>
              <w:rPr>
                <w:rFonts w:ascii="宋体"/>
              </w:rPr>
            </w:pPr>
          </w:p>
        </w:tc>
        <w:tc>
          <w:tcPr>
            <w:tcW w:w="0" w:type="auto"/>
            <w:shd w:val="clear" w:color="auto" w:fill="auto"/>
            <w:vAlign w:val="center"/>
          </w:tcPr>
          <w:p w14:paraId="64A88C79" w14:textId="77777777" w:rsidR="008D6614" w:rsidRDefault="008D6614">
            <w:pPr>
              <w:rPr>
                <w:rFonts w:ascii="宋体"/>
              </w:rPr>
            </w:pPr>
          </w:p>
        </w:tc>
      </w:tr>
      <w:tr w:rsidR="008D6614" w14:paraId="64A88C87" w14:textId="77777777">
        <w:trPr>
          <w:jc w:val="center"/>
        </w:trPr>
        <w:tc>
          <w:tcPr>
            <w:tcW w:w="0" w:type="auto"/>
            <w:gridSpan w:val="3"/>
            <w:shd w:val="clear" w:color="auto" w:fill="DDDDDD"/>
            <w:tcMar>
              <w:top w:w="40" w:type="dxa"/>
              <w:left w:w="495" w:type="dxa"/>
              <w:bottom w:w="40" w:type="dxa"/>
              <w:right w:w="20" w:type="dxa"/>
            </w:tcMar>
            <w:vAlign w:val="bottom"/>
          </w:tcPr>
          <w:p w14:paraId="64A88C7B" w14:textId="77777777" w:rsidR="008D6614" w:rsidRDefault="00866AF2">
            <w:pPr>
              <w:textAlignment w:val="bottom"/>
            </w:pPr>
            <w:r>
              <w:rPr>
                <w:rFonts w:ascii="Arial" w:eastAsia="宋体" w:hAnsi="Arial" w:cs="Arial"/>
                <w:color w:val="000000"/>
                <w:sz w:val="18"/>
                <w:szCs w:val="18"/>
              </w:rPr>
              <w:t>Stock-based compensation</w:t>
            </w:r>
          </w:p>
        </w:tc>
        <w:tc>
          <w:tcPr>
            <w:tcW w:w="0" w:type="auto"/>
            <w:gridSpan w:val="2"/>
            <w:shd w:val="clear" w:color="auto" w:fill="DDDDDD"/>
            <w:tcMar>
              <w:top w:w="40" w:type="dxa"/>
              <w:left w:w="20" w:type="dxa"/>
              <w:bottom w:w="40" w:type="dxa"/>
              <w:right w:w="0" w:type="dxa"/>
            </w:tcMar>
            <w:vAlign w:val="bottom"/>
          </w:tcPr>
          <w:p w14:paraId="64A88C7C" w14:textId="77777777" w:rsidR="008D6614" w:rsidRDefault="00866AF2">
            <w:pPr>
              <w:jc w:val="right"/>
              <w:textAlignment w:val="bottom"/>
            </w:pPr>
            <w:r>
              <w:rPr>
                <w:rFonts w:ascii="Arial" w:eastAsia="宋体" w:hAnsi="Arial" w:cs="Arial"/>
                <w:color w:val="000000"/>
                <w:sz w:val="18"/>
                <w:szCs w:val="18"/>
              </w:rPr>
              <w:t>100 </w:t>
            </w:r>
          </w:p>
        </w:tc>
        <w:tc>
          <w:tcPr>
            <w:tcW w:w="0" w:type="auto"/>
            <w:shd w:val="clear" w:color="auto" w:fill="DDDDDD"/>
            <w:tcMar>
              <w:top w:w="40" w:type="dxa"/>
              <w:bottom w:w="40" w:type="dxa"/>
              <w:right w:w="20" w:type="dxa"/>
            </w:tcMar>
            <w:vAlign w:val="bottom"/>
          </w:tcPr>
          <w:p w14:paraId="64A88C7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C7E"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8C7F" w14:textId="77777777" w:rsidR="008D6614" w:rsidRDefault="00866AF2">
            <w:pPr>
              <w:jc w:val="right"/>
              <w:textAlignment w:val="bottom"/>
            </w:pPr>
            <w:r>
              <w:rPr>
                <w:rFonts w:ascii="Arial" w:eastAsia="宋体" w:hAnsi="Arial" w:cs="Arial"/>
                <w:color w:val="000000"/>
                <w:sz w:val="18"/>
                <w:szCs w:val="18"/>
              </w:rPr>
              <w:t>112 </w:t>
            </w:r>
          </w:p>
        </w:tc>
        <w:tc>
          <w:tcPr>
            <w:tcW w:w="0" w:type="auto"/>
            <w:shd w:val="clear" w:color="auto" w:fill="DDDDDD"/>
            <w:tcMar>
              <w:top w:w="40" w:type="dxa"/>
              <w:bottom w:w="40" w:type="dxa"/>
              <w:right w:w="20" w:type="dxa"/>
            </w:tcMar>
            <w:vAlign w:val="bottom"/>
          </w:tcPr>
          <w:p w14:paraId="64A88C8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81" w14:textId="77777777" w:rsidR="008D6614" w:rsidRDefault="008D6614">
            <w:pPr>
              <w:rPr>
                <w:rFonts w:ascii="宋体"/>
              </w:rPr>
            </w:pPr>
          </w:p>
        </w:tc>
        <w:tc>
          <w:tcPr>
            <w:tcW w:w="0" w:type="auto"/>
            <w:shd w:val="clear" w:color="auto" w:fill="auto"/>
            <w:vAlign w:val="center"/>
          </w:tcPr>
          <w:p w14:paraId="64A88C82" w14:textId="77777777" w:rsidR="008D6614" w:rsidRDefault="008D6614">
            <w:pPr>
              <w:rPr>
                <w:rFonts w:ascii="宋体"/>
              </w:rPr>
            </w:pPr>
          </w:p>
        </w:tc>
        <w:tc>
          <w:tcPr>
            <w:tcW w:w="0" w:type="auto"/>
            <w:shd w:val="clear" w:color="auto" w:fill="auto"/>
            <w:vAlign w:val="center"/>
          </w:tcPr>
          <w:p w14:paraId="64A88C83" w14:textId="77777777" w:rsidR="008D6614" w:rsidRDefault="008D6614">
            <w:pPr>
              <w:rPr>
                <w:rFonts w:ascii="宋体"/>
              </w:rPr>
            </w:pPr>
          </w:p>
        </w:tc>
        <w:tc>
          <w:tcPr>
            <w:tcW w:w="0" w:type="auto"/>
            <w:shd w:val="clear" w:color="auto" w:fill="auto"/>
            <w:vAlign w:val="center"/>
          </w:tcPr>
          <w:p w14:paraId="64A88C84" w14:textId="77777777" w:rsidR="008D6614" w:rsidRDefault="008D6614">
            <w:pPr>
              <w:rPr>
                <w:rFonts w:ascii="宋体"/>
              </w:rPr>
            </w:pPr>
          </w:p>
        </w:tc>
        <w:tc>
          <w:tcPr>
            <w:tcW w:w="0" w:type="auto"/>
            <w:shd w:val="clear" w:color="auto" w:fill="auto"/>
            <w:vAlign w:val="center"/>
          </w:tcPr>
          <w:p w14:paraId="64A88C85" w14:textId="77777777" w:rsidR="008D6614" w:rsidRDefault="008D6614">
            <w:pPr>
              <w:rPr>
                <w:rFonts w:ascii="宋体"/>
              </w:rPr>
            </w:pPr>
          </w:p>
        </w:tc>
        <w:tc>
          <w:tcPr>
            <w:tcW w:w="0" w:type="auto"/>
            <w:shd w:val="clear" w:color="auto" w:fill="auto"/>
            <w:vAlign w:val="center"/>
          </w:tcPr>
          <w:p w14:paraId="64A88C86" w14:textId="77777777" w:rsidR="008D6614" w:rsidRDefault="008D6614">
            <w:pPr>
              <w:rPr>
                <w:rFonts w:ascii="宋体"/>
              </w:rPr>
            </w:pPr>
          </w:p>
        </w:tc>
      </w:tr>
      <w:tr w:rsidR="008D6614" w14:paraId="64A88C92" w14:textId="77777777">
        <w:trPr>
          <w:jc w:val="center"/>
          <w:hidden/>
        </w:trPr>
        <w:tc>
          <w:tcPr>
            <w:tcW w:w="0" w:type="auto"/>
            <w:gridSpan w:val="3"/>
            <w:shd w:val="clear" w:color="auto" w:fill="auto"/>
            <w:vAlign w:val="center"/>
          </w:tcPr>
          <w:p w14:paraId="64A88C88" w14:textId="77777777" w:rsidR="008D6614" w:rsidRDefault="008D6614">
            <w:pPr>
              <w:rPr>
                <w:rFonts w:ascii="宋体"/>
                <w:vanish/>
              </w:rPr>
            </w:pPr>
          </w:p>
        </w:tc>
        <w:tc>
          <w:tcPr>
            <w:tcW w:w="0" w:type="auto"/>
            <w:gridSpan w:val="3"/>
            <w:shd w:val="clear" w:color="auto" w:fill="auto"/>
            <w:vAlign w:val="center"/>
          </w:tcPr>
          <w:p w14:paraId="64A88C89" w14:textId="77777777" w:rsidR="008D6614" w:rsidRDefault="008D6614">
            <w:pPr>
              <w:rPr>
                <w:rFonts w:ascii="宋体"/>
                <w:vanish/>
              </w:rPr>
            </w:pPr>
          </w:p>
        </w:tc>
        <w:tc>
          <w:tcPr>
            <w:tcW w:w="0" w:type="auto"/>
            <w:gridSpan w:val="3"/>
            <w:shd w:val="clear" w:color="auto" w:fill="auto"/>
            <w:vAlign w:val="center"/>
          </w:tcPr>
          <w:p w14:paraId="64A88C8A" w14:textId="77777777" w:rsidR="008D6614" w:rsidRDefault="008D6614">
            <w:pPr>
              <w:rPr>
                <w:rFonts w:ascii="宋体"/>
                <w:vanish/>
              </w:rPr>
            </w:pPr>
          </w:p>
        </w:tc>
        <w:tc>
          <w:tcPr>
            <w:tcW w:w="0" w:type="auto"/>
            <w:gridSpan w:val="3"/>
            <w:shd w:val="clear" w:color="auto" w:fill="auto"/>
            <w:vAlign w:val="center"/>
          </w:tcPr>
          <w:p w14:paraId="64A88C8B" w14:textId="77777777" w:rsidR="008D6614" w:rsidRDefault="008D6614">
            <w:pPr>
              <w:rPr>
                <w:rFonts w:ascii="宋体"/>
                <w:vanish/>
              </w:rPr>
            </w:pPr>
          </w:p>
        </w:tc>
        <w:tc>
          <w:tcPr>
            <w:tcW w:w="0" w:type="auto"/>
            <w:shd w:val="clear" w:color="auto" w:fill="auto"/>
            <w:vAlign w:val="center"/>
          </w:tcPr>
          <w:p w14:paraId="64A88C8C" w14:textId="77777777" w:rsidR="008D6614" w:rsidRDefault="008D6614">
            <w:pPr>
              <w:rPr>
                <w:rFonts w:ascii="宋体"/>
              </w:rPr>
            </w:pPr>
          </w:p>
        </w:tc>
        <w:tc>
          <w:tcPr>
            <w:tcW w:w="0" w:type="auto"/>
            <w:shd w:val="clear" w:color="auto" w:fill="auto"/>
            <w:vAlign w:val="center"/>
          </w:tcPr>
          <w:p w14:paraId="64A88C8D" w14:textId="77777777" w:rsidR="008D6614" w:rsidRDefault="008D6614">
            <w:pPr>
              <w:rPr>
                <w:rFonts w:ascii="宋体"/>
              </w:rPr>
            </w:pPr>
          </w:p>
        </w:tc>
        <w:tc>
          <w:tcPr>
            <w:tcW w:w="0" w:type="auto"/>
            <w:shd w:val="clear" w:color="auto" w:fill="auto"/>
            <w:vAlign w:val="center"/>
          </w:tcPr>
          <w:p w14:paraId="64A88C8E" w14:textId="77777777" w:rsidR="008D6614" w:rsidRDefault="008D6614">
            <w:pPr>
              <w:rPr>
                <w:rFonts w:ascii="宋体"/>
              </w:rPr>
            </w:pPr>
          </w:p>
        </w:tc>
        <w:tc>
          <w:tcPr>
            <w:tcW w:w="0" w:type="auto"/>
            <w:shd w:val="clear" w:color="auto" w:fill="auto"/>
            <w:vAlign w:val="center"/>
          </w:tcPr>
          <w:p w14:paraId="64A88C8F" w14:textId="77777777" w:rsidR="008D6614" w:rsidRDefault="008D6614">
            <w:pPr>
              <w:rPr>
                <w:rFonts w:ascii="宋体"/>
              </w:rPr>
            </w:pPr>
          </w:p>
        </w:tc>
        <w:tc>
          <w:tcPr>
            <w:tcW w:w="0" w:type="auto"/>
            <w:shd w:val="clear" w:color="auto" w:fill="auto"/>
            <w:vAlign w:val="center"/>
          </w:tcPr>
          <w:p w14:paraId="64A88C90" w14:textId="77777777" w:rsidR="008D6614" w:rsidRDefault="008D6614">
            <w:pPr>
              <w:rPr>
                <w:rFonts w:ascii="宋体"/>
              </w:rPr>
            </w:pPr>
          </w:p>
        </w:tc>
        <w:tc>
          <w:tcPr>
            <w:tcW w:w="0" w:type="auto"/>
            <w:shd w:val="clear" w:color="auto" w:fill="auto"/>
            <w:vAlign w:val="center"/>
          </w:tcPr>
          <w:p w14:paraId="64A88C91" w14:textId="77777777" w:rsidR="008D6614" w:rsidRDefault="008D6614">
            <w:pPr>
              <w:rPr>
                <w:rFonts w:ascii="宋体"/>
              </w:rPr>
            </w:pPr>
          </w:p>
        </w:tc>
      </w:tr>
      <w:tr w:rsidR="008D6614" w14:paraId="64A88C9D" w14:textId="77777777">
        <w:trPr>
          <w:jc w:val="center"/>
          <w:hidden/>
        </w:trPr>
        <w:tc>
          <w:tcPr>
            <w:tcW w:w="0" w:type="auto"/>
            <w:gridSpan w:val="3"/>
            <w:shd w:val="clear" w:color="auto" w:fill="auto"/>
            <w:vAlign w:val="center"/>
          </w:tcPr>
          <w:p w14:paraId="64A88C93" w14:textId="77777777" w:rsidR="008D6614" w:rsidRDefault="008D6614">
            <w:pPr>
              <w:rPr>
                <w:rFonts w:ascii="宋体"/>
                <w:vanish/>
              </w:rPr>
            </w:pPr>
          </w:p>
        </w:tc>
        <w:tc>
          <w:tcPr>
            <w:tcW w:w="0" w:type="auto"/>
            <w:gridSpan w:val="3"/>
            <w:shd w:val="clear" w:color="auto" w:fill="auto"/>
            <w:vAlign w:val="center"/>
          </w:tcPr>
          <w:p w14:paraId="64A88C94" w14:textId="77777777" w:rsidR="008D6614" w:rsidRDefault="008D6614">
            <w:pPr>
              <w:rPr>
                <w:rFonts w:ascii="宋体"/>
                <w:vanish/>
              </w:rPr>
            </w:pPr>
          </w:p>
        </w:tc>
        <w:tc>
          <w:tcPr>
            <w:tcW w:w="0" w:type="auto"/>
            <w:gridSpan w:val="3"/>
            <w:shd w:val="clear" w:color="auto" w:fill="auto"/>
            <w:vAlign w:val="center"/>
          </w:tcPr>
          <w:p w14:paraId="64A88C95" w14:textId="77777777" w:rsidR="008D6614" w:rsidRDefault="008D6614">
            <w:pPr>
              <w:rPr>
                <w:rFonts w:ascii="宋体"/>
                <w:vanish/>
              </w:rPr>
            </w:pPr>
          </w:p>
        </w:tc>
        <w:tc>
          <w:tcPr>
            <w:tcW w:w="0" w:type="auto"/>
            <w:gridSpan w:val="3"/>
            <w:shd w:val="clear" w:color="auto" w:fill="auto"/>
            <w:vAlign w:val="center"/>
          </w:tcPr>
          <w:p w14:paraId="64A88C96" w14:textId="77777777" w:rsidR="008D6614" w:rsidRDefault="008D6614">
            <w:pPr>
              <w:rPr>
                <w:rFonts w:ascii="宋体"/>
                <w:vanish/>
              </w:rPr>
            </w:pPr>
          </w:p>
        </w:tc>
        <w:tc>
          <w:tcPr>
            <w:tcW w:w="0" w:type="auto"/>
            <w:shd w:val="clear" w:color="auto" w:fill="auto"/>
            <w:vAlign w:val="center"/>
          </w:tcPr>
          <w:p w14:paraId="64A88C97" w14:textId="77777777" w:rsidR="008D6614" w:rsidRDefault="008D6614">
            <w:pPr>
              <w:rPr>
                <w:rFonts w:ascii="宋体"/>
              </w:rPr>
            </w:pPr>
          </w:p>
        </w:tc>
        <w:tc>
          <w:tcPr>
            <w:tcW w:w="0" w:type="auto"/>
            <w:shd w:val="clear" w:color="auto" w:fill="auto"/>
            <w:vAlign w:val="center"/>
          </w:tcPr>
          <w:p w14:paraId="64A88C98" w14:textId="77777777" w:rsidR="008D6614" w:rsidRDefault="008D6614">
            <w:pPr>
              <w:rPr>
                <w:rFonts w:ascii="宋体"/>
              </w:rPr>
            </w:pPr>
          </w:p>
        </w:tc>
        <w:tc>
          <w:tcPr>
            <w:tcW w:w="0" w:type="auto"/>
            <w:shd w:val="clear" w:color="auto" w:fill="auto"/>
            <w:vAlign w:val="center"/>
          </w:tcPr>
          <w:p w14:paraId="64A88C99" w14:textId="77777777" w:rsidR="008D6614" w:rsidRDefault="008D6614">
            <w:pPr>
              <w:rPr>
                <w:rFonts w:ascii="宋体"/>
              </w:rPr>
            </w:pPr>
          </w:p>
        </w:tc>
        <w:tc>
          <w:tcPr>
            <w:tcW w:w="0" w:type="auto"/>
            <w:shd w:val="clear" w:color="auto" w:fill="auto"/>
            <w:vAlign w:val="center"/>
          </w:tcPr>
          <w:p w14:paraId="64A88C9A" w14:textId="77777777" w:rsidR="008D6614" w:rsidRDefault="008D6614">
            <w:pPr>
              <w:rPr>
                <w:rFonts w:ascii="宋体"/>
              </w:rPr>
            </w:pPr>
          </w:p>
        </w:tc>
        <w:tc>
          <w:tcPr>
            <w:tcW w:w="0" w:type="auto"/>
            <w:shd w:val="clear" w:color="auto" w:fill="auto"/>
            <w:vAlign w:val="center"/>
          </w:tcPr>
          <w:p w14:paraId="64A88C9B" w14:textId="77777777" w:rsidR="008D6614" w:rsidRDefault="008D6614">
            <w:pPr>
              <w:rPr>
                <w:rFonts w:ascii="宋体"/>
              </w:rPr>
            </w:pPr>
          </w:p>
        </w:tc>
        <w:tc>
          <w:tcPr>
            <w:tcW w:w="0" w:type="auto"/>
            <w:shd w:val="clear" w:color="auto" w:fill="auto"/>
            <w:vAlign w:val="center"/>
          </w:tcPr>
          <w:p w14:paraId="64A88C9C" w14:textId="77777777" w:rsidR="008D6614" w:rsidRDefault="008D6614">
            <w:pPr>
              <w:rPr>
                <w:rFonts w:ascii="宋体"/>
              </w:rPr>
            </w:pPr>
          </w:p>
        </w:tc>
      </w:tr>
      <w:tr w:rsidR="008D6614" w14:paraId="64A88CAA" w14:textId="77777777">
        <w:trPr>
          <w:jc w:val="center"/>
        </w:trPr>
        <w:tc>
          <w:tcPr>
            <w:tcW w:w="0" w:type="auto"/>
            <w:gridSpan w:val="3"/>
            <w:shd w:val="clear" w:color="auto" w:fill="FFFFFF"/>
            <w:tcMar>
              <w:top w:w="40" w:type="dxa"/>
              <w:left w:w="495" w:type="dxa"/>
              <w:bottom w:w="40" w:type="dxa"/>
              <w:right w:w="20" w:type="dxa"/>
            </w:tcMar>
            <w:vAlign w:val="bottom"/>
          </w:tcPr>
          <w:p w14:paraId="64A88C9E" w14:textId="77777777" w:rsidR="008D6614" w:rsidRDefault="00866AF2">
            <w:pPr>
              <w:textAlignment w:val="bottom"/>
            </w:pPr>
            <w:r>
              <w:rPr>
                <w:rFonts w:ascii="Arial" w:eastAsia="宋体" w:hAnsi="Arial" w:cs="Arial"/>
                <w:color w:val="000000"/>
                <w:sz w:val="18"/>
                <w:szCs w:val="18"/>
              </w:rPr>
              <w:t>(Gain) loss on investments, net</w:t>
            </w:r>
          </w:p>
        </w:tc>
        <w:tc>
          <w:tcPr>
            <w:tcW w:w="0" w:type="auto"/>
            <w:gridSpan w:val="2"/>
            <w:shd w:val="clear" w:color="auto" w:fill="FFFFFF"/>
            <w:tcMar>
              <w:top w:w="40" w:type="dxa"/>
              <w:left w:w="20" w:type="dxa"/>
              <w:bottom w:w="40" w:type="dxa"/>
              <w:right w:w="0" w:type="dxa"/>
            </w:tcMar>
            <w:vAlign w:val="bottom"/>
          </w:tcPr>
          <w:p w14:paraId="64A88C9F" w14:textId="77777777" w:rsidR="008D6614" w:rsidRDefault="00866AF2">
            <w:pPr>
              <w:jc w:val="right"/>
              <w:textAlignment w:val="bottom"/>
            </w:pPr>
            <w:r>
              <w:rPr>
                <w:rFonts w:ascii="Arial" w:eastAsia="宋体" w:hAnsi="Arial" w:cs="Arial"/>
                <w:color w:val="000000"/>
                <w:sz w:val="18"/>
                <w:szCs w:val="18"/>
              </w:rPr>
              <w:t>(38)</w:t>
            </w:r>
          </w:p>
        </w:tc>
        <w:tc>
          <w:tcPr>
            <w:tcW w:w="0" w:type="auto"/>
            <w:shd w:val="clear" w:color="auto" w:fill="FFFFFF"/>
            <w:tcMar>
              <w:top w:w="40" w:type="dxa"/>
              <w:bottom w:w="40" w:type="dxa"/>
              <w:right w:w="20" w:type="dxa"/>
            </w:tcMar>
            <w:vAlign w:val="bottom"/>
          </w:tcPr>
          <w:p w14:paraId="64A88CA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CA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CA2" w14:textId="77777777" w:rsidR="008D6614" w:rsidRDefault="00866AF2">
            <w:pPr>
              <w:jc w:val="right"/>
              <w:textAlignment w:val="bottom"/>
            </w:pPr>
            <w:r>
              <w:rPr>
                <w:rFonts w:ascii="Arial" w:eastAsia="宋体" w:hAnsi="Arial" w:cs="Arial"/>
                <w:color w:val="000000"/>
                <w:sz w:val="18"/>
                <w:szCs w:val="18"/>
              </w:rPr>
              <w:t>1 </w:t>
            </w:r>
          </w:p>
        </w:tc>
        <w:tc>
          <w:tcPr>
            <w:tcW w:w="0" w:type="auto"/>
            <w:shd w:val="clear" w:color="auto" w:fill="FFFFFF"/>
            <w:tcMar>
              <w:top w:w="40" w:type="dxa"/>
              <w:bottom w:w="40" w:type="dxa"/>
              <w:right w:w="20" w:type="dxa"/>
            </w:tcMar>
            <w:vAlign w:val="bottom"/>
          </w:tcPr>
          <w:p w14:paraId="64A88CA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A4" w14:textId="77777777" w:rsidR="008D6614" w:rsidRDefault="008D6614">
            <w:pPr>
              <w:rPr>
                <w:rFonts w:ascii="宋体"/>
              </w:rPr>
            </w:pPr>
          </w:p>
        </w:tc>
        <w:tc>
          <w:tcPr>
            <w:tcW w:w="0" w:type="auto"/>
            <w:shd w:val="clear" w:color="auto" w:fill="auto"/>
            <w:vAlign w:val="center"/>
          </w:tcPr>
          <w:p w14:paraId="64A88CA5" w14:textId="77777777" w:rsidR="008D6614" w:rsidRDefault="008D6614">
            <w:pPr>
              <w:rPr>
                <w:rFonts w:ascii="宋体"/>
              </w:rPr>
            </w:pPr>
          </w:p>
        </w:tc>
        <w:tc>
          <w:tcPr>
            <w:tcW w:w="0" w:type="auto"/>
            <w:shd w:val="clear" w:color="auto" w:fill="auto"/>
            <w:vAlign w:val="center"/>
          </w:tcPr>
          <w:p w14:paraId="64A88CA6" w14:textId="77777777" w:rsidR="008D6614" w:rsidRDefault="008D6614">
            <w:pPr>
              <w:rPr>
                <w:rFonts w:ascii="宋体"/>
              </w:rPr>
            </w:pPr>
          </w:p>
        </w:tc>
        <w:tc>
          <w:tcPr>
            <w:tcW w:w="0" w:type="auto"/>
            <w:shd w:val="clear" w:color="auto" w:fill="auto"/>
            <w:vAlign w:val="center"/>
          </w:tcPr>
          <w:p w14:paraId="64A88CA7" w14:textId="77777777" w:rsidR="008D6614" w:rsidRDefault="008D6614">
            <w:pPr>
              <w:rPr>
                <w:rFonts w:ascii="宋体"/>
              </w:rPr>
            </w:pPr>
          </w:p>
        </w:tc>
        <w:tc>
          <w:tcPr>
            <w:tcW w:w="0" w:type="auto"/>
            <w:shd w:val="clear" w:color="auto" w:fill="auto"/>
            <w:vAlign w:val="center"/>
          </w:tcPr>
          <w:p w14:paraId="64A88CA8" w14:textId="77777777" w:rsidR="008D6614" w:rsidRDefault="008D6614">
            <w:pPr>
              <w:rPr>
                <w:rFonts w:ascii="宋体"/>
              </w:rPr>
            </w:pPr>
          </w:p>
        </w:tc>
        <w:tc>
          <w:tcPr>
            <w:tcW w:w="0" w:type="auto"/>
            <w:shd w:val="clear" w:color="auto" w:fill="auto"/>
            <w:vAlign w:val="center"/>
          </w:tcPr>
          <w:p w14:paraId="64A88CA9" w14:textId="77777777" w:rsidR="008D6614" w:rsidRDefault="008D6614">
            <w:pPr>
              <w:rPr>
                <w:rFonts w:ascii="宋体"/>
              </w:rPr>
            </w:pPr>
          </w:p>
        </w:tc>
      </w:tr>
      <w:tr w:rsidR="008D6614" w14:paraId="64A88CB7" w14:textId="77777777">
        <w:trPr>
          <w:jc w:val="center"/>
        </w:trPr>
        <w:tc>
          <w:tcPr>
            <w:tcW w:w="0" w:type="auto"/>
            <w:gridSpan w:val="3"/>
            <w:shd w:val="clear" w:color="auto" w:fill="DDDDDD"/>
            <w:tcMar>
              <w:top w:w="40" w:type="dxa"/>
              <w:left w:w="495" w:type="dxa"/>
              <w:bottom w:w="40" w:type="dxa"/>
              <w:right w:w="20" w:type="dxa"/>
            </w:tcMar>
            <w:vAlign w:val="bottom"/>
          </w:tcPr>
          <w:p w14:paraId="64A88CAB" w14:textId="77777777" w:rsidR="008D6614" w:rsidRDefault="00866AF2">
            <w:pPr>
              <w:textAlignment w:val="bottom"/>
            </w:pPr>
            <w:r>
              <w:rPr>
                <w:rFonts w:ascii="Arial" w:eastAsia="宋体" w:hAnsi="Arial" w:cs="Arial"/>
                <w:color w:val="000000"/>
                <w:sz w:val="18"/>
                <w:szCs w:val="18"/>
              </w:rPr>
              <w:t>Deferred income taxes</w:t>
            </w:r>
          </w:p>
        </w:tc>
        <w:tc>
          <w:tcPr>
            <w:tcW w:w="0" w:type="auto"/>
            <w:gridSpan w:val="2"/>
            <w:shd w:val="clear" w:color="auto" w:fill="DDDDDD"/>
            <w:tcMar>
              <w:top w:w="40" w:type="dxa"/>
              <w:left w:w="20" w:type="dxa"/>
              <w:bottom w:w="40" w:type="dxa"/>
              <w:right w:w="0" w:type="dxa"/>
            </w:tcMar>
            <w:vAlign w:val="bottom"/>
          </w:tcPr>
          <w:p w14:paraId="64A88CAC" w14:textId="77777777" w:rsidR="008D6614" w:rsidRDefault="00866AF2">
            <w:pPr>
              <w:jc w:val="right"/>
              <w:textAlignment w:val="bottom"/>
            </w:pPr>
            <w:r>
              <w:rPr>
                <w:rFonts w:ascii="Arial" w:eastAsia="宋体" w:hAnsi="Arial" w:cs="Arial"/>
                <w:color w:val="000000"/>
                <w:sz w:val="18"/>
                <w:szCs w:val="18"/>
              </w:rPr>
              <w:t>52 </w:t>
            </w:r>
          </w:p>
        </w:tc>
        <w:tc>
          <w:tcPr>
            <w:tcW w:w="0" w:type="auto"/>
            <w:shd w:val="clear" w:color="auto" w:fill="DDDDDD"/>
            <w:tcMar>
              <w:top w:w="40" w:type="dxa"/>
              <w:bottom w:w="40" w:type="dxa"/>
              <w:right w:w="20" w:type="dxa"/>
            </w:tcMar>
            <w:vAlign w:val="bottom"/>
          </w:tcPr>
          <w:p w14:paraId="64A88CA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CAE"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8CAF" w14:textId="77777777" w:rsidR="008D6614" w:rsidRDefault="00866AF2">
            <w:pPr>
              <w:jc w:val="right"/>
              <w:textAlignment w:val="bottom"/>
            </w:pPr>
            <w:r>
              <w:rPr>
                <w:rFonts w:ascii="Arial" w:eastAsia="宋体" w:hAnsi="Arial" w:cs="Arial"/>
                <w:color w:val="000000"/>
                <w:sz w:val="18"/>
                <w:szCs w:val="18"/>
              </w:rPr>
              <w:t>21 </w:t>
            </w:r>
          </w:p>
        </w:tc>
        <w:tc>
          <w:tcPr>
            <w:tcW w:w="0" w:type="auto"/>
            <w:shd w:val="clear" w:color="auto" w:fill="DDDDDD"/>
            <w:tcMar>
              <w:top w:w="40" w:type="dxa"/>
              <w:bottom w:w="40" w:type="dxa"/>
              <w:right w:w="20" w:type="dxa"/>
            </w:tcMar>
            <w:vAlign w:val="bottom"/>
          </w:tcPr>
          <w:p w14:paraId="64A88CB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B1" w14:textId="77777777" w:rsidR="008D6614" w:rsidRDefault="008D6614">
            <w:pPr>
              <w:rPr>
                <w:rFonts w:ascii="宋体"/>
              </w:rPr>
            </w:pPr>
          </w:p>
        </w:tc>
        <w:tc>
          <w:tcPr>
            <w:tcW w:w="0" w:type="auto"/>
            <w:shd w:val="clear" w:color="auto" w:fill="auto"/>
            <w:vAlign w:val="center"/>
          </w:tcPr>
          <w:p w14:paraId="64A88CB2" w14:textId="77777777" w:rsidR="008D6614" w:rsidRDefault="008D6614">
            <w:pPr>
              <w:rPr>
                <w:rFonts w:ascii="宋体"/>
              </w:rPr>
            </w:pPr>
          </w:p>
        </w:tc>
        <w:tc>
          <w:tcPr>
            <w:tcW w:w="0" w:type="auto"/>
            <w:shd w:val="clear" w:color="auto" w:fill="auto"/>
            <w:vAlign w:val="center"/>
          </w:tcPr>
          <w:p w14:paraId="64A88CB3" w14:textId="77777777" w:rsidR="008D6614" w:rsidRDefault="008D6614">
            <w:pPr>
              <w:rPr>
                <w:rFonts w:ascii="宋体"/>
              </w:rPr>
            </w:pPr>
          </w:p>
        </w:tc>
        <w:tc>
          <w:tcPr>
            <w:tcW w:w="0" w:type="auto"/>
            <w:shd w:val="clear" w:color="auto" w:fill="auto"/>
            <w:vAlign w:val="center"/>
          </w:tcPr>
          <w:p w14:paraId="64A88CB4" w14:textId="77777777" w:rsidR="008D6614" w:rsidRDefault="008D6614">
            <w:pPr>
              <w:rPr>
                <w:rFonts w:ascii="宋体"/>
              </w:rPr>
            </w:pPr>
          </w:p>
        </w:tc>
        <w:tc>
          <w:tcPr>
            <w:tcW w:w="0" w:type="auto"/>
            <w:shd w:val="clear" w:color="auto" w:fill="auto"/>
            <w:vAlign w:val="center"/>
          </w:tcPr>
          <w:p w14:paraId="64A88CB5" w14:textId="77777777" w:rsidR="008D6614" w:rsidRDefault="008D6614">
            <w:pPr>
              <w:rPr>
                <w:rFonts w:ascii="宋体"/>
              </w:rPr>
            </w:pPr>
          </w:p>
        </w:tc>
        <w:tc>
          <w:tcPr>
            <w:tcW w:w="0" w:type="auto"/>
            <w:shd w:val="clear" w:color="auto" w:fill="auto"/>
            <w:vAlign w:val="center"/>
          </w:tcPr>
          <w:p w14:paraId="64A88CB6" w14:textId="77777777" w:rsidR="008D6614" w:rsidRDefault="008D6614">
            <w:pPr>
              <w:rPr>
                <w:rFonts w:ascii="宋体"/>
              </w:rPr>
            </w:pPr>
          </w:p>
        </w:tc>
      </w:tr>
      <w:tr w:rsidR="008D6614" w14:paraId="64A88CC4" w14:textId="77777777">
        <w:trPr>
          <w:jc w:val="center"/>
        </w:trPr>
        <w:tc>
          <w:tcPr>
            <w:tcW w:w="0" w:type="auto"/>
            <w:gridSpan w:val="3"/>
            <w:shd w:val="clear" w:color="auto" w:fill="FFFFFF"/>
            <w:tcMar>
              <w:top w:w="40" w:type="dxa"/>
              <w:left w:w="495" w:type="dxa"/>
              <w:bottom w:w="40" w:type="dxa"/>
              <w:right w:w="20" w:type="dxa"/>
            </w:tcMar>
            <w:vAlign w:val="bottom"/>
          </w:tcPr>
          <w:p w14:paraId="64A88CB8" w14:textId="77777777" w:rsidR="008D6614" w:rsidRDefault="00866AF2">
            <w:pPr>
              <w:textAlignment w:val="bottom"/>
            </w:pPr>
            <w:r>
              <w:rPr>
                <w:rFonts w:ascii="Arial" w:eastAsia="宋体" w:hAnsi="Arial" w:cs="Arial"/>
                <w:color w:val="000000"/>
                <w:sz w:val="18"/>
                <w:szCs w:val="18"/>
              </w:rPr>
              <w:t>Change in fair value of warrant</w:t>
            </w:r>
          </w:p>
        </w:tc>
        <w:tc>
          <w:tcPr>
            <w:tcW w:w="0" w:type="auto"/>
            <w:gridSpan w:val="2"/>
            <w:shd w:val="clear" w:color="auto" w:fill="FFFFFF"/>
            <w:tcMar>
              <w:top w:w="40" w:type="dxa"/>
              <w:left w:w="20" w:type="dxa"/>
              <w:bottom w:w="40" w:type="dxa"/>
              <w:right w:w="0" w:type="dxa"/>
            </w:tcMar>
            <w:vAlign w:val="bottom"/>
          </w:tcPr>
          <w:p w14:paraId="64A88CB9" w14:textId="77777777" w:rsidR="008D6614" w:rsidRDefault="00866AF2">
            <w:pPr>
              <w:jc w:val="right"/>
              <w:textAlignment w:val="bottom"/>
            </w:pPr>
            <w:r>
              <w:rPr>
                <w:rFonts w:ascii="Arial" w:eastAsia="宋体" w:hAnsi="Arial" w:cs="Arial"/>
                <w:color w:val="000000"/>
                <w:sz w:val="18"/>
                <w:szCs w:val="18"/>
              </w:rPr>
              <w:t>(12)</w:t>
            </w:r>
          </w:p>
        </w:tc>
        <w:tc>
          <w:tcPr>
            <w:tcW w:w="0" w:type="auto"/>
            <w:shd w:val="clear" w:color="auto" w:fill="FFFFFF"/>
            <w:tcMar>
              <w:top w:w="40" w:type="dxa"/>
              <w:bottom w:w="40" w:type="dxa"/>
              <w:right w:w="20" w:type="dxa"/>
            </w:tcMar>
            <w:vAlign w:val="bottom"/>
          </w:tcPr>
          <w:p w14:paraId="64A88CB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CB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CBC" w14:textId="77777777" w:rsidR="008D6614" w:rsidRDefault="00866AF2">
            <w:pPr>
              <w:jc w:val="right"/>
              <w:textAlignment w:val="bottom"/>
            </w:pPr>
            <w:r>
              <w:rPr>
                <w:rFonts w:ascii="Arial" w:eastAsia="宋体" w:hAnsi="Arial" w:cs="Arial"/>
                <w:color w:val="000000"/>
                <w:sz w:val="18"/>
                <w:szCs w:val="18"/>
              </w:rPr>
              <w:t>(113)</w:t>
            </w:r>
          </w:p>
        </w:tc>
        <w:tc>
          <w:tcPr>
            <w:tcW w:w="0" w:type="auto"/>
            <w:shd w:val="clear" w:color="auto" w:fill="FFFFFF"/>
            <w:tcMar>
              <w:top w:w="40" w:type="dxa"/>
              <w:bottom w:w="40" w:type="dxa"/>
              <w:right w:w="20" w:type="dxa"/>
            </w:tcMar>
            <w:vAlign w:val="bottom"/>
          </w:tcPr>
          <w:p w14:paraId="64A88CB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BE" w14:textId="77777777" w:rsidR="008D6614" w:rsidRDefault="008D6614">
            <w:pPr>
              <w:rPr>
                <w:rFonts w:ascii="宋体"/>
              </w:rPr>
            </w:pPr>
          </w:p>
        </w:tc>
        <w:tc>
          <w:tcPr>
            <w:tcW w:w="0" w:type="auto"/>
            <w:shd w:val="clear" w:color="auto" w:fill="auto"/>
            <w:vAlign w:val="center"/>
          </w:tcPr>
          <w:p w14:paraId="64A88CBF" w14:textId="77777777" w:rsidR="008D6614" w:rsidRDefault="008D6614">
            <w:pPr>
              <w:rPr>
                <w:rFonts w:ascii="宋体"/>
              </w:rPr>
            </w:pPr>
          </w:p>
        </w:tc>
        <w:tc>
          <w:tcPr>
            <w:tcW w:w="0" w:type="auto"/>
            <w:shd w:val="clear" w:color="auto" w:fill="auto"/>
            <w:vAlign w:val="center"/>
          </w:tcPr>
          <w:p w14:paraId="64A88CC0" w14:textId="77777777" w:rsidR="008D6614" w:rsidRDefault="008D6614">
            <w:pPr>
              <w:rPr>
                <w:rFonts w:ascii="宋体"/>
              </w:rPr>
            </w:pPr>
          </w:p>
        </w:tc>
        <w:tc>
          <w:tcPr>
            <w:tcW w:w="0" w:type="auto"/>
            <w:shd w:val="clear" w:color="auto" w:fill="auto"/>
            <w:vAlign w:val="center"/>
          </w:tcPr>
          <w:p w14:paraId="64A88CC1" w14:textId="77777777" w:rsidR="008D6614" w:rsidRDefault="008D6614">
            <w:pPr>
              <w:rPr>
                <w:rFonts w:ascii="宋体"/>
              </w:rPr>
            </w:pPr>
          </w:p>
        </w:tc>
        <w:tc>
          <w:tcPr>
            <w:tcW w:w="0" w:type="auto"/>
            <w:shd w:val="clear" w:color="auto" w:fill="auto"/>
            <w:vAlign w:val="center"/>
          </w:tcPr>
          <w:p w14:paraId="64A88CC2" w14:textId="77777777" w:rsidR="008D6614" w:rsidRDefault="008D6614">
            <w:pPr>
              <w:rPr>
                <w:rFonts w:ascii="宋体"/>
              </w:rPr>
            </w:pPr>
          </w:p>
        </w:tc>
        <w:tc>
          <w:tcPr>
            <w:tcW w:w="0" w:type="auto"/>
            <w:shd w:val="clear" w:color="auto" w:fill="auto"/>
            <w:vAlign w:val="center"/>
          </w:tcPr>
          <w:p w14:paraId="64A88CC3" w14:textId="77777777" w:rsidR="008D6614" w:rsidRDefault="008D6614">
            <w:pPr>
              <w:rPr>
                <w:rFonts w:ascii="宋体"/>
              </w:rPr>
            </w:pPr>
          </w:p>
        </w:tc>
      </w:tr>
      <w:tr w:rsidR="008D6614" w14:paraId="64A88CCF" w14:textId="77777777">
        <w:trPr>
          <w:jc w:val="center"/>
          <w:hidden/>
        </w:trPr>
        <w:tc>
          <w:tcPr>
            <w:tcW w:w="0" w:type="auto"/>
            <w:gridSpan w:val="3"/>
            <w:shd w:val="clear" w:color="auto" w:fill="auto"/>
            <w:vAlign w:val="center"/>
          </w:tcPr>
          <w:p w14:paraId="64A88CC5" w14:textId="77777777" w:rsidR="008D6614" w:rsidRDefault="008D6614">
            <w:pPr>
              <w:rPr>
                <w:rFonts w:ascii="宋体"/>
                <w:vanish/>
              </w:rPr>
            </w:pPr>
          </w:p>
        </w:tc>
        <w:tc>
          <w:tcPr>
            <w:tcW w:w="0" w:type="auto"/>
            <w:gridSpan w:val="3"/>
            <w:shd w:val="clear" w:color="auto" w:fill="auto"/>
            <w:vAlign w:val="center"/>
          </w:tcPr>
          <w:p w14:paraId="64A88CC6" w14:textId="77777777" w:rsidR="008D6614" w:rsidRDefault="008D6614">
            <w:pPr>
              <w:rPr>
                <w:rFonts w:ascii="宋体"/>
                <w:vanish/>
              </w:rPr>
            </w:pPr>
          </w:p>
        </w:tc>
        <w:tc>
          <w:tcPr>
            <w:tcW w:w="0" w:type="auto"/>
            <w:gridSpan w:val="3"/>
            <w:shd w:val="clear" w:color="auto" w:fill="auto"/>
            <w:vAlign w:val="center"/>
          </w:tcPr>
          <w:p w14:paraId="64A88CC7" w14:textId="77777777" w:rsidR="008D6614" w:rsidRDefault="008D6614">
            <w:pPr>
              <w:rPr>
                <w:rFonts w:ascii="宋体"/>
                <w:vanish/>
              </w:rPr>
            </w:pPr>
          </w:p>
        </w:tc>
        <w:tc>
          <w:tcPr>
            <w:tcW w:w="0" w:type="auto"/>
            <w:gridSpan w:val="3"/>
            <w:shd w:val="clear" w:color="auto" w:fill="auto"/>
            <w:vAlign w:val="center"/>
          </w:tcPr>
          <w:p w14:paraId="64A88CC8" w14:textId="77777777" w:rsidR="008D6614" w:rsidRDefault="008D6614">
            <w:pPr>
              <w:rPr>
                <w:rFonts w:ascii="宋体"/>
                <w:vanish/>
              </w:rPr>
            </w:pPr>
          </w:p>
        </w:tc>
        <w:tc>
          <w:tcPr>
            <w:tcW w:w="0" w:type="auto"/>
            <w:shd w:val="clear" w:color="auto" w:fill="auto"/>
            <w:vAlign w:val="center"/>
          </w:tcPr>
          <w:p w14:paraId="64A88CC9" w14:textId="77777777" w:rsidR="008D6614" w:rsidRDefault="008D6614">
            <w:pPr>
              <w:rPr>
                <w:rFonts w:ascii="宋体"/>
              </w:rPr>
            </w:pPr>
          </w:p>
        </w:tc>
        <w:tc>
          <w:tcPr>
            <w:tcW w:w="0" w:type="auto"/>
            <w:shd w:val="clear" w:color="auto" w:fill="auto"/>
            <w:vAlign w:val="center"/>
          </w:tcPr>
          <w:p w14:paraId="64A88CCA" w14:textId="77777777" w:rsidR="008D6614" w:rsidRDefault="008D6614">
            <w:pPr>
              <w:rPr>
                <w:rFonts w:ascii="宋体"/>
              </w:rPr>
            </w:pPr>
          </w:p>
        </w:tc>
        <w:tc>
          <w:tcPr>
            <w:tcW w:w="0" w:type="auto"/>
            <w:shd w:val="clear" w:color="auto" w:fill="auto"/>
            <w:vAlign w:val="center"/>
          </w:tcPr>
          <w:p w14:paraId="64A88CCB" w14:textId="77777777" w:rsidR="008D6614" w:rsidRDefault="008D6614">
            <w:pPr>
              <w:rPr>
                <w:rFonts w:ascii="宋体"/>
              </w:rPr>
            </w:pPr>
          </w:p>
        </w:tc>
        <w:tc>
          <w:tcPr>
            <w:tcW w:w="0" w:type="auto"/>
            <w:shd w:val="clear" w:color="auto" w:fill="auto"/>
            <w:vAlign w:val="center"/>
          </w:tcPr>
          <w:p w14:paraId="64A88CCC" w14:textId="77777777" w:rsidR="008D6614" w:rsidRDefault="008D6614">
            <w:pPr>
              <w:rPr>
                <w:rFonts w:ascii="宋体"/>
              </w:rPr>
            </w:pPr>
          </w:p>
        </w:tc>
        <w:tc>
          <w:tcPr>
            <w:tcW w:w="0" w:type="auto"/>
            <w:shd w:val="clear" w:color="auto" w:fill="auto"/>
            <w:vAlign w:val="center"/>
          </w:tcPr>
          <w:p w14:paraId="64A88CCD" w14:textId="77777777" w:rsidR="008D6614" w:rsidRDefault="008D6614">
            <w:pPr>
              <w:rPr>
                <w:rFonts w:ascii="宋体"/>
              </w:rPr>
            </w:pPr>
          </w:p>
        </w:tc>
        <w:tc>
          <w:tcPr>
            <w:tcW w:w="0" w:type="auto"/>
            <w:shd w:val="clear" w:color="auto" w:fill="auto"/>
            <w:vAlign w:val="center"/>
          </w:tcPr>
          <w:p w14:paraId="64A88CCE" w14:textId="77777777" w:rsidR="008D6614" w:rsidRDefault="008D6614">
            <w:pPr>
              <w:rPr>
                <w:rFonts w:ascii="宋体"/>
              </w:rPr>
            </w:pPr>
          </w:p>
        </w:tc>
      </w:tr>
      <w:tr w:rsidR="008D6614" w14:paraId="64A88CDC" w14:textId="77777777">
        <w:trPr>
          <w:jc w:val="center"/>
        </w:trPr>
        <w:tc>
          <w:tcPr>
            <w:tcW w:w="0" w:type="auto"/>
            <w:gridSpan w:val="3"/>
            <w:shd w:val="clear" w:color="auto" w:fill="DDDDDD"/>
            <w:tcMar>
              <w:top w:w="40" w:type="dxa"/>
              <w:left w:w="495" w:type="dxa"/>
              <w:bottom w:w="40" w:type="dxa"/>
              <w:right w:w="20" w:type="dxa"/>
            </w:tcMar>
            <w:vAlign w:val="bottom"/>
          </w:tcPr>
          <w:p w14:paraId="64A88CD0" w14:textId="77777777" w:rsidR="008D6614" w:rsidRDefault="00866AF2">
            <w:pPr>
              <w:textAlignment w:val="bottom"/>
            </w:pPr>
            <w:r>
              <w:rPr>
                <w:rFonts w:ascii="Arial" w:eastAsia="宋体" w:hAnsi="Arial" w:cs="Arial"/>
                <w:color w:val="000000"/>
                <w:sz w:val="18"/>
                <w:szCs w:val="18"/>
              </w:rPr>
              <w:t>Changes in assets and liabilities, net of acquisition effects</w:t>
            </w:r>
          </w:p>
        </w:tc>
        <w:tc>
          <w:tcPr>
            <w:tcW w:w="0" w:type="auto"/>
            <w:gridSpan w:val="2"/>
            <w:shd w:val="clear" w:color="auto" w:fill="DDDDDD"/>
            <w:tcMar>
              <w:top w:w="40" w:type="dxa"/>
              <w:left w:w="20" w:type="dxa"/>
              <w:bottom w:w="40" w:type="dxa"/>
              <w:right w:w="0" w:type="dxa"/>
            </w:tcMar>
            <w:vAlign w:val="bottom"/>
          </w:tcPr>
          <w:p w14:paraId="64A88CD1" w14:textId="77777777" w:rsidR="008D6614" w:rsidRDefault="00866AF2">
            <w:pPr>
              <w:jc w:val="right"/>
              <w:textAlignment w:val="bottom"/>
            </w:pPr>
            <w:r>
              <w:rPr>
                <w:rFonts w:ascii="Arial" w:eastAsia="宋体" w:hAnsi="Arial" w:cs="Arial"/>
                <w:color w:val="000000"/>
                <w:sz w:val="18"/>
                <w:szCs w:val="18"/>
              </w:rPr>
              <w:t>(134)</w:t>
            </w:r>
          </w:p>
        </w:tc>
        <w:tc>
          <w:tcPr>
            <w:tcW w:w="0" w:type="auto"/>
            <w:shd w:val="clear" w:color="auto" w:fill="DDDDDD"/>
            <w:tcMar>
              <w:top w:w="40" w:type="dxa"/>
              <w:bottom w:w="40" w:type="dxa"/>
              <w:right w:w="20" w:type="dxa"/>
            </w:tcMar>
            <w:vAlign w:val="bottom"/>
          </w:tcPr>
          <w:p w14:paraId="64A88CD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CD3"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8CD4" w14:textId="77777777" w:rsidR="008D6614" w:rsidRDefault="00866AF2">
            <w:pPr>
              <w:jc w:val="right"/>
              <w:textAlignment w:val="bottom"/>
            </w:pPr>
            <w:r>
              <w:rPr>
                <w:rFonts w:ascii="Arial" w:eastAsia="宋体" w:hAnsi="Arial" w:cs="Arial"/>
                <w:color w:val="000000"/>
                <w:sz w:val="18"/>
                <w:szCs w:val="18"/>
              </w:rPr>
              <w:t>(194)</w:t>
            </w:r>
          </w:p>
        </w:tc>
        <w:tc>
          <w:tcPr>
            <w:tcW w:w="0" w:type="auto"/>
            <w:shd w:val="clear" w:color="auto" w:fill="DDDDDD"/>
            <w:tcMar>
              <w:top w:w="40" w:type="dxa"/>
              <w:bottom w:w="40" w:type="dxa"/>
              <w:right w:w="20" w:type="dxa"/>
            </w:tcMar>
            <w:vAlign w:val="bottom"/>
          </w:tcPr>
          <w:p w14:paraId="64A88CD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D6" w14:textId="77777777" w:rsidR="008D6614" w:rsidRDefault="008D6614">
            <w:pPr>
              <w:rPr>
                <w:rFonts w:ascii="宋体"/>
              </w:rPr>
            </w:pPr>
          </w:p>
        </w:tc>
        <w:tc>
          <w:tcPr>
            <w:tcW w:w="0" w:type="auto"/>
            <w:shd w:val="clear" w:color="auto" w:fill="auto"/>
            <w:vAlign w:val="center"/>
          </w:tcPr>
          <w:p w14:paraId="64A88CD7" w14:textId="77777777" w:rsidR="008D6614" w:rsidRDefault="008D6614">
            <w:pPr>
              <w:rPr>
                <w:rFonts w:ascii="宋体"/>
              </w:rPr>
            </w:pPr>
          </w:p>
        </w:tc>
        <w:tc>
          <w:tcPr>
            <w:tcW w:w="0" w:type="auto"/>
            <w:shd w:val="clear" w:color="auto" w:fill="auto"/>
            <w:vAlign w:val="center"/>
          </w:tcPr>
          <w:p w14:paraId="64A88CD8" w14:textId="77777777" w:rsidR="008D6614" w:rsidRDefault="008D6614">
            <w:pPr>
              <w:rPr>
                <w:rFonts w:ascii="宋体"/>
              </w:rPr>
            </w:pPr>
          </w:p>
        </w:tc>
        <w:tc>
          <w:tcPr>
            <w:tcW w:w="0" w:type="auto"/>
            <w:shd w:val="clear" w:color="auto" w:fill="auto"/>
            <w:vAlign w:val="center"/>
          </w:tcPr>
          <w:p w14:paraId="64A88CD9" w14:textId="77777777" w:rsidR="008D6614" w:rsidRDefault="008D6614">
            <w:pPr>
              <w:rPr>
                <w:rFonts w:ascii="宋体"/>
              </w:rPr>
            </w:pPr>
          </w:p>
        </w:tc>
        <w:tc>
          <w:tcPr>
            <w:tcW w:w="0" w:type="auto"/>
            <w:shd w:val="clear" w:color="auto" w:fill="auto"/>
            <w:vAlign w:val="center"/>
          </w:tcPr>
          <w:p w14:paraId="64A88CDA" w14:textId="77777777" w:rsidR="008D6614" w:rsidRDefault="008D6614">
            <w:pPr>
              <w:rPr>
                <w:rFonts w:ascii="宋体"/>
              </w:rPr>
            </w:pPr>
          </w:p>
        </w:tc>
        <w:tc>
          <w:tcPr>
            <w:tcW w:w="0" w:type="auto"/>
            <w:shd w:val="clear" w:color="auto" w:fill="auto"/>
            <w:vAlign w:val="center"/>
          </w:tcPr>
          <w:p w14:paraId="64A88CDB" w14:textId="77777777" w:rsidR="008D6614" w:rsidRDefault="008D6614">
            <w:pPr>
              <w:rPr>
                <w:rFonts w:ascii="宋体"/>
              </w:rPr>
            </w:pPr>
          </w:p>
        </w:tc>
      </w:tr>
      <w:tr w:rsidR="008D6614" w14:paraId="64A88CE9" w14:textId="77777777">
        <w:trPr>
          <w:jc w:val="center"/>
        </w:trPr>
        <w:tc>
          <w:tcPr>
            <w:tcW w:w="0" w:type="auto"/>
            <w:gridSpan w:val="3"/>
            <w:shd w:val="clear" w:color="auto" w:fill="FFFFFF"/>
            <w:tcMar>
              <w:top w:w="40" w:type="dxa"/>
              <w:left w:w="225" w:type="dxa"/>
              <w:bottom w:w="40" w:type="dxa"/>
              <w:right w:w="20" w:type="dxa"/>
            </w:tcMar>
            <w:vAlign w:val="bottom"/>
          </w:tcPr>
          <w:p w14:paraId="64A88CDD" w14:textId="77777777" w:rsidR="008D6614" w:rsidRDefault="00866AF2">
            <w:pPr>
              <w:textAlignment w:val="bottom"/>
            </w:pPr>
            <w:r>
              <w:rPr>
                <w:rFonts w:ascii="Arial" w:eastAsia="宋体" w:hAnsi="Arial" w:cs="Arial"/>
                <w:color w:val="000000"/>
                <w:sz w:val="18"/>
                <w:szCs w:val="18"/>
              </w:rPr>
              <w:t>Net cash provided by continuing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CDE" w14:textId="77777777" w:rsidR="008D6614" w:rsidRDefault="00866AF2">
            <w:pPr>
              <w:jc w:val="right"/>
              <w:textAlignment w:val="bottom"/>
            </w:pPr>
            <w:r>
              <w:rPr>
                <w:rFonts w:ascii="Arial" w:eastAsia="宋体" w:hAnsi="Arial" w:cs="Arial"/>
                <w:color w:val="000000"/>
                <w:sz w:val="18"/>
                <w:szCs w:val="18"/>
              </w:rPr>
              <w:t>702 </w:t>
            </w:r>
          </w:p>
        </w:tc>
        <w:tc>
          <w:tcPr>
            <w:tcW w:w="0" w:type="auto"/>
            <w:tcBorders>
              <w:top w:val="single" w:sz="8" w:space="0" w:color="000000"/>
            </w:tcBorders>
            <w:shd w:val="clear" w:color="auto" w:fill="FFFFFF"/>
            <w:tcMar>
              <w:top w:w="40" w:type="dxa"/>
              <w:bottom w:w="40" w:type="dxa"/>
              <w:right w:w="20" w:type="dxa"/>
            </w:tcMar>
            <w:vAlign w:val="bottom"/>
          </w:tcPr>
          <w:p w14:paraId="64A88CD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CE0"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CE1" w14:textId="77777777" w:rsidR="008D6614" w:rsidRDefault="00866AF2">
            <w:pPr>
              <w:jc w:val="right"/>
              <w:textAlignment w:val="bottom"/>
            </w:pPr>
            <w:r>
              <w:rPr>
                <w:rFonts w:ascii="Arial" w:eastAsia="宋体" w:hAnsi="Arial" w:cs="Arial"/>
                <w:color w:val="000000"/>
                <w:sz w:val="18"/>
                <w:szCs w:val="18"/>
              </w:rPr>
              <w:t>572 </w:t>
            </w:r>
          </w:p>
        </w:tc>
        <w:tc>
          <w:tcPr>
            <w:tcW w:w="0" w:type="auto"/>
            <w:tcBorders>
              <w:top w:val="single" w:sz="8" w:space="0" w:color="000000"/>
            </w:tcBorders>
            <w:shd w:val="clear" w:color="auto" w:fill="FFFFFF"/>
            <w:tcMar>
              <w:top w:w="40" w:type="dxa"/>
              <w:bottom w:w="40" w:type="dxa"/>
              <w:right w:w="20" w:type="dxa"/>
            </w:tcMar>
            <w:vAlign w:val="bottom"/>
          </w:tcPr>
          <w:p w14:paraId="64A88CE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E3" w14:textId="77777777" w:rsidR="008D6614" w:rsidRDefault="008D6614">
            <w:pPr>
              <w:rPr>
                <w:rFonts w:ascii="宋体"/>
              </w:rPr>
            </w:pPr>
          </w:p>
        </w:tc>
        <w:tc>
          <w:tcPr>
            <w:tcW w:w="0" w:type="auto"/>
            <w:shd w:val="clear" w:color="auto" w:fill="auto"/>
            <w:vAlign w:val="center"/>
          </w:tcPr>
          <w:p w14:paraId="64A88CE4" w14:textId="77777777" w:rsidR="008D6614" w:rsidRDefault="008D6614">
            <w:pPr>
              <w:rPr>
                <w:rFonts w:ascii="宋体"/>
              </w:rPr>
            </w:pPr>
          </w:p>
        </w:tc>
        <w:tc>
          <w:tcPr>
            <w:tcW w:w="0" w:type="auto"/>
            <w:shd w:val="clear" w:color="auto" w:fill="auto"/>
            <w:vAlign w:val="center"/>
          </w:tcPr>
          <w:p w14:paraId="64A88CE5" w14:textId="77777777" w:rsidR="008D6614" w:rsidRDefault="008D6614">
            <w:pPr>
              <w:rPr>
                <w:rFonts w:ascii="宋体"/>
              </w:rPr>
            </w:pPr>
          </w:p>
        </w:tc>
        <w:tc>
          <w:tcPr>
            <w:tcW w:w="0" w:type="auto"/>
            <w:shd w:val="clear" w:color="auto" w:fill="auto"/>
            <w:vAlign w:val="center"/>
          </w:tcPr>
          <w:p w14:paraId="64A88CE6" w14:textId="77777777" w:rsidR="008D6614" w:rsidRDefault="008D6614">
            <w:pPr>
              <w:rPr>
                <w:rFonts w:ascii="宋体"/>
              </w:rPr>
            </w:pPr>
          </w:p>
        </w:tc>
        <w:tc>
          <w:tcPr>
            <w:tcW w:w="0" w:type="auto"/>
            <w:shd w:val="clear" w:color="auto" w:fill="auto"/>
            <w:vAlign w:val="center"/>
          </w:tcPr>
          <w:p w14:paraId="64A88CE7" w14:textId="77777777" w:rsidR="008D6614" w:rsidRDefault="008D6614">
            <w:pPr>
              <w:rPr>
                <w:rFonts w:ascii="宋体"/>
              </w:rPr>
            </w:pPr>
          </w:p>
        </w:tc>
        <w:tc>
          <w:tcPr>
            <w:tcW w:w="0" w:type="auto"/>
            <w:shd w:val="clear" w:color="auto" w:fill="auto"/>
            <w:vAlign w:val="center"/>
          </w:tcPr>
          <w:p w14:paraId="64A88CE8" w14:textId="77777777" w:rsidR="008D6614" w:rsidRDefault="008D6614">
            <w:pPr>
              <w:rPr>
                <w:rFonts w:ascii="宋体"/>
              </w:rPr>
            </w:pPr>
          </w:p>
        </w:tc>
      </w:tr>
      <w:tr w:rsidR="008D6614" w14:paraId="64A88CF6" w14:textId="77777777">
        <w:trPr>
          <w:jc w:val="center"/>
        </w:trPr>
        <w:tc>
          <w:tcPr>
            <w:tcW w:w="0" w:type="auto"/>
            <w:gridSpan w:val="3"/>
            <w:shd w:val="clear" w:color="auto" w:fill="DDDDDD"/>
            <w:tcMar>
              <w:top w:w="40" w:type="dxa"/>
              <w:left w:w="225" w:type="dxa"/>
              <w:bottom w:w="40" w:type="dxa"/>
              <w:right w:w="20" w:type="dxa"/>
            </w:tcMar>
            <w:vAlign w:val="bottom"/>
          </w:tcPr>
          <w:p w14:paraId="64A88CEA" w14:textId="77777777" w:rsidR="008D6614" w:rsidRDefault="00866AF2">
            <w:pPr>
              <w:textAlignment w:val="bottom"/>
            </w:pPr>
            <w:r>
              <w:rPr>
                <w:rFonts w:ascii="Arial" w:eastAsia="宋体" w:hAnsi="Arial" w:cs="Arial"/>
                <w:color w:val="000000"/>
                <w:sz w:val="18"/>
                <w:szCs w:val="18"/>
              </w:rPr>
              <w:t xml:space="preserve">Net cash provided by </w:t>
            </w:r>
            <w:r>
              <w:rPr>
                <w:rFonts w:ascii="Arial" w:eastAsia="宋体" w:hAnsi="Arial" w:cs="Arial"/>
                <w:color w:val="000000"/>
                <w:sz w:val="18"/>
                <w:szCs w:val="18"/>
              </w:rPr>
              <w:t>(used in) discontinued operating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CEB" w14:textId="77777777" w:rsidR="008D6614" w:rsidRDefault="00866AF2">
            <w:pPr>
              <w:jc w:val="right"/>
              <w:textAlignment w:val="bottom"/>
            </w:pPr>
            <w:r>
              <w:rPr>
                <w:rFonts w:ascii="Arial" w:eastAsia="宋体" w:hAnsi="Arial" w:cs="Arial"/>
                <w:color w:val="000000"/>
                <w:sz w:val="18"/>
                <w:szCs w:val="18"/>
              </w:rPr>
              <w:t>(110)</w:t>
            </w:r>
          </w:p>
        </w:tc>
        <w:tc>
          <w:tcPr>
            <w:tcW w:w="0" w:type="auto"/>
            <w:tcBorders>
              <w:top w:val="single" w:sz="8" w:space="0" w:color="000000"/>
            </w:tcBorders>
            <w:shd w:val="clear" w:color="auto" w:fill="DDDDDD"/>
            <w:tcMar>
              <w:top w:w="40" w:type="dxa"/>
              <w:bottom w:w="40" w:type="dxa"/>
              <w:right w:w="20" w:type="dxa"/>
            </w:tcMar>
            <w:vAlign w:val="bottom"/>
          </w:tcPr>
          <w:p w14:paraId="64A88CE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CED" w14:textId="77777777" w:rsidR="008D6614" w:rsidRDefault="008D6614">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CEE" w14:textId="77777777" w:rsidR="008D6614" w:rsidRDefault="00866AF2">
            <w:pPr>
              <w:jc w:val="right"/>
              <w:textAlignment w:val="bottom"/>
            </w:pPr>
            <w:r>
              <w:rPr>
                <w:rFonts w:ascii="Arial" w:eastAsia="宋体" w:hAnsi="Arial" w:cs="Arial"/>
                <w:color w:val="000000"/>
                <w:sz w:val="18"/>
                <w:szCs w:val="18"/>
              </w:rPr>
              <w:t>(22)</w:t>
            </w:r>
          </w:p>
        </w:tc>
        <w:tc>
          <w:tcPr>
            <w:tcW w:w="0" w:type="auto"/>
            <w:tcBorders>
              <w:top w:val="single" w:sz="8" w:space="0" w:color="000000"/>
            </w:tcBorders>
            <w:shd w:val="clear" w:color="auto" w:fill="DDDDDD"/>
            <w:tcMar>
              <w:top w:w="40" w:type="dxa"/>
              <w:bottom w:w="40" w:type="dxa"/>
              <w:right w:w="20" w:type="dxa"/>
            </w:tcMar>
            <w:vAlign w:val="bottom"/>
          </w:tcPr>
          <w:p w14:paraId="64A88CE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F0" w14:textId="77777777" w:rsidR="008D6614" w:rsidRDefault="008D6614">
            <w:pPr>
              <w:rPr>
                <w:rFonts w:ascii="宋体"/>
              </w:rPr>
            </w:pPr>
          </w:p>
        </w:tc>
        <w:tc>
          <w:tcPr>
            <w:tcW w:w="0" w:type="auto"/>
            <w:shd w:val="clear" w:color="auto" w:fill="auto"/>
            <w:vAlign w:val="center"/>
          </w:tcPr>
          <w:p w14:paraId="64A88CF1" w14:textId="77777777" w:rsidR="008D6614" w:rsidRDefault="008D6614">
            <w:pPr>
              <w:rPr>
                <w:rFonts w:ascii="宋体"/>
              </w:rPr>
            </w:pPr>
          </w:p>
        </w:tc>
        <w:tc>
          <w:tcPr>
            <w:tcW w:w="0" w:type="auto"/>
            <w:shd w:val="clear" w:color="auto" w:fill="auto"/>
            <w:vAlign w:val="center"/>
          </w:tcPr>
          <w:p w14:paraId="64A88CF2" w14:textId="77777777" w:rsidR="008D6614" w:rsidRDefault="008D6614">
            <w:pPr>
              <w:rPr>
                <w:rFonts w:ascii="宋体"/>
              </w:rPr>
            </w:pPr>
          </w:p>
        </w:tc>
        <w:tc>
          <w:tcPr>
            <w:tcW w:w="0" w:type="auto"/>
            <w:shd w:val="clear" w:color="auto" w:fill="auto"/>
            <w:vAlign w:val="center"/>
          </w:tcPr>
          <w:p w14:paraId="64A88CF3" w14:textId="77777777" w:rsidR="008D6614" w:rsidRDefault="008D6614">
            <w:pPr>
              <w:rPr>
                <w:rFonts w:ascii="宋体"/>
              </w:rPr>
            </w:pPr>
          </w:p>
        </w:tc>
        <w:tc>
          <w:tcPr>
            <w:tcW w:w="0" w:type="auto"/>
            <w:shd w:val="clear" w:color="auto" w:fill="auto"/>
            <w:vAlign w:val="center"/>
          </w:tcPr>
          <w:p w14:paraId="64A88CF4" w14:textId="77777777" w:rsidR="008D6614" w:rsidRDefault="008D6614">
            <w:pPr>
              <w:rPr>
                <w:rFonts w:ascii="宋体"/>
              </w:rPr>
            </w:pPr>
          </w:p>
        </w:tc>
        <w:tc>
          <w:tcPr>
            <w:tcW w:w="0" w:type="auto"/>
            <w:shd w:val="clear" w:color="auto" w:fill="auto"/>
            <w:vAlign w:val="center"/>
          </w:tcPr>
          <w:p w14:paraId="64A88CF5" w14:textId="77777777" w:rsidR="008D6614" w:rsidRDefault="008D6614">
            <w:pPr>
              <w:rPr>
                <w:rFonts w:ascii="宋体"/>
              </w:rPr>
            </w:pPr>
          </w:p>
        </w:tc>
      </w:tr>
      <w:tr w:rsidR="008D6614" w14:paraId="64A88D03" w14:textId="77777777">
        <w:trPr>
          <w:jc w:val="center"/>
        </w:trPr>
        <w:tc>
          <w:tcPr>
            <w:tcW w:w="0" w:type="auto"/>
            <w:gridSpan w:val="3"/>
            <w:shd w:val="clear" w:color="auto" w:fill="FFFFFF"/>
            <w:tcMar>
              <w:top w:w="40" w:type="dxa"/>
              <w:left w:w="720" w:type="dxa"/>
              <w:bottom w:w="40" w:type="dxa"/>
              <w:right w:w="20" w:type="dxa"/>
            </w:tcMar>
            <w:vAlign w:val="bottom"/>
          </w:tcPr>
          <w:p w14:paraId="64A88CF7" w14:textId="77777777" w:rsidR="008D6614" w:rsidRDefault="00866AF2">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CF8" w14:textId="77777777" w:rsidR="008D6614" w:rsidRDefault="00866AF2">
            <w:pPr>
              <w:jc w:val="right"/>
              <w:textAlignment w:val="bottom"/>
            </w:pPr>
            <w:r>
              <w:rPr>
                <w:rFonts w:ascii="Arial" w:eastAsia="宋体" w:hAnsi="Arial" w:cs="Arial"/>
                <w:color w:val="000000"/>
                <w:sz w:val="18"/>
                <w:szCs w:val="18"/>
              </w:rPr>
              <w:t>592 </w:t>
            </w:r>
          </w:p>
        </w:tc>
        <w:tc>
          <w:tcPr>
            <w:tcW w:w="0" w:type="auto"/>
            <w:tcBorders>
              <w:top w:val="single" w:sz="8" w:space="0" w:color="000000"/>
            </w:tcBorders>
            <w:shd w:val="clear" w:color="auto" w:fill="FFFFFF"/>
            <w:tcMar>
              <w:top w:w="40" w:type="dxa"/>
              <w:bottom w:w="40" w:type="dxa"/>
              <w:right w:w="20" w:type="dxa"/>
            </w:tcMar>
            <w:vAlign w:val="bottom"/>
          </w:tcPr>
          <w:p w14:paraId="64A88CF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CFA"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CFB" w14:textId="77777777" w:rsidR="008D6614" w:rsidRDefault="00866AF2">
            <w:pPr>
              <w:jc w:val="right"/>
              <w:textAlignment w:val="bottom"/>
            </w:pPr>
            <w:r>
              <w:rPr>
                <w:rFonts w:ascii="Arial" w:eastAsia="宋体" w:hAnsi="Arial" w:cs="Arial"/>
                <w:color w:val="000000"/>
                <w:sz w:val="18"/>
                <w:szCs w:val="18"/>
              </w:rPr>
              <w:t>550 </w:t>
            </w:r>
          </w:p>
        </w:tc>
        <w:tc>
          <w:tcPr>
            <w:tcW w:w="0" w:type="auto"/>
            <w:tcBorders>
              <w:top w:val="single" w:sz="8" w:space="0" w:color="000000"/>
            </w:tcBorders>
            <w:shd w:val="clear" w:color="auto" w:fill="FFFFFF"/>
            <w:tcMar>
              <w:top w:w="40" w:type="dxa"/>
              <w:bottom w:w="40" w:type="dxa"/>
              <w:right w:w="20" w:type="dxa"/>
            </w:tcMar>
            <w:vAlign w:val="bottom"/>
          </w:tcPr>
          <w:p w14:paraId="64A88CF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CFD" w14:textId="77777777" w:rsidR="008D6614" w:rsidRDefault="008D6614">
            <w:pPr>
              <w:rPr>
                <w:rFonts w:ascii="宋体"/>
              </w:rPr>
            </w:pPr>
          </w:p>
        </w:tc>
        <w:tc>
          <w:tcPr>
            <w:tcW w:w="0" w:type="auto"/>
            <w:shd w:val="clear" w:color="auto" w:fill="auto"/>
            <w:vAlign w:val="center"/>
          </w:tcPr>
          <w:p w14:paraId="64A88CFE" w14:textId="77777777" w:rsidR="008D6614" w:rsidRDefault="008D6614">
            <w:pPr>
              <w:rPr>
                <w:rFonts w:ascii="宋体"/>
              </w:rPr>
            </w:pPr>
          </w:p>
        </w:tc>
        <w:tc>
          <w:tcPr>
            <w:tcW w:w="0" w:type="auto"/>
            <w:shd w:val="clear" w:color="auto" w:fill="auto"/>
            <w:vAlign w:val="center"/>
          </w:tcPr>
          <w:p w14:paraId="64A88CFF" w14:textId="77777777" w:rsidR="008D6614" w:rsidRDefault="008D6614">
            <w:pPr>
              <w:rPr>
                <w:rFonts w:ascii="宋体"/>
              </w:rPr>
            </w:pPr>
          </w:p>
        </w:tc>
        <w:tc>
          <w:tcPr>
            <w:tcW w:w="0" w:type="auto"/>
            <w:shd w:val="clear" w:color="auto" w:fill="auto"/>
            <w:vAlign w:val="center"/>
          </w:tcPr>
          <w:p w14:paraId="64A88D00" w14:textId="77777777" w:rsidR="008D6614" w:rsidRDefault="008D6614">
            <w:pPr>
              <w:rPr>
                <w:rFonts w:ascii="宋体"/>
              </w:rPr>
            </w:pPr>
          </w:p>
        </w:tc>
        <w:tc>
          <w:tcPr>
            <w:tcW w:w="0" w:type="auto"/>
            <w:shd w:val="clear" w:color="auto" w:fill="auto"/>
            <w:vAlign w:val="center"/>
          </w:tcPr>
          <w:p w14:paraId="64A88D01" w14:textId="77777777" w:rsidR="008D6614" w:rsidRDefault="008D6614">
            <w:pPr>
              <w:rPr>
                <w:rFonts w:ascii="宋体"/>
              </w:rPr>
            </w:pPr>
          </w:p>
        </w:tc>
        <w:tc>
          <w:tcPr>
            <w:tcW w:w="0" w:type="auto"/>
            <w:shd w:val="clear" w:color="auto" w:fill="auto"/>
            <w:vAlign w:val="center"/>
          </w:tcPr>
          <w:p w14:paraId="64A88D02" w14:textId="77777777" w:rsidR="008D6614" w:rsidRDefault="008D6614">
            <w:pPr>
              <w:rPr>
                <w:rFonts w:ascii="宋体"/>
              </w:rPr>
            </w:pPr>
          </w:p>
        </w:tc>
      </w:tr>
      <w:tr w:rsidR="008D6614" w14:paraId="64A88D10" w14:textId="77777777">
        <w:trPr>
          <w:jc w:val="center"/>
        </w:trPr>
        <w:tc>
          <w:tcPr>
            <w:tcW w:w="0" w:type="auto"/>
            <w:gridSpan w:val="3"/>
            <w:shd w:val="clear" w:color="auto" w:fill="DDDDDD"/>
            <w:tcMar>
              <w:top w:w="40" w:type="dxa"/>
              <w:left w:w="20" w:type="dxa"/>
              <w:bottom w:w="40" w:type="dxa"/>
              <w:right w:w="20" w:type="dxa"/>
            </w:tcMar>
            <w:vAlign w:val="bottom"/>
          </w:tcPr>
          <w:p w14:paraId="64A88D04" w14:textId="77777777" w:rsidR="008D6614" w:rsidRDefault="00866AF2">
            <w:pPr>
              <w:textAlignment w:val="bottom"/>
            </w:pPr>
            <w:r>
              <w:rPr>
                <w:rFonts w:ascii="Arial" w:eastAsia="宋体" w:hAnsi="Arial" w:cs="Arial"/>
                <w:color w:val="000000"/>
                <w:sz w:val="18"/>
                <w:szCs w:val="18"/>
              </w:rPr>
              <w:t>Cash flows from investing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D05"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DDDDD"/>
            <w:tcMar>
              <w:top w:w="40" w:type="dxa"/>
              <w:bottom w:w="40" w:type="dxa"/>
              <w:right w:w="20" w:type="dxa"/>
            </w:tcMar>
            <w:vAlign w:val="bottom"/>
          </w:tcPr>
          <w:p w14:paraId="64A88D0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D07" w14:textId="77777777" w:rsidR="008D6614" w:rsidRDefault="008D6614">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D08"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DDDDD"/>
            <w:tcMar>
              <w:top w:w="40" w:type="dxa"/>
              <w:bottom w:w="40" w:type="dxa"/>
              <w:right w:w="20" w:type="dxa"/>
            </w:tcMar>
            <w:vAlign w:val="bottom"/>
          </w:tcPr>
          <w:p w14:paraId="64A88D0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0A" w14:textId="77777777" w:rsidR="008D6614" w:rsidRDefault="008D6614">
            <w:pPr>
              <w:rPr>
                <w:rFonts w:ascii="宋体"/>
              </w:rPr>
            </w:pPr>
          </w:p>
        </w:tc>
        <w:tc>
          <w:tcPr>
            <w:tcW w:w="0" w:type="auto"/>
            <w:shd w:val="clear" w:color="auto" w:fill="auto"/>
            <w:vAlign w:val="center"/>
          </w:tcPr>
          <w:p w14:paraId="64A88D0B" w14:textId="77777777" w:rsidR="008D6614" w:rsidRDefault="008D6614">
            <w:pPr>
              <w:rPr>
                <w:rFonts w:ascii="宋体"/>
              </w:rPr>
            </w:pPr>
          </w:p>
        </w:tc>
        <w:tc>
          <w:tcPr>
            <w:tcW w:w="0" w:type="auto"/>
            <w:shd w:val="clear" w:color="auto" w:fill="auto"/>
            <w:vAlign w:val="center"/>
          </w:tcPr>
          <w:p w14:paraId="64A88D0C" w14:textId="77777777" w:rsidR="008D6614" w:rsidRDefault="008D6614">
            <w:pPr>
              <w:rPr>
                <w:rFonts w:ascii="宋体"/>
              </w:rPr>
            </w:pPr>
          </w:p>
        </w:tc>
        <w:tc>
          <w:tcPr>
            <w:tcW w:w="0" w:type="auto"/>
            <w:shd w:val="clear" w:color="auto" w:fill="auto"/>
            <w:vAlign w:val="center"/>
          </w:tcPr>
          <w:p w14:paraId="64A88D0D" w14:textId="77777777" w:rsidR="008D6614" w:rsidRDefault="008D6614">
            <w:pPr>
              <w:rPr>
                <w:rFonts w:ascii="宋体"/>
              </w:rPr>
            </w:pPr>
          </w:p>
        </w:tc>
        <w:tc>
          <w:tcPr>
            <w:tcW w:w="0" w:type="auto"/>
            <w:shd w:val="clear" w:color="auto" w:fill="auto"/>
            <w:vAlign w:val="center"/>
          </w:tcPr>
          <w:p w14:paraId="64A88D0E" w14:textId="77777777" w:rsidR="008D6614" w:rsidRDefault="008D6614">
            <w:pPr>
              <w:rPr>
                <w:rFonts w:ascii="宋体"/>
              </w:rPr>
            </w:pPr>
          </w:p>
        </w:tc>
        <w:tc>
          <w:tcPr>
            <w:tcW w:w="0" w:type="auto"/>
            <w:shd w:val="clear" w:color="auto" w:fill="auto"/>
            <w:vAlign w:val="center"/>
          </w:tcPr>
          <w:p w14:paraId="64A88D0F" w14:textId="77777777" w:rsidR="008D6614" w:rsidRDefault="008D6614">
            <w:pPr>
              <w:rPr>
                <w:rFonts w:ascii="宋体"/>
              </w:rPr>
            </w:pPr>
          </w:p>
        </w:tc>
      </w:tr>
      <w:tr w:rsidR="008D6614" w14:paraId="64A88D1D" w14:textId="77777777">
        <w:trPr>
          <w:jc w:val="center"/>
        </w:trPr>
        <w:tc>
          <w:tcPr>
            <w:tcW w:w="0" w:type="auto"/>
            <w:gridSpan w:val="3"/>
            <w:shd w:val="clear" w:color="auto" w:fill="FFFFFF"/>
            <w:tcMar>
              <w:top w:w="40" w:type="dxa"/>
              <w:left w:w="225" w:type="dxa"/>
              <w:bottom w:w="40" w:type="dxa"/>
              <w:right w:w="20" w:type="dxa"/>
            </w:tcMar>
            <w:vAlign w:val="bottom"/>
          </w:tcPr>
          <w:p w14:paraId="64A88D11" w14:textId="77777777" w:rsidR="008D6614" w:rsidRDefault="00866AF2">
            <w:pPr>
              <w:textAlignment w:val="bottom"/>
            </w:pPr>
            <w:r>
              <w:rPr>
                <w:rFonts w:ascii="Arial" w:eastAsia="宋体" w:hAnsi="Arial" w:cs="Arial"/>
                <w:color w:val="000000"/>
                <w:sz w:val="18"/>
                <w:szCs w:val="18"/>
              </w:rPr>
              <w:t>Purchases of property and equipment</w:t>
            </w:r>
          </w:p>
        </w:tc>
        <w:tc>
          <w:tcPr>
            <w:tcW w:w="0" w:type="auto"/>
            <w:gridSpan w:val="2"/>
            <w:shd w:val="clear" w:color="auto" w:fill="FFFFFF"/>
            <w:tcMar>
              <w:top w:w="40" w:type="dxa"/>
              <w:left w:w="20" w:type="dxa"/>
              <w:bottom w:w="40" w:type="dxa"/>
              <w:right w:w="0" w:type="dxa"/>
            </w:tcMar>
            <w:vAlign w:val="bottom"/>
          </w:tcPr>
          <w:p w14:paraId="64A88D12" w14:textId="77777777" w:rsidR="008D6614" w:rsidRDefault="00866AF2">
            <w:pPr>
              <w:jc w:val="right"/>
              <w:textAlignment w:val="bottom"/>
            </w:pPr>
            <w:r>
              <w:rPr>
                <w:rFonts w:ascii="Arial" w:eastAsia="宋体" w:hAnsi="Arial" w:cs="Arial"/>
                <w:color w:val="000000"/>
                <w:sz w:val="18"/>
                <w:szCs w:val="18"/>
              </w:rPr>
              <w:t>(98)</w:t>
            </w:r>
          </w:p>
        </w:tc>
        <w:tc>
          <w:tcPr>
            <w:tcW w:w="0" w:type="auto"/>
            <w:shd w:val="clear" w:color="auto" w:fill="FFFFFF"/>
            <w:tcMar>
              <w:top w:w="40" w:type="dxa"/>
              <w:bottom w:w="40" w:type="dxa"/>
              <w:right w:w="20" w:type="dxa"/>
            </w:tcMar>
            <w:vAlign w:val="bottom"/>
          </w:tcPr>
          <w:p w14:paraId="64A88D1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D1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D15" w14:textId="77777777" w:rsidR="008D6614" w:rsidRDefault="00866AF2">
            <w:pPr>
              <w:jc w:val="right"/>
              <w:textAlignment w:val="bottom"/>
            </w:pPr>
            <w:r>
              <w:rPr>
                <w:rFonts w:ascii="Arial" w:eastAsia="宋体" w:hAnsi="Arial" w:cs="Arial"/>
                <w:color w:val="000000"/>
                <w:sz w:val="18"/>
                <w:szCs w:val="18"/>
              </w:rPr>
              <w:t>(180)</w:t>
            </w:r>
          </w:p>
        </w:tc>
        <w:tc>
          <w:tcPr>
            <w:tcW w:w="0" w:type="auto"/>
            <w:shd w:val="clear" w:color="auto" w:fill="FFFFFF"/>
            <w:tcMar>
              <w:top w:w="40" w:type="dxa"/>
              <w:bottom w:w="40" w:type="dxa"/>
              <w:right w:w="20" w:type="dxa"/>
            </w:tcMar>
            <w:vAlign w:val="bottom"/>
          </w:tcPr>
          <w:p w14:paraId="64A88D1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17" w14:textId="77777777" w:rsidR="008D6614" w:rsidRDefault="008D6614">
            <w:pPr>
              <w:rPr>
                <w:rFonts w:ascii="宋体"/>
              </w:rPr>
            </w:pPr>
          </w:p>
        </w:tc>
        <w:tc>
          <w:tcPr>
            <w:tcW w:w="0" w:type="auto"/>
            <w:shd w:val="clear" w:color="auto" w:fill="auto"/>
            <w:vAlign w:val="center"/>
          </w:tcPr>
          <w:p w14:paraId="64A88D18" w14:textId="77777777" w:rsidR="008D6614" w:rsidRDefault="008D6614">
            <w:pPr>
              <w:rPr>
                <w:rFonts w:ascii="宋体"/>
              </w:rPr>
            </w:pPr>
          </w:p>
        </w:tc>
        <w:tc>
          <w:tcPr>
            <w:tcW w:w="0" w:type="auto"/>
            <w:shd w:val="clear" w:color="auto" w:fill="auto"/>
            <w:vAlign w:val="center"/>
          </w:tcPr>
          <w:p w14:paraId="64A88D19" w14:textId="77777777" w:rsidR="008D6614" w:rsidRDefault="008D6614">
            <w:pPr>
              <w:rPr>
                <w:rFonts w:ascii="宋体"/>
              </w:rPr>
            </w:pPr>
          </w:p>
        </w:tc>
        <w:tc>
          <w:tcPr>
            <w:tcW w:w="0" w:type="auto"/>
            <w:shd w:val="clear" w:color="auto" w:fill="auto"/>
            <w:vAlign w:val="center"/>
          </w:tcPr>
          <w:p w14:paraId="64A88D1A" w14:textId="77777777" w:rsidR="008D6614" w:rsidRDefault="008D6614">
            <w:pPr>
              <w:rPr>
                <w:rFonts w:ascii="宋体"/>
              </w:rPr>
            </w:pPr>
          </w:p>
        </w:tc>
        <w:tc>
          <w:tcPr>
            <w:tcW w:w="0" w:type="auto"/>
            <w:shd w:val="clear" w:color="auto" w:fill="auto"/>
            <w:vAlign w:val="center"/>
          </w:tcPr>
          <w:p w14:paraId="64A88D1B" w14:textId="77777777" w:rsidR="008D6614" w:rsidRDefault="008D6614">
            <w:pPr>
              <w:rPr>
                <w:rFonts w:ascii="宋体"/>
              </w:rPr>
            </w:pPr>
          </w:p>
        </w:tc>
        <w:tc>
          <w:tcPr>
            <w:tcW w:w="0" w:type="auto"/>
            <w:shd w:val="clear" w:color="auto" w:fill="auto"/>
            <w:vAlign w:val="center"/>
          </w:tcPr>
          <w:p w14:paraId="64A88D1C" w14:textId="77777777" w:rsidR="008D6614" w:rsidRDefault="008D6614">
            <w:pPr>
              <w:rPr>
                <w:rFonts w:ascii="宋体"/>
              </w:rPr>
            </w:pPr>
          </w:p>
        </w:tc>
      </w:tr>
      <w:tr w:rsidR="008D6614" w14:paraId="64A88D2A" w14:textId="77777777">
        <w:trPr>
          <w:jc w:val="center"/>
        </w:trPr>
        <w:tc>
          <w:tcPr>
            <w:tcW w:w="0" w:type="auto"/>
            <w:gridSpan w:val="3"/>
            <w:shd w:val="clear" w:color="auto" w:fill="DDDDDD"/>
            <w:tcMar>
              <w:top w:w="40" w:type="dxa"/>
              <w:left w:w="225" w:type="dxa"/>
              <w:bottom w:w="40" w:type="dxa"/>
              <w:right w:w="20" w:type="dxa"/>
            </w:tcMar>
            <w:vAlign w:val="bottom"/>
          </w:tcPr>
          <w:p w14:paraId="64A88D1E" w14:textId="77777777" w:rsidR="008D6614" w:rsidRDefault="00866AF2">
            <w:pPr>
              <w:textAlignment w:val="bottom"/>
            </w:pPr>
            <w:r>
              <w:rPr>
                <w:rFonts w:ascii="Arial" w:eastAsia="宋体" w:hAnsi="Arial" w:cs="Arial"/>
                <w:color w:val="000000"/>
                <w:sz w:val="18"/>
                <w:szCs w:val="18"/>
              </w:rPr>
              <w:t>Purchases of investments</w:t>
            </w:r>
          </w:p>
        </w:tc>
        <w:tc>
          <w:tcPr>
            <w:tcW w:w="0" w:type="auto"/>
            <w:gridSpan w:val="2"/>
            <w:shd w:val="clear" w:color="auto" w:fill="DDDDDD"/>
            <w:tcMar>
              <w:top w:w="40" w:type="dxa"/>
              <w:left w:w="20" w:type="dxa"/>
              <w:bottom w:w="40" w:type="dxa"/>
              <w:right w:w="0" w:type="dxa"/>
            </w:tcMar>
            <w:vAlign w:val="bottom"/>
          </w:tcPr>
          <w:p w14:paraId="64A88D1F" w14:textId="77777777" w:rsidR="008D6614" w:rsidRDefault="00866AF2">
            <w:pPr>
              <w:jc w:val="right"/>
              <w:textAlignment w:val="bottom"/>
            </w:pPr>
            <w:r>
              <w:rPr>
                <w:rFonts w:ascii="Arial" w:eastAsia="宋体" w:hAnsi="Arial" w:cs="Arial"/>
                <w:color w:val="000000"/>
                <w:sz w:val="18"/>
                <w:szCs w:val="18"/>
              </w:rPr>
              <w:t>(10,705)</w:t>
            </w:r>
          </w:p>
        </w:tc>
        <w:tc>
          <w:tcPr>
            <w:tcW w:w="0" w:type="auto"/>
            <w:shd w:val="clear" w:color="auto" w:fill="DDDDDD"/>
            <w:tcMar>
              <w:top w:w="40" w:type="dxa"/>
              <w:bottom w:w="40" w:type="dxa"/>
              <w:right w:w="20" w:type="dxa"/>
            </w:tcMar>
            <w:vAlign w:val="bottom"/>
          </w:tcPr>
          <w:p w14:paraId="64A88D2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D21"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8D22" w14:textId="77777777" w:rsidR="008D6614" w:rsidRDefault="00866AF2">
            <w:pPr>
              <w:jc w:val="right"/>
              <w:textAlignment w:val="bottom"/>
            </w:pPr>
            <w:r>
              <w:rPr>
                <w:rFonts w:ascii="Arial" w:eastAsia="宋体" w:hAnsi="Arial" w:cs="Arial"/>
                <w:color w:val="000000"/>
                <w:sz w:val="18"/>
                <w:szCs w:val="18"/>
              </w:rPr>
              <w:t>(11,915)</w:t>
            </w:r>
          </w:p>
        </w:tc>
        <w:tc>
          <w:tcPr>
            <w:tcW w:w="0" w:type="auto"/>
            <w:shd w:val="clear" w:color="auto" w:fill="DDDDDD"/>
            <w:tcMar>
              <w:top w:w="40" w:type="dxa"/>
              <w:bottom w:w="40" w:type="dxa"/>
              <w:right w:w="20" w:type="dxa"/>
            </w:tcMar>
            <w:vAlign w:val="bottom"/>
          </w:tcPr>
          <w:p w14:paraId="64A88D2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24" w14:textId="77777777" w:rsidR="008D6614" w:rsidRDefault="008D6614">
            <w:pPr>
              <w:rPr>
                <w:rFonts w:ascii="宋体"/>
              </w:rPr>
            </w:pPr>
          </w:p>
        </w:tc>
        <w:tc>
          <w:tcPr>
            <w:tcW w:w="0" w:type="auto"/>
            <w:shd w:val="clear" w:color="auto" w:fill="auto"/>
            <w:vAlign w:val="center"/>
          </w:tcPr>
          <w:p w14:paraId="64A88D25" w14:textId="77777777" w:rsidR="008D6614" w:rsidRDefault="008D6614">
            <w:pPr>
              <w:rPr>
                <w:rFonts w:ascii="宋体"/>
              </w:rPr>
            </w:pPr>
          </w:p>
        </w:tc>
        <w:tc>
          <w:tcPr>
            <w:tcW w:w="0" w:type="auto"/>
            <w:shd w:val="clear" w:color="auto" w:fill="auto"/>
            <w:vAlign w:val="center"/>
          </w:tcPr>
          <w:p w14:paraId="64A88D26" w14:textId="77777777" w:rsidR="008D6614" w:rsidRDefault="008D6614">
            <w:pPr>
              <w:rPr>
                <w:rFonts w:ascii="宋体"/>
              </w:rPr>
            </w:pPr>
          </w:p>
        </w:tc>
        <w:tc>
          <w:tcPr>
            <w:tcW w:w="0" w:type="auto"/>
            <w:shd w:val="clear" w:color="auto" w:fill="auto"/>
            <w:vAlign w:val="center"/>
          </w:tcPr>
          <w:p w14:paraId="64A88D27" w14:textId="77777777" w:rsidR="008D6614" w:rsidRDefault="008D6614">
            <w:pPr>
              <w:rPr>
                <w:rFonts w:ascii="宋体"/>
              </w:rPr>
            </w:pPr>
          </w:p>
        </w:tc>
        <w:tc>
          <w:tcPr>
            <w:tcW w:w="0" w:type="auto"/>
            <w:shd w:val="clear" w:color="auto" w:fill="auto"/>
            <w:vAlign w:val="center"/>
          </w:tcPr>
          <w:p w14:paraId="64A88D28" w14:textId="77777777" w:rsidR="008D6614" w:rsidRDefault="008D6614">
            <w:pPr>
              <w:rPr>
                <w:rFonts w:ascii="宋体"/>
              </w:rPr>
            </w:pPr>
          </w:p>
        </w:tc>
        <w:tc>
          <w:tcPr>
            <w:tcW w:w="0" w:type="auto"/>
            <w:shd w:val="clear" w:color="auto" w:fill="auto"/>
            <w:vAlign w:val="center"/>
          </w:tcPr>
          <w:p w14:paraId="64A88D29" w14:textId="77777777" w:rsidR="008D6614" w:rsidRDefault="008D6614">
            <w:pPr>
              <w:rPr>
                <w:rFonts w:ascii="宋体"/>
              </w:rPr>
            </w:pPr>
          </w:p>
        </w:tc>
      </w:tr>
      <w:tr w:rsidR="008D6614" w14:paraId="64A88D37" w14:textId="77777777">
        <w:trPr>
          <w:jc w:val="center"/>
        </w:trPr>
        <w:tc>
          <w:tcPr>
            <w:tcW w:w="0" w:type="auto"/>
            <w:gridSpan w:val="3"/>
            <w:shd w:val="clear" w:color="auto" w:fill="FFFFFF"/>
            <w:tcMar>
              <w:top w:w="40" w:type="dxa"/>
              <w:left w:w="225" w:type="dxa"/>
              <w:bottom w:w="40" w:type="dxa"/>
              <w:right w:w="20" w:type="dxa"/>
            </w:tcMar>
            <w:vAlign w:val="bottom"/>
          </w:tcPr>
          <w:p w14:paraId="64A88D2B" w14:textId="77777777" w:rsidR="008D6614" w:rsidRDefault="00866AF2">
            <w:pPr>
              <w:textAlignment w:val="bottom"/>
            </w:pPr>
            <w:r>
              <w:rPr>
                <w:rFonts w:ascii="Arial" w:eastAsia="宋体" w:hAnsi="Arial" w:cs="Arial"/>
                <w:color w:val="000000"/>
                <w:sz w:val="18"/>
                <w:szCs w:val="18"/>
              </w:rPr>
              <w:t>Maturities and sales of investments</w:t>
            </w:r>
          </w:p>
        </w:tc>
        <w:tc>
          <w:tcPr>
            <w:tcW w:w="0" w:type="auto"/>
            <w:gridSpan w:val="2"/>
            <w:shd w:val="clear" w:color="auto" w:fill="FFFFFF"/>
            <w:tcMar>
              <w:top w:w="40" w:type="dxa"/>
              <w:left w:w="20" w:type="dxa"/>
              <w:bottom w:w="40" w:type="dxa"/>
              <w:right w:w="0" w:type="dxa"/>
            </w:tcMar>
            <w:vAlign w:val="bottom"/>
          </w:tcPr>
          <w:p w14:paraId="64A88D2C" w14:textId="77777777" w:rsidR="008D6614" w:rsidRDefault="00866AF2">
            <w:pPr>
              <w:jc w:val="right"/>
              <w:textAlignment w:val="bottom"/>
            </w:pPr>
            <w:r>
              <w:rPr>
                <w:rFonts w:ascii="Arial" w:eastAsia="宋体" w:hAnsi="Arial" w:cs="Arial"/>
                <w:color w:val="000000"/>
                <w:sz w:val="18"/>
                <w:szCs w:val="18"/>
              </w:rPr>
              <w:t>9,195 </w:t>
            </w:r>
          </w:p>
        </w:tc>
        <w:tc>
          <w:tcPr>
            <w:tcW w:w="0" w:type="auto"/>
            <w:shd w:val="clear" w:color="auto" w:fill="FFFFFF"/>
            <w:tcMar>
              <w:top w:w="40" w:type="dxa"/>
              <w:bottom w:w="40" w:type="dxa"/>
              <w:right w:w="20" w:type="dxa"/>
            </w:tcMar>
            <w:vAlign w:val="bottom"/>
          </w:tcPr>
          <w:p w14:paraId="64A88D2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D2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D2F" w14:textId="77777777" w:rsidR="008D6614" w:rsidRDefault="00866AF2">
            <w:pPr>
              <w:jc w:val="right"/>
              <w:textAlignment w:val="bottom"/>
            </w:pPr>
            <w:r>
              <w:rPr>
                <w:rFonts w:ascii="Arial" w:eastAsia="宋体" w:hAnsi="Arial" w:cs="Arial"/>
                <w:color w:val="000000"/>
                <w:sz w:val="18"/>
                <w:szCs w:val="18"/>
              </w:rPr>
              <w:t>12,747 </w:t>
            </w:r>
          </w:p>
        </w:tc>
        <w:tc>
          <w:tcPr>
            <w:tcW w:w="0" w:type="auto"/>
            <w:shd w:val="clear" w:color="auto" w:fill="FFFFFF"/>
            <w:tcMar>
              <w:top w:w="40" w:type="dxa"/>
              <w:bottom w:w="40" w:type="dxa"/>
              <w:right w:w="20" w:type="dxa"/>
            </w:tcMar>
            <w:vAlign w:val="bottom"/>
          </w:tcPr>
          <w:p w14:paraId="64A88D3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31" w14:textId="77777777" w:rsidR="008D6614" w:rsidRDefault="008D6614">
            <w:pPr>
              <w:rPr>
                <w:rFonts w:ascii="宋体"/>
              </w:rPr>
            </w:pPr>
          </w:p>
        </w:tc>
        <w:tc>
          <w:tcPr>
            <w:tcW w:w="0" w:type="auto"/>
            <w:shd w:val="clear" w:color="auto" w:fill="auto"/>
            <w:vAlign w:val="center"/>
          </w:tcPr>
          <w:p w14:paraId="64A88D32" w14:textId="77777777" w:rsidR="008D6614" w:rsidRDefault="008D6614">
            <w:pPr>
              <w:rPr>
                <w:rFonts w:ascii="宋体"/>
              </w:rPr>
            </w:pPr>
          </w:p>
        </w:tc>
        <w:tc>
          <w:tcPr>
            <w:tcW w:w="0" w:type="auto"/>
            <w:shd w:val="clear" w:color="auto" w:fill="auto"/>
            <w:vAlign w:val="center"/>
          </w:tcPr>
          <w:p w14:paraId="64A88D33" w14:textId="77777777" w:rsidR="008D6614" w:rsidRDefault="008D6614">
            <w:pPr>
              <w:rPr>
                <w:rFonts w:ascii="宋体"/>
              </w:rPr>
            </w:pPr>
          </w:p>
        </w:tc>
        <w:tc>
          <w:tcPr>
            <w:tcW w:w="0" w:type="auto"/>
            <w:shd w:val="clear" w:color="auto" w:fill="auto"/>
            <w:vAlign w:val="center"/>
          </w:tcPr>
          <w:p w14:paraId="64A88D34" w14:textId="77777777" w:rsidR="008D6614" w:rsidRDefault="008D6614">
            <w:pPr>
              <w:rPr>
                <w:rFonts w:ascii="宋体"/>
              </w:rPr>
            </w:pPr>
          </w:p>
        </w:tc>
        <w:tc>
          <w:tcPr>
            <w:tcW w:w="0" w:type="auto"/>
            <w:shd w:val="clear" w:color="auto" w:fill="auto"/>
            <w:vAlign w:val="center"/>
          </w:tcPr>
          <w:p w14:paraId="64A88D35" w14:textId="77777777" w:rsidR="008D6614" w:rsidRDefault="008D6614">
            <w:pPr>
              <w:rPr>
                <w:rFonts w:ascii="宋体"/>
              </w:rPr>
            </w:pPr>
          </w:p>
        </w:tc>
        <w:tc>
          <w:tcPr>
            <w:tcW w:w="0" w:type="auto"/>
            <w:shd w:val="clear" w:color="auto" w:fill="auto"/>
            <w:vAlign w:val="center"/>
          </w:tcPr>
          <w:p w14:paraId="64A88D36" w14:textId="77777777" w:rsidR="008D6614" w:rsidRDefault="008D6614">
            <w:pPr>
              <w:rPr>
                <w:rFonts w:ascii="宋体"/>
              </w:rPr>
            </w:pPr>
          </w:p>
        </w:tc>
      </w:tr>
      <w:tr w:rsidR="008D6614" w14:paraId="64A88D42" w14:textId="77777777">
        <w:trPr>
          <w:jc w:val="center"/>
          <w:hidden/>
        </w:trPr>
        <w:tc>
          <w:tcPr>
            <w:tcW w:w="0" w:type="auto"/>
            <w:gridSpan w:val="3"/>
            <w:shd w:val="clear" w:color="auto" w:fill="auto"/>
            <w:vAlign w:val="center"/>
          </w:tcPr>
          <w:p w14:paraId="64A88D38" w14:textId="77777777" w:rsidR="008D6614" w:rsidRDefault="008D6614">
            <w:pPr>
              <w:rPr>
                <w:rFonts w:ascii="宋体"/>
                <w:vanish/>
              </w:rPr>
            </w:pPr>
          </w:p>
        </w:tc>
        <w:tc>
          <w:tcPr>
            <w:tcW w:w="0" w:type="auto"/>
            <w:gridSpan w:val="3"/>
            <w:shd w:val="clear" w:color="auto" w:fill="auto"/>
            <w:vAlign w:val="center"/>
          </w:tcPr>
          <w:p w14:paraId="64A88D39" w14:textId="77777777" w:rsidR="008D6614" w:rsidRDefault="008D6614">
            <w:pPr>
              <w:rPr>
                <w:rFonts w:ascii="宋体"/>
                <w:vanish/>
              </w:rPr>
            </w:pPr>
          </w:p>
        </w:tc>
        <w:tc>
          <w:tcPr>
            <w:tcW w:w="0" w:type="auto"/>
            <w:gridSpan w:val="3"/>
            <w:shd w:val="clear" w:color="auto" w:fill="auto"/>
            <w:vAlign w:val="center"/>
          </w:tcPr>
          <w:p w14:paraId="64A88D3A" w14:textId="77777777" w:rsidR="008D6614" w:rsidRDefault="008D6614">
            <w:pPr>
              <w:rPr>
                <w:rFonts w:ascii="宋体"/>
                <w:vanish/>
              </w:rPr>
            </w:pPr>
          </w:p>
        </w:tc>
        <w:tc>
          <w:tcPr>
            <w:tcW w:w="0" w:type="auto"/>
            <w:gridSpan w:val="3"/>
            <w:shd w:val="clear" w:color="auto" w:fill="auto"/>
            <w:vAlign w:val="center"/>
          </w:tcPr>
          <w:p w14:paraId="64A88D3B" w14:textId="77777777" w:rsidR="008D6614" w:rsidRDefault="008D6614">
            <w:pPr>
              <w:rPr>
                <w:rFonts w:ascii="宋体"/>
                <w:vanish/>
              </w:rPr>
            </w:pPr>
          </w:p>
        </w:tc>
        <w:tc>
          <w:tcPr>
            <w:tcW w:w="0" w:type="auto"/>
            <w:shd w:val="clear" w:color="auto" w:fill="auto"/>
            <w:vAlign w:val="center"/>
          </w:tcPr>
          <w:p w14:paraId="64A88D3C" w14:textId="77777777" w:rsidR="008D6614" w:rsidRDefault="008D6614">
            <w:pPr>
              <w:rPr>
                <w:rFonts w:ascii="宋体"/>
              </w:rPr>
            </w:pPr>
          </w:p>
        </w:tc>
        <w:tc>
          <w:tcPr>
            <w:tcW w:w="0" w:type="auto"/>
            <w:shd w:val="clear" w:color="auto" w:fill="auto"/>
            <w:vAlign w:val="center"/>
          </w:tcPr>
          <w:p w14:paraId="64A88D3D" w14:textId="77777777" w:rsidR="008D6614" w:rsidRDefault="008D6614">
            <w:pPr>
              <w:rPr>
                <w:rFonts w:ascii="宋体"/>
              </w:rPr>
            </w:pPr>
          </w:p>
        </w:tc>
        <w:tc>
          <w:tcPr>
            <w:tcW w:w="0" w:type="auto"/>
            <w:shd w:val="clear" w:color="auto" w:fill="auto"/>
            <w:vAlign w:val="center"/>
          </w:tcPr>
          <w:p w14:paraId="64A88D3E" w14:textId="77777777" w:rsidR="008D6614" w:rsidRDefault="008D6614">
            <w:pPr>
              <w:rPr>
                <w:rFonts w:ascii="宋体"/>
              </w:rPr>
            </w:pPr>
          </w:p>
        </w:tc>
        <w:tc>
          <w:tcPr>
            <w:tcW w:w="0" w:type="auto"/>
            <w:shd w:val="clear" w:color="auto" w:fill="auto"/>
            <w:vAlign w:val="center"/>
          </w:tcPr>
          <w:p w14:paraId="64A88D3F" w14:textId="77777777" w:rsidR="008D6614" w:rsidRDefault="008D6614">
            <w:pPr>
              <w:rPr>
                <w:rFonts w:ascii="宋体"/>
              </w:rPr>
            </w:pPr>
          </w:p>
        </w:tc>
        <w:tc>
          <w:tcPr>
            <w:tcW w:w="0" w:type="auto"/>
            <w:shd w:val="clear" w:color="auto" w:fill="auto"/>
            <w:vAlign w:val="center"/>
          </w:tcPr>
          <w:p w14:paraId="64A88D40" w14:textId="77777777" w:rsidR="008D6614" w:rsidRDefault="008D6614">
            <w:pPr>
              <w:rPr>
                <w:rFonts w:ascii="宋体"/>
              </w:rPr>
            </w:pPr>
          </w:p>
        </w:tc>
        <w:tc>
          <w:tcPr>
            <w:tcW w:w="0" w:type="auto"/>
            <w:shd w:val="clear" w:color="auto" w:fill="auto"/>
            <w:vAlign w:val="center"/>
          </w:tcPr>
          <w:p w14:paraId="64A88D41" w14:textId="77777777" w:rsidR="008D6614" w:rsidRDefault="008D6614">
            <w:pPr>
              <w:rPr>
                <w:rFonts w:ascii="宋体"/>
              </w:rPr>
            </w:pPr>
          </w:p>
        </w:tc>
      </w:tr>
      <w:tr w:rsidR="008D6614" w14:paraId="64A88D4D" w14:textId="77777777">
        <w:trPr>
          <w:jc w:val="center"/>
          <w:hidden/>
        </w:trPr>
        <w:tc>
          <w:tcPr>
            <w:tcW w:w="0" w:type="auto"/>
            <w:gridSpan w:val="3"/>
            <w:shd w:val="clear" w:color="auto" w:fill="auto"/>
            <w:vAlign w:val="center"/>
          </w:tcPr>
          <w:p w14:paraId="64A88D43" w14:textId="77777777" w:rsidR="008D6614" w:rsidRDefault="008D6614">
            <w:pPr>
              <w:rPr>
                <w:rFonts w:ascii="宋体"/>
                <w:vanish/>
              </w:rPr>
            </w:pPr>
          </w:p>
        </w:tc>
        <w:tc>
          <w:tcPr>
            <w:tcW w:w="0" w:type="auto"/>
            <w:gridSpan w:val="3"/>
            <w:shd w:val="clear" w:color="auto" w:fill="auto"/>
            <w:vAlign w:val="center"/>
          </w:tcPr>
          <w:p w14:paraId="64A88D44" w14:textId="77777777" w:rsidR="008D6614" w:rsidRDefault="008D6614">
            <w:pPr>
              <w:rPr>
                <w:rFonts w:ascii="宋体"/>
                <w:vanish/>
              </w:rPr>
            </w:pPr>
          </w:p>
        </w:tc>
        <w:tc>
          <w:tcPr>
            <w:tcW w:w="0" w:type="auto"/>
            <w:gridSpan w:val="3"/>
            <w:shd w:val="clear" w:color="auto" w:fill="auto"/>
            <w:vAlign w:val="center"/>
          </w:tcPr>
          <w:p w14:paraId="64A88D45" w14:textId="77777777" w:rsidR="008D6614" w:rsidRDefault="008D6614">
            <w:pPr>
              <w:rPr>
                <w:rFonts w:ascii="宋体"/>
                <w:vanish/>
              </w:rPr>
            </w:pPr>
          </w:p>
        </w:tc>
        <w:tc>
          <w:tcPr>
            <w:tcW w:w="0" w:type="auto"/>
            <w:gridSpan w:val="3"/>
            <w:shd w:val="clear" w:color="auto" w:fill="auto"/>
            <w:vAlign w:val="center"/>
          </w:tcPr>
          <w:p w14:paraId="64A88D46" w14:textId="77777777" w:rsidR="008D6614" w:rsidRDefault="008D6614">
            <w:pPr>
              <w:rPr>
                <w:rFonts w:ascii="宋体"/>
                <w:vanish/>
              </w:rPr>
            </w:pPr>
          </w:p>
        </w:tc>
        <w:tc>
          <w:tcPr>
            <w:tcW w:w="0" w:type="auto"/>
            <w:shd w:val="clear" w:color="auto" w:fill="auto"/>
            <w:vAlign w:val="center"/>
          </w:tcPr>
          <w:p w14:paraId="64A88D47" w14:textId="77777777" w:rsidR="008D6614" w:rsidRDefault="008D6614">
            <w:pPr>
              <w:rPr>
                <w:rFonts w:ascii="宋体"/>
              </w:rPr>
            </w:pPr>
          </w:p>
        </w:tc>
        <w:tc>
          <w:tcPr>
            <w:tcW w:w="0" w:type="auto"/>
            <w:shd w:val="clear" w:color="auto" w:fill="auto"/>
            <w:vAlign w:val="center"/>
          </w:tcPr>
          <w:p w14:paraId="64A88D48" w14:textId="77777777" w:rsidR="008D6614" w:rsidRDefault="008D6614">
            <w:pPr>
              <w:rPr>
                <w:rFonts w:ascii="宋体"/>
              </w:rPr>
            </w:pPr>
          </w:p>
        </w:tc>
        <w:tc>
          <w:tcPr>
            <w:tcW w:w="0" w:type="auto"/>
            <w:shd w:val="clear" w:color="auto" w:fill="auto"/>
            <w:vAlign w:val="center"/>
          </w:tcPr>
          <w:p w14:paraId="64A88D49" w14:textId="77777777" w:rsidR="008D6614" w:rsidRDefault="008D6614">
            <w:pPr>
              <w:rPr>
                <w:rFonts w:ascii="宋体"/>
              </w:rPr>
            </w:pPr>
          </w:p>
        </w:tc>
        <w:tc>
          <w:tcPr>
            <w:tcW w:w="0" w:type="auto"/>
            <w:shd w:val="clear" w:color="auto" w:fill="auto"/>
            <w:vAlign w:val="center"/>
          </w:tcPr>
          <w:p w14:paraId="64A88D4A" w14:textId="77777777" w:rsidR="008D6614" w:rsidRDefault="008D6614">
            <w:pPr>
              <w:rPr>
                <w:rFonts w:ascii="宋体"/>
              </w:rPr>
            </w:pPr>
          </w:p>
        </w:tc>
        <w:tc>
          <w:tcPr>
            <w:tcW w:w="0" w:type="auto"/>
            <w:shd w:val="clear" w:color="auto" w:fill="auto"/>
            <w:vAlign w:val="center"/>
          </w:tcPr>
          <w:p w14:paraId="64A88D4B" w14:textId="77777777" w:rsidR="008D6614" w:rsidRDefault="008D6614">
            <w:pPr>
              <w:rPr>
                <w:rFonts w:ascii="宋体"/>
              </w:rPr>
            </w:pPr>
          </w:p>
        </w:tc>
        <w:tc>
          <w:tcPr>
            <w:tcW w:w="0" w:type="auto"/>
            <w:shd w:val="clear" w:color="auto" w:fill="auto"/>
            <w:vAlign w:val="center"/>
          </w:tcPr>
          <w:p w14:paraId="64A88D4C" w14:textId="77777777" w:rsidR="008D6614" w:rsidRDefault="008D6614">
            <w:pPr>
              <w:rPr>
                <w:rFonts w:ascii="宋体"/>
              </w:rPr>
            </w:pPr>
          </w:p>
        </w:tc>
      </w:tr>
      <w:tr w:rsidR="008D6614" w14:paraId="64A88D58" w14:textId="77777777">
        <w:trPr>
          <w:jc w:val="center"/>
          <w:hidden/>
        </w:trPr>
        <w:tc>
          <w:tcPr>
            <w:tcW w:w="0" w:type="auto"/>
            <w:gridSpan w:val="3"/>
            <w:shd w:val="clear" w:color="auto" w:fill="auto"/>
            <w:vAlign w:val="center"/>
          </w:tcPr>
          <w:p w14:paraId="64A88D4E" w14:textId="77777777" w:rsidR="008D6614" w:rsidRDefault="008D6614">
            <w:pPr>
              <w:rPr>
                <w:rFonts w:ascii="宋体"/>
                <w:vanish/>
              </w:rPr>
            </w:pPr>
          </w:p>
        </w:tc>
        <w:tc>
          <w:tcPr>
            <w:tcW w:w="0" w:type="auto"/>
            <w:gridSpan w:val="3"/>
            <w:shd w:val="clear" w:color="auto" w:fill="auto"/>
            <w:vAlign w:val="center"/>
          </w:tcPr>
          <w:p w14:paraId="64A88D4F" w14:textId="77777777" w:rsidR="008D6614" w:rsidRDefault="008D6614">
            <w:pPr>
              <w:rPr>
                <w:rFonts w:ascii="宋体"/>
                <w:vanish/>
              </w:rPr>
            </w:pPr>
          </w:p>
        </w:tc>
        <w:tc>
          <w:tcPr>
            <w:tcW w:w="0" w:type="auto"/>
            <w:gridSpan w:val="3"/>
            <w:shd w:val="clear" w:color="auto" w:fill="auto"/>
            <w:vAlign w:val="center"/>
          </w:tcPr>
          <w:p w14:paraId="64A88D50" w14:textId="77777777" w:rsidR="008D6614" w:rsidRDefault="008D6614">
            <w:pPr>
              <w:rPr>
                <w:rFonts w:ascii="宋体"/>
                <w:vanish/>
              </w:rPr>
            </w:pPr>
          </w:p>
        </w:tc>
        <w:tc>
          <w:tcPr>
            <w:tcW w:w="0" w:type="auto"/>
            <w:gridSpan w:val="3"/>
            <w:shd w:val="clear" w:color="auto" w:fill="auto"/>
            <w:vAlign w:val="center"/>
          </w:tcPr>
          <w:p w14:paraId="64A88D51" w14:textId="77777777" w:rsidR="008D6614" w:rsidRDefault="008D6614">
            <w:pPr>
              <w:rPr>
                <w:rFonts w:ascii="宋体"/>
                <w:vanish/>
              </w:rPr>
            </w:pPr>
          </w:p>
        </w:tc>
        <w:tc>
          <w:tcPr>
            <w:tcW w:w="0" w:type="auto"/>
            <w:shd w:val="clear" w:color="auto" w:fill="auto"/>
            <w:vAlign w:val="center"/>
          </w:tcPr>
          <w:p w14:paraId="64A88D52" w14:textId="77777777" w:rsidR="008D6614" w:rsidRDefault="008D6614">
            <w:pPr>
              <w:rPr>
                <w:rFonts w:ascii="宋体"/>
              </w:rPr>
            </w:pPr>
          </w:p>
        </w:tc>
        <w:tc>
          <w:tcPr>
            <w:tcW w:w="0" w:type="auto"/>
            <w:shd w:val="clear" w:color="auto" w:fill="auto"/>
            <w:vAlign w:val="center"/>
          </w:tcPr>
          <w:p w14:paraId="64A88D53" w14:textId="77777777" w:rsidR="008D6614" w:rsidRDefault="008D6614">
            <w:pPr>
              <w:rPr>
                <w:rFonts w:ascii="宋体"/>
              </w:rPr>
            </w:pPr>
          </w:p>
        </w:tc>
        <w:tc>
          <w:tcPr>
            <w:tcW w:w="0" w:type="auto"/>
            <w:shd w:val="clear" w:color="auto" w:fill="auto"/>
            <w:vAlign w:val="center"/>
          </w:tcPr>
          <w:p w14:paraId="64A88D54" w14:textId="77777777" w:rsidR="008D6614" w:rsidRDefault="008D6614">
            <w:pPr>
              <w:rPr>
                <w:rFonts w:ascii="宋体"/>
              </w:rPr>
            </w:pPr>
          </w:p>
        </w:tc>
        <w:tc>
          <w:tcPr>
            <w:tcW w:w="0" w:type="auto"/>
            <w:shd w:val="clear" w:color="auto" w:fill="auto"/>
            <w:vAlign w:val="center"/>
          </w:tcPr>
          <w:p w14:paraId="64A88D55" w14:textId="77777777" w:rsidR="008D6614" w:rsidRDefault="008D6614">
            <w:pPr>
              <w:rPr>
                <w:rFonts w:ascii="宋体"/>
              </w:rPr>
            </w:pPr>
          </w:p>
        </w:tc>
        <w:tc>
          <w:tcPr>
            <w:tcW w:w="0" w:type="auto"/>
            <w:shd w:val="clear" w:color="auto" w:fill="auto"/>
            <w:vAlign w:val="center"/>
          </w:tcPr>
          <w:p w14:paraId="64A88D56" w14:textId="77777777" w:rsidR="008D6614" w:rsidRDefault="008D6614">
            <w:pPr>
              <w:rPr>
                <w:rFonts w:ascii="宋体"/>
              </w:rPr>
            </w:pPr>
          </w:p>
        </w:tc>
        <w:tc>
          <w:tcPr>
            <w:tcW w:w="0" w:type="auto"/>
            <w:shd w:val="clear" w:color="auto" w:fill="auto"/>
            <w:vAlign w:val="center"/>
          </w:tcPr>
          <w:p w14:paraId="64A88D57" w14:textId="77777777" w:rsidR="008D6614" w:rsidRDefault="008D6614">
            <w:pPr>
              <w:rPr>
                <w:rFonts w:ascii="宋体"/>
              </w:rPr>
            </w:pPr>
          </w:p>
        </w:tc>
      </w:tr>
      <w:tr w:rsidR="008D6614" w14:paraId="64A88D65" w14:textId="77777777">
        <w:trPr>
          <w:jc w:val="center"/>
        </w:trPr>
        <w:tc>
          <w:tcPr>
            <w:tcW w:w="0" w:type="auto"/>
            <w:gridSpan w:val="3"/>
            <w:shd w:val="clear" w:color="auto" w:fill="DDDDDD"/>
            <w:tcMar>
              <w:top w:w="40" w:type="dxa"/>
              <w:left w:w="225" w:type="dxa"/>
              <w:bottom w:w="40" w:type="dxa"/>
              <w:right w:w="20" w:type="dxa"/>
            </w:tcMar>
            <w:vAlign w:val="bottom"/>
          </w:tcPr>
          <w:p w14:paraId="64A88D59" w14:textId="77777777" w:rsidR="008D6614" w:rsidRDefault="00866AF2">
            <w:pPr>
              <w:textAlignment w:val="bottom"/>
            </w:pPr>
            <w:r>
              <w:rPr>
                <w:rFonts w:ascii="Arial" w:eastAsia="宋体" w:hAnsi="Arial" w:cs="Arial"/>
                <w:color w:val="000000"/>
                <w:sz w:val="18"/>
                <w:szCs w:val="18"/>
              </w:rPr>
              <w:t>Acquisitions, net of cash acquired</w:t>
            </w:r>
          </w:p>
        </w:tc>
        <w:tc>
          <w:tcPr>
            <w:tcW w:w="0" w:type="auto"/>
            <w:gridSpan w:val="2"/>
            <w:shd w:val="clear" w:color="auto" w:fill="DDDDDD"/>
            <w:tcMar>
              <w:top w:w="40" w:type="dxa"/>
              <w:left w:w="20" w:type="dxa"/>
              <w:bottom w:w="40" w:type="dxa"/>
              <w:right w:w="0" w:type="dxa"/>
            </w:tcMar>
            <w:vAlign w:val="bottom"/>
          </w:tcPr>
          <w:p w14:paraId="64A88D5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DDDDDD"/>
            <w:tcMar>
              <w:top w:w="40" w:type="dxa"/>
              <w:bottom w:w="40" w:type="dxa"/>
              <w:right w:w="20" w:type="dxa"/>
            </w:tcMar>
            <w:vAlign w:val="bottom"/>
          </w:tcPr>
          <w:p w14:paraId="64A88D5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D5C"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8D5D" w14:textId="77777777" w:rsidR="008D6614" w:rsidRDefault="00866AF2">
            <w:pPr>
              <w:jc w:val="right"/>
              <w:textAlignment w:val="bottom"/>
            </w:pPr>
            <w:r>
              <w:rPr>
                <w:rFonts w:ascii="Arial" w:eastAsia="宋体" w:hAnsi="Arial" w:cs="Arial"/>
                <w:color w:val="000000"/>
                <w:sz w:val="18"/>
                <w:szCs w:val="18"/>
              </w:rPr>
              <w:t>(93)</w:t>
            </w:r>
          </w:p>
        </w:tc>
        <w:tc>
          <w:tcPr>
            <w:tcW w:w="0" w:type="auto"/>
            <w:shd w:val="clear" w:color="auto" w:fill="DDDDDD"/>
            <w:tcMar>
              <w:top w:w="40" w:type="dxa"/>
              <w:bottom w:w="40" w:type="dxa"/>
              <w:right w:w="20" w:type="dxa"/>
            </w:tcMar>
            <w:vAlign w:val="bottom"/>
          </w:tcPr>
          <w:p w14:paraId="64A88D5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5F" w14:textId="77777777" w:rsidR="008D6614" w:rsidRDefault="008D6614">
            <w:pPr>
              <w:rPr>
                <w:rFonts w:ascii="宋体"/>
              </w:rPr>
            </w:pPr>
          </w:p>
        </w:tc>
        <w:tc>
          <w:tcPr>
            <w:tcW w:w="0" w:type="auto"/>
            <w:shd w:val="clear" w:color="auto" w:fill="auto"/>
            <w:vAlign w:val="center"/>
          </w:tcPr>
          <w:p w14:paraId="64A88D60" w14:textId="77777777" w:rsidR="008D6614" w:rsidRDefault="008D6614">
            <w:pPr>
              <w:rPr>
                <w:rFonts w:ascii="宋体"/>
              </w:rPr>
            </w:pPr>
          </w:p>
        </w:tc>
        <w:tc>
          <w:tcPr>
            <w:tcW w:w="0" w:type="auto"/>
            <w:shd w:val="clear" w:color="auto" w:fill="auto"/>
            <w:vAlign w:val="center"/>
          </w:tcPr>
          <w:p w14:paraId="64A88D61" w14:textId="77777777" w:rsidR="008D6614" w:rsidRDefault="008D6614">
            <w:pPr>
              <w:rPr>
                <w:rFonts w:ascii="宋体"/>
              </w:rPr>
            </w:pPr>
          </w:p>
        </w:tc>
        <w:tc>
          <w:tcPr>
            <w:tcW w:w="0" w:type="auto"/>
            <w:shd w:val="clear" w:color="auto" w:fill="auto"/>
            <w:vAlign w:val="center"/>
          </w:tcPr>
          <w:p w14:paraId="64A88D62" w14:textId="77777777" w:rsidR="008D6614" w:rsidRDefault="008D6614">
            <w:pPr>
              <w:rPr>
                <w:rFonts w:ascii="宋体"/>
              </w:rPr>
            </w:pPr>
          </w:p>
        </w:tc>
        <w:tc>
          <w:tcPr>
            <w:tcW w:w="0" w:type="auto"/>
            <w:shd w:val="clear" w:color="auto" w:fill="auto"/>
            <w:vAlign w:val="center"/>
          </w:tcPr>
          <w:p w14:paraId="64A88D63" w14:textId="77777777" w:rsidR="008D6614" w:rsidRDefault="008D6614">
            <w:pPr>
              <w:rPr>
                <w:rFonts w:ascii="宋体"/>
              </w:rPr>
            </w:pPr>
          </w:p>
        </w:tc>
        <w:tc>
          <w:tcPr>
            <w:tcW w:w="0" w:type="auto"/>
            <w:shd w:val="clear" w:color="auto" w:fill="auto"/>
            <w:vAlign w:val="center"/>
          </w:tcPr>
          <w:p w14:paraId="64A88D64" w14:textId="77777777" w:rsidR="008D6614" w:rsidRDefault="008D6614">
            <w:pPr>
              <w:rPr>
                <w:rFonts w:ascii="宋体"/>
              </w:rPr>
            </w:pPr>
          </w:p>
        </w:tc>
      </w:tr>
      <w:tr w:rsidR="008D6614" w14:paraId="64A88D72" w14:textId="77777777">
        <w:trPr>
          <w:jc w:val="center"/>
        </w:trPr>
        <w:tc>
          <w:tcPr>
            <w:tcW w:w="0" w:type="auto"/>
            <w:gridSpan w:val="3"/>
            <w:shd w:val="clear" w:color="auto" w:fill="FFFFFF"/>
            <w:tcMar>
              <w:top w:w="40" w:type="dxa"/>
              <w:left w:w="225" w:type="dxa"/>
              <w:bottom w:w="40" w:type="dxa"/>
              <w:right w:w="20" w:type="dxa"/>
            </w:tcMar>
            <w:vAlign w:val="bottom"/>
          </w:tcPr>
          <w:p w14:paraId="64A88D66" w14:textId="77777777" w:rsidR="008D6614" w:rsidRDefault="00866AF2">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64A88D67" w14:textId="77777777" w:rsidR="008D6614" w:rsidRDefault="00866AF2">
            <w:pPr>
              <w:jc w:val="right"/>
              <w:textAlignment w:val="bottom"/>
            </w:pPr>
            <w:r>
              <w:rPr>
                <w:rFonts w:ascii="Arial" w:eastAsia="宋体" w:hAnsi="Arial" w:cs="Arial"/>
                <w:color w:val="000000"/>
                <w:sz w:val="18"/>
                <w:szCs w:val="18"/>
              </w:rPr>
              <w:t>39 </w:t>
            </w:r>
          </w:p>
        </w:tc>
        <w:tc>
          <w:tcPr>
            <w:tcW w:w="0" w:type="auto"/>
            <w:shd w:val="clear" w:color="auto" w:fill="FFFFFF"/>
            <w:tcMar>
              <w:top w:w="40" w:type="dxa"/>
              <w:bottom w:w="40" w:type="dxa"/>
              <w:right w:w="20" w:type="dxa"/>
            </w:tcMar>
            <w:vAlign w:val="bottom"/>
          </w:tcPr>
          <w:p w14:paraId="64A88D6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D6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D6A" w14:textId="77777777" w:rsidR="008D6614" w:rsidRDefault="00866AF2">
            <w:pPr>
              <w:jc w:val="right"/>
              <w:textAlignment w:val="bottom"/>
            </w:pPr>
            <w:r>
              <w:rPr>
                <w:rFonts w:ascii="Arial" w:eastAsia="宋体" w:hAnsi="Arial" w:cs="Arial"/>
                <w:color w:val="000000"/>
                <w:sz w:val="18"/>
                <w:szCs w:val="18"/>
              </w:rPr>
              <w:t>12 </w:t>
            </w:r>
          </w:p>
        </w:tc>
        <w:tc>
          <w:tcPr>
            <w:tcW w:w="0" w:type="auto"/>
            <w:shd w:val="clear" w:color="auto" w:fill="FFFFFF"/>
            <w:tcMar>
              <w:top w:w="40" w:type="dxa"/>
              <w:bottom w:w="40" w:type="dxa"/>
              <w:right w:w="20" w:type="dxa"/>
            </w:tcMar>
            <w:vAlign w:val="bottom"/>
          </w:tcPr>
          <w:p w14:paraId="64A88D6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6C" w14:textId="77777777" w:rsidR="008D6614" w:rsidRDefault="008D6614">
            <w:pPr>
              <w:rPr>
                <w:rFonts w:ascii="宋体"/>
              </w:rPr>
            </w:pPr>
          </w:p>
        </w:tc>
        <w:tc>
          <w:tcPr>
            <w:tcW w:w="0" w:type="auto"/>
            <w:shd w:val="clear" w:color="auto" w:fill="auto"/>
            <w:vAlign w:val="center"/>
          </w:tcPr>
          <w:p w14:paraId="64A88D6D" w14:textId="77777777" w:rsidR="008D6614" w:rsidRDefault="008D6614">
            <w:pPr>
              <w:rPr>
                <w:rFonts w:ascii="宋体"/>
              </w:rPr>
            </w:pPr>
          </w:p>
        </w:tc>
        <w:tc>
          <w:tcPr>
            <w:tcW w:w="0" w:type="auto"/>
            <w:shd w:val="clear" w:color="auto" w:fill="auto"/>
            <w:vAlign w:val="center"/>
          </w:tcPr>
          <w:p w14:paraId="64A88D6E" w14:textId="77777777" w:rsidR="008D6614" w:rsidRDefault="008D6614">
            <w:pPr>
              <w:rPr>
                <w:rFonts w:ascii="宋体"/>
              </w:rPr>
            </w:pPr>
          </w:p>
        </w:tc>
        <w:tc>
          <w:tcPr>
            <w:tcW w:w="0" w:type="auto"/>
            <w:shd w:val="clear" w:color="auto" w:fill="auto"/>
            <w:vAlign w:val="center"/>
          </w:tcPr>
          <w:p w14:paraId="64A88D6F" w14:textId="77777777" w:rsidR="008D6614" w:rsidRDefault="008D6614">
            <w:pPr>
              <w:rPr>
                <w:rFonts w:ascii="宋体"/>
              </w:rPr>
            </w:pPr>
          </w:p>
        </w:tc>
        <w:tc>
          <w:tcPr>
            <w:tcW w:w="0" w:type="auto"/>
            <w:shd w:val="clear" w:color="auto" w:fill="auto"/>
            <w:vAlign w:val="center"/>
          </w:tcPr>
          <w:p w14:paraId="64A88D70" w14:textId="77777777" w:rsidR="008D6614" w:rsidRDefault="008D6614">
            <w:pPr>
              <w:rPr>
                <w:rFonts w:ascii="宋体"/>
              </w:rPr>
            </w:pPr>
          </w:p>
        </w:tc>
        <w:tc>
          <w:tcPr>
            <w:tcW w:w="0" w:type="auto"/>
            <w:shd w:val="clear" w:color="auto" w:fill="auto"/>
            <w:vAlign w:val="center"/>
          </w:tcPr>
          <w:p w14:paraId="64A88D71" w14:textId="77777777" w:rsidR="008D6614" w:rsidRDefault="008D6614">
            <w:pPr>
              <w:rPr>
                <w:rFonts w:ascii="宋体"/>
              </w:rPr>
            </w:pPr>
          </w:p>
        </w:tc>
      </w:tr>
      <w:tr w:rsidR="008D6614" w14:paraId="64A88D7F" w14:textId="77777777">
        <w:trPr>
          <w:jc w:val="center"/>
        </w:trPr>
        <w:tc>
          <w:tcPr>
            <w:tcW w:w="0" w:type="auto"/>
            <w:gridSpan w:val="3"/>
            <w:shd w:val="clear" w:color="auto" w:fill="DDDDDD"/>
            <w:tcMar>
              <w:top w:w="40" w:type="dxa"/>
              <w:left w:w="225" w:type="dxa"/>
              <w:bottom w:w="40" w:type="dxa"/>
              <w:right w:w="20" w:type="dxa"/>
            </w:tcMar>
            <w:vAlign w:val="bottom"/>
          </w:tcPr>
          <w:p w14:paraId="64A88D73" w14:textId="77777777" w:rsidR="008D6614" w:rsidRDefault="00866AF2">
            <w:pPr>
              <w:textAlignment w:val="bottom"/>
            </w:pPr>
            <w:r>
              <w:rPr>
                <w:rFonts w:ascii="Arial" w:eastAsia="宋体" w:hAnsi="Arial" w:cs="Arial"/>
                <w:color w:val="000000"/>
                <w:sz w:val="18"/>
                <w:szCs w:val="18"/>
              </w:rPr>
              <w:t xml:space="preserve">Net cash </w:t>
            </w:r>
            <w:r>
              <w:rPr>
                <w:rFonts w:ascii="Arial" w:eastAsia="宋体" w:hAnsi="Arial" w:cs="Arial"/>
                <w:color w:val="000000"/>
                <w:sz w:val="18"/>
                <w:szCs w:val="18"/>
              </w:rPr>
              <w:t>provided by (used in) continuing investing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D74" w14:textId="77777777" w:rsidR="008D6614" w:rsidRDefault="00866AF2">
            <w:pPr>
              <w:jc w:val="right"/>
              <w:textAlignment w:val="bottom"/>
            </w:pPr>
            <w:r>
              <w:rPr>
                <w:rFonts w:ascii="Arial" w:eastAsia="宋体" w:hAnsi="Arial" w:cs="Arial"/>
                <w:color w:val="000000"/>
                <w:sz w:val="18"/>
                <w:szCs w:val="18"/>
              </w:rPr>
              <w:t>(1,569)</w:t>
            </w:r>
          </w:p>
        </w:tc>
        <w:tc>
          <w:tcPr>
            <w:tcW w:w="0" w:type="auto"/>
            <w:tcBorders>
              <w:top w:val="single" w:sz="8" w:space="0" w:color="000000"/>
            </w:tcBorders>
            <w:shd w:val="clear" w:color="auto" w:fill="DDDDDD"/>
            <w:tcMar>
              <w:top w:w="40" w:type="dxa"/>
              <w:bottom w:w="40" w:type="dxa"/>
              <w:right w:w="20" w:type="dxa"/>
            </w:tcMar>
            <w:vAlign w:val="bottom"/>
          </w:tcPr>
          <w:p w14:paraId="64A88D7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D76" w14:textId="77777777" w:rsidR="008D6614" w:rsidRDefault="008D6614">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D77" w14:textId="77777777" w:rsidR="008D6614" w:rsidRDefault="00866AF2">
            <w:pPr>
              <w:jc w:val="right"/>
              <w:textAlignment w:val="bottom"/>
            </w:pPr>
            <w:r>
              <w:rPr>
                <w:rFonts w:ascii="Arial" w:eastAsia="宋体" w:hAnsi="Arial" w:cs="Arial"/>
                <w:color w:val="000000"/>
                <w:sz w:val="18"/>
                <w:szCs w:val="18"/>
              </w:rPr>
              <w:t>571 </w:t>
            </w:r>
          </w:p>
        </w:tc>
        <w:tc>
          <w:tcPr>
            <w:tcW w:w="0" w:type="auto"/>
            <w:tcBorders>
              <w:top w:val="single" w:sz="8" w:space="0" w:color="000000"/>
            </w:tcBorders>
            <w:shd w:val="clear" w:color="auto" w:fill="DDDDDD"/>
            <w:tcMar>
              <w:top w:w="40" w:type="dxa"/>
              <w:bottom w:w="40" w:type="dxa"/>
              <w:right w:w="20" w:type="dxa"/>
            </w:tcMar>
            <w:vAlign w:val="bottom"/>
          </w:tcPr>
          <w:p w14:paraId="64A88D7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79" w14:textId="77777777" w:rsidR="008D6614" w:rsidRDefault="008D6614">
            <w:pPr>
              <w:rPr>
                <w:rFonts w:ascii="宋体"/>
              </w:rPr>
            </w:pPr>
          </w:p>
        </w:tc>
        <w:tc>
          <w:tcPr>
            <w:tcW w:w="0" w:type="auto"/>
            <w:shd w:val="clear" w:color="auto" w:fill="auto"/>
            <w:vAlign w:val="center"/>
          </w:tcPr>
          <w:p w14:paraId="64A88D7A" w14:textId="77777777" w:rsidR="008D6614" w:rsidRDefault="008D6614">
            <w:pPr>
              <w:rPr>
                <w:rFonts w:ascii="宋体"/>
              </w:rPr>
            </w:pPr>
          </w:p>
        </w:tc>
        <w:tc>
          <w:tcPr>
            <w:tcW w:w="0" w:type="auto"/>
            <w:shd w:val="clear" w:color="auto" w:fill="auto"/>
            <w:vAlign w:val="center"/>
          </w:tcPr>
          <w:p w14:paraId="64A88D7B" w14:textId="77777777" w:rsidR="008D6614" w:rsidRDefault="008D6614">
            <w:pPr>
              <w:rPr>
                <w:rFonts w:ascii="宋体"/>
              </w:rPr>
            </w:pPr>
          </w:p>
        </w:tc>
        <w:tc>
          <w:tcPr>
            <w:tcW w:w="0" w:type="auto"/>
            <w:shd w:val="clear" w:color="auto" w:fill="auto"/>
            <w:vAlign w:val="center"/>
          </w:tcPr>
          <w:p w14:paraId="64A88D7C" w14:textId="77777777" w:rsidR="008D6614" w:rsidRDefault="008D6614">
            <w:pPr>
              <w:rPr>
                <w:rFonts w:ascii="宋体"/>
              </w:rPr>
            </w:pPr>
          </w:p>
        </w:tc>
        <w:tc>
          <w:tcPr>
            <w:tcW w:w="0" w:type="auto"/>
            <w:shd w:val="clear" w:color="auto" w:fill="auto"/>
            <w:vAlign w:val="center"/>
          </w:tcPr>
          <w:p w14:paraId="64A88D7D" w14:textId="77777777" w:rsidR="008D6614" w:rsidRDefault="008D6614">
            <w:pPr>
              <w:rPr>
                <w:rFonts w:ascii="宋体"/>
              </w:rPr>
            </w:pPr>
          </w:p>
        </w:tc>
        <w:tc>
          <w:tcPr>
            <w:tcW w:w="0" w:type="auto"/>
            <w:shd w:val="clear" w:color="auto" w:fill="auto"/>
            <w:vAlign w:val="center"/>
          </w:tcPr>
          <w:p w14:paraId="64A88D7E" w14:textId="77777777" w:rsidR="008D6614" w:rsidRDefault="008D6614">
            <w:pPr>
              <w:rPr>
                <w:rFonts w:ascii="宋体"/>
              </w:rPr>
            </w:pPr>
          </w:p>
        </w:tc>
      </w:tr>
      <w:tr w:rsidR="008D6614" w14:paraId="64A88D8C" w14:textId="77777777">
        <w:trPr>
          <w:jc w:val="center"/>
        </w:trPr>
        <w:tc>
          <w:tcPr>
            <w:tcW w:w="0" w:type="auto"/>
            <w:gridSpan w:val="3"/>
            <w:shd w:val="clear" w:color="auto" w:fill="FFFFFF"/>
            <w:tcMar>
              <w:top w:w="40" w:type="dxa"/>
              <w:left w:w="225" w:type="dxa"/>
              <w:bottom w:w="40" w:type="dxa"/>
              <w:right w:w="20" w:type="dxa"/>
            </w:tcMar>
            <w:vAlign w:val="bottom"/>
          </w:tcPr>
          <w:p w14:paraId="64A88D80" w14:textId="77777777" w:rsidR="008D6614" w:rsidRDefault="00866AF2">
            <w:pPr>
              <w:textAlignment w:val="bottom"/>
            </w:pPr>
            <w:r>
              <w:rPr>
                <w:rFonts w:ascii="Arial" w:eastAsia="宋体" w:hAnsi="Arial" w:cs="Arial"/>
                <w:color w:val="000000"/>
                <w:sz w:val="18"/>
                <w:szCs w:val="18"/>
              </w:rPr>
              <w:t>Net cash provided by (used in) discontinued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D81" w14:textId="77777777" w:rsidR="008D6614" w:rsidRDefault="00866AF2">
            <w:pPr>
              <w:jc w:val="right"/>
              <w:textAlignment w:val="bottom"/>
            </w:pPr>
            <w:r>
              <w:rPr>
                <w:rFonts w:ascii="Arial" w:eastAsia="宋体" w:hAnsi="Arial" w:cs="Arial"/>
                <w:color w:val="000000"/>
                <w:sz w:val="18"/>
                <w:szCs w:val="18"/>
              </w:rPr>
              <w:t>4,075 </w:t>
            </w:r>
          </w:p>
        </w:tc>
        <w:tc>
          <w:tcPr>
            <w:tcW w:w="0" w:type="auto"/>
            <w:tcBorders>
              <w:top w:val="single" w:sz="8" w:space="0" w:color="000000"/>
            </w:tcBorders>
            <w:shd w:val="clear" w:color="auto" w:fill="FFFFFF"/>
            <w:tcMar>
              <w:top w:w="40" w:type="dxa"/>
              <w:bottom w:w="40" w:type="dxa"/>
              <w:right w:w="20" w:type="dxa"/>
            </w:tcMar>
            <w:vAlign w:val="bottom"/>
          </w:tcPr>
          <w:p w14:paraId="64A88D8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D83"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D84" w14:textId="77777777" w:rsidR="008D6614" w:rsidRDefault="00866AF2">
            <w:pPr>
              <w:jc w:val="right"/>
              <w:textAlignment w:val="bottom"/>
            </w:pPr>
            <w:r>
              <w:rPr>
                <w:rFonts w:ascii="Arial" w:eastAsia="宋体" w:hAnsi="Arial" w:cs="Arial"/>
                <w:color w:val="000000"/>
                <w:sz w:val="18"/>
                <w:szCs w:val="18"/>
              </w:rPr>
              <w:t>(13)</w:t>
            </w:r>
          </w:p>
        </w:tc>
        <w:tc>
          <w:tcPr>
            <w:tcW w:w="0" w:type="auto"/>
            <w:tcBorders>
              <w:top w:val="single" w:sz="8" w:space="0" w:color="000000"/>
            </w:tcBorders>
            <w:shd w:val="clear" w:color="auto" w:fill="FFFFFF"/>
            <w:tcMar>
              <w:top w:w="40" w:type="dxa"/>
              <w:bottom w:w="40" w:type="dxa"/>
              <w:right w:w="20" w:type="dxa"/>
            </w:tcMar>
            <w:vAlign w:val="bottom"/>
          </w:tcPr>
          <w:p w14:paraId="64A88D8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86" w14:textId="77777777" w:rsidR="008D6614" w:rsidRDefault="008D6614">
            <w:pPr>
              <w:rPr>
                <w:rFonts w:ascii="宋体"/>
              </w:rPr>
            </w:pPr>
          </w:p>
        </w:tc>
        <w:tc>
          <w:tcPr>
            <w:tcW w:w="0" w:type="auto"/>
            <w:shd w:val="clear" w:color="auto" w:fill="auto"/>
            <w:vAlign w:val="center"/>
          </w:tcPr>
          <w:p w14:paraId="64A88D87" w14:textId="77777777" w:rsidR="008D6614" w:rsidRDefault="008D6614">
            <w:pPr>
              <w:rPr>
                <w:rFonts w:ascii="宋体"/>
              </w:rPr>
            </w:pPr>
          </w:p>
        </w:tc>
        <w:tc>
          <w:tcPr>
            <w:tcW w:w="0" w:type="auto"/>
            <w:shd w:val="clear" w:color="auto" w:fill="auto"/>
            <w:vAlign w:val="center"/>
          </w:tcPr>
          <w:p w14:paraId="64A88D88" w14:textId="77777777" w:rsidR="008D6614" w:rsidRDefault="008D6614">
            <w:pPr>
              <w:rPr>
                <w:rFonts w:ascii="宋体"/>
              </w:rPr>
            </w:pPr>
          </w:p>
        </w:tc>
        <w:tc>
          <w:tcPr>
            <w:tcW w:w="0" w:type="auto"/>
            <w:shd w:val="clear" w:color="auto" w:fill="auto"/>
            <w:vAlign w:val="center"/>
          </w:tcPr>
          <w:p w14:paraId="64A88D89" w14:textId="77777777" w:rsidR="008D6614" w:rsidRDefault="008D6614">
            <w:pPr>
              <w:rPr>
                <w:rFonts w:ascii="宋体"/>
              </w:rPr>
            </w:pPr>
          </w:p>
        </w:tc>
        <w:tc>
          <w:tcPr>
            <w:tcW w:w="0" w:type="auto"/>
            <w:shd w:val="clear" w:color="auto" w:fill="auto"/>
            <w:vAlign w:val="center"/>
          </w:tcPr>
          <w:p w14:paraId="64A88D8A" w14:textId="77777777" w:rsidR="008D6614" w:rsidRDefault="008D6614">
            <w:pPr>
              <w:rPr>
                <w:rFonts w:ascii="宋体"/>
              </w:rPr>
            </w:pPr>
          </w:p>
        </w:tc>
        <w:tc>
          <w:tcPr>
            <w:tcW w:w="0" w:type="auto"/>
            <w:shd w:val="clear" w:color="auto" w:fill="auto"/>
            <w:vAlign w:val="center"/>
          </w:tcPr>
          <w:p w14:paraId="64A88D8B" w14:textId="77777777" w:rsidR="008D6614" w:rsidRDefault="008D6614">
            <w:pPr>
              <w:rPr>
                <w:rFonts w:ascii="宋体"/>
              </w:rPr>
            </w:pPr>
          </w:p>
        </w:tc>
      </w:tr>
      <w:tr w:rsidR="008D6614" w14:paraId="64A88D99" w14:textId="77777777">
        <w:trPr>
          <w:jc w:val="center"/>
        </w:trPr>
        <w:tc>
          <w:tcPr>
            <w:tcW w:w="0" w:type="auto"/>
            <w:gridSpan w:val="3"/>
            <w:shd w:val="clear" w:color="auto" w:fill="DDDDDD"/>
            <w:tcMar>
              <w:top w:w="40" w:type="dxa"/>
              <w:left w:w="720" w:type="dxa"/>
              <w:bottom w:w="40" w:type="dxa"/>
              <w:right w:w="20" w:type="dxa"/>
            </w:tcMar>
            <w:vAlign w:val="bottom"/>
          </w:tcPr>
          <w:p w14:paraId="64A88D8D" w14:textId="77777777" w:rsidR="008D6614" w:rsidRDefault="00866AF2">
            <w:pPr>
              <w:textAlignment w:val="bottom"/>
            </w:pPr>
            <w:r>
              <w:rPr>
                <w:rFonts w:ascii="Arial" w:eastAsia="宋体" w:hAnsi="Arial" w:cs="Arial"/>
                <w:color w:val="000000"/>
                <w:sz w:val="18"/>
                <w:szCs w:val="18"/>
              </w:rPr>
              <w:t>Net cash provided by investing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D8E" w14:textId="77777777" w:rsidR="008D6614" w:rsidRDefault="00866AF2">
            <w:pPr>
              <w:jc w:val="right"/>
              <w:textAlignment w:val="bottom"/>
            </w:pPr>
            <w:r>
              <w:rPr>
                <w:rFonts w:ascii="Arial" w:eastAsia="宋体" w:hAnsi="Arial" w:cs="Arial"/>
                <w:color w:val="000000"/>
                <w:sz w:val="18"/>
                <w:szCs w:val="18"/>
              </w:rPr>
              <w:t>2,506 </w:t>
            </w:r>
          </w:p>
        </w:tc>
        <w:tc>
          <w:tcPr>
            <w:tcW w:w="0" w:type="auto"/>
            <w:tcBorders>
              <w:top w:val="single" w:sz="8" w:space="0" w:color="000000"/>
            </w:tcBorders>
            <w:shd w:val="clear" w:color="auto" w:fill="DDDDDD"/>
            <w:tcMar>
              <w:top w:w="40" w:type="dxa"/>
              <w:bottom w:w="40" w:type="dxa"/>
              <w:right w:w="20" w:type="dxa"/>
            </w:tcMar>
            <w:vAlign w:val="bottom"/>
          </w:tcPr>
          <w:p w14:paraId="64A88D8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D90" w14:textId="77777777" w:rsidR="008D6614" w:rsidRDefault="008D6614">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D91" w14:textId="77777777" w:rsidR="008D6614" w:rsidRDefault="00866AF2">
            <w:pPr>
              <w:jc w:val="right"/>
              <w:textAlignment w:val="bottom"/>
            </w:pPr>
            <w:r>
              <w:rPr>
                <w:rFonts w:ascii="Arial" w:eastAsia="宋体" w:hAnsi="Arial" w:cs="Arial"/>
                <w:color w:val="000000"/>
                <w:sz w:val="18"/>
                <w:szCs w:val="18"/>
              </w:rPr>
              <w:t>558 </w:t>
            </w:r>
          </w:p>
        </w:tc>
        <w:tc>
          <w:tcPr>
            <w:tcW w:w="0" w:type="auto"/>
            <w:tcBorders>
              <w:top w:val="single" w:sz="8" w:space="0" w:color="000000"/>
            </w:tcBorders>
            <w:shd w:val="clear" w:color="auto" w:fill="DDDDDD"/>
            <w:tcMar>
              <w:top w:w="40" w:type="dxa"/>
              <w:bottom w:w="40" w:type="dxa"/>
              <w:right w:w="20" w:type="dxa"/>
            </w:tcMar>
            <w:vAlign w:val="bottom"/>
          </w:tcPr>
          <w:p w14:paraId="64A88D9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93" w14:textId="77777777" w:rsidR="008D6614" w:rsidRDefault="008D6614">
            <w:pPr>
              <w:rPr>
                <w:rFonts w:ascii="宋体"/>
              </w:rPr>
            </w:pPr>
          </w:p>
        </w:tc>
        <w:tc>
          <w:tcPr>
            <w:tcW w:w="0" w:type="auto"/>
            <w:shd w:val="clear" w:color="auto" w:fill="auto"/>
            <w:vAlign w:val="center"/>
          </w:tcPr>
          <w:p w14:paraId="64A88D94" w14:textId="77777777" w:rsidR="008D6614" w:rsidRDefault="008D6614">
            <w:pPr>
              <w:rPr>
                <w:rFonts w:ascii="宋体"/>
              </w:rPr>
            </w:pPr>
          </w:p>
        </w:tc>
        <w:tc>
          <w:tcPr>
            <w:tcW w:w="0" w:type="auto"/>
            <w:shd w:val="clear" w:color="auto" w:fill="auto"/>
            <w:vAlign w:val="center"/>
          </w:tcPr>
          <w:p w14:paraId="64A88D95" w14:textId="77777777" w:rsidR="008D6614" w:rsidRDefault="008D6614">
            <w:pPr>
              <w:rPr>
                <w:rFonts w:ascii="宋体"/>
              </w:rPr>
            </w:pPr>
          </w:p>
        </w:tc>
        <w:tc>
          <w:tcPr>
            <w:tcW w:w="0" w:type="auto"/>
            <w:shd w:val="clear" w:color="auto" w:fill="auto"/>
            <w:vAlign w:val="center"/>
          </w:tcPr>
          <w:p w14:paraId="64A88D96" w14:textId="77777777" w:rsidR="008D6614" w:rsidRDefault="008D6614">
            <w:pPr>
              <w:rPr>
                <w:rFonts w:ascii="宋体"/>
              </w:rPr>
            </w:pPr>
          </w:p>
        </w:tc>
        <w:tc>
          <w:tcPr>
            <w:tcW w:w="0" w:type="auto"/>
            <w:shd w:val="clear" w:color="auto" w:fill="auto"/>
            <w:vAlign w:val="center"/>
          </w:tcPr>
          <w:p w14:paraId="64A88D97" w14:textId="77777777" w:rsidR="008D6614" w:rsidRDefault="008D6614">
            <w:pPr>
              <w:rPr>
                <w:rFonts w:ascii="宋体"/>
              </w:rPr>
            </w:pPr>
          </w:p>
        </w:tc>
        <w:tc>
          <w:tcPr>
            <w:tcW w:w="0" w:type="auto"/>
            <w:shd w:val="clear" w:color="auto" w:fill="auto"/>
            <w:vAlign w:val="center"/>
          </w:tcPr>
          <w:p w14:paraId="64A88D98" w14:textId="77777777" w:rsidR="008D6614" w:rsidRDefault="008D6614">
            <w:pPr>
              <w:rPr>
                <w:rFonts w:ascii="宋体"/>
              </w:rPr>
            </w:pPr>
          </w:p>
        </w:tc>
      </w:tr>
      <w:tr w:rsidR="008D6614" w14:paraId="64A88DA6" w14:textId="77777777">
        <w:trPr>
          <w:jc w:val="center"/>
        </w:trPr>
        <w:tc>
          <w:tcPr>
            <w:tcW w:w="0" w:type="auto"/>
            <w:gridSpan w:val="3"/>
            <w:shd w:val="clear" w:color="auto" w:fill="FFFFFF"/>
            <w:tcMar>
              <w:top w:w="40" w:type="dxa"/>
              <w:left w:w="20" w:type="dxa"/>
              <w:bottom w:w="40" w:type="dxa"/>
              <w:right w:w="20" w:type="dxa"/>
            </w:tcMar>
            <w:vAlign w:val="bottom"/>
          </w:tcPr>
          <w:p w14:paraId="64A88D9A" w14:textId="77777777" w:rsidR="008D6614" w:rsidRDefault="00866AF2">
            <w:pPr>
              <w:textAlignment w:val="bottom"/>
            </w:pPr>
            <w:r>
              <w:rPr>
                <w:rFonts w:ascii="Arial" w:eastAsia="宋体" w:hAnsi="Arial" w:cs="Arial"/>
                <w:color w:val="000000"/>
                <w:sz w:val="18"/>
                <w:szCs w:val="18"/>
              </w:rPr>
              <w:t xml:space="preserve">Cash flows from </w:t>
            </w:r>
            <w:r>
              <w:rPr>
                <w:rFonts w:ascii="Arial" w:eastAsia="宋体" w:hAnsi="Arial" w:cs="Arial"/>
                <w:color w:val="000000"/>
                <w:sz w:val="18"/>
                <w:szCs w:val="18"/>
              </w:rPr>
              <w:t>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D9B"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64A88D9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D9D"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D9E"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64A88D9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A0" w14:textId="77777777" w:rsidR="008D6614" w:rsidRDefault="008D6614">
            <w:pPr>
              <w:rPr>
                <w:rFonts w:ascii="宋体"/>
              </w:rPr>
            </w:pPr>
          </w:p>
        </w:tc>
        <w:tc>
          <w:tcPr>
            <w:tcW w:w="0" w:type="auto"/>
            <w:shd w:val="clear" w:color="auto" w:fill="auto"/>
            <w:vAlign w:val="center"/>
          </w:tcPr>
          <w:p w14:paraId="64A88DA1" w14:textId="77777777" w:rsidR="008D6614" w:rsidRDefault="008D6614">
            <w:pPr>
              <w:rPr>
                <w:rFonts w:ascii="宋体"/>
              </w:rPr>
            </w:pPr>
          </w:p>
        </w:tc>
        <w:tc>
          <w:tcPr>
            <w:tcW w:w="0" w:type="auto"/>
            <w:shd w:val="clear" w:color="auto" w:fill="auto"/>
            <w:vAlign w:val="center"/>
          </w:tcPr>
          <w:p w14:paraId="64A88DA2" w14:textId="77777777" w:rsidR="008D6614" w:rsidRDefault="008D6614">
            <w:pPr>
              <w:rPr>
                <w:rFonts w:ascii="宋体"/>
              </w:rPr>
            </w:pPr>
          </w:p>
        </w:tc>
        <w:tc>
          <w:tcPr>
            <w:tcW w:w="0" w:type="auto"/>
            <w:shd w:val="clear" w:color="auto" w:fill="auto"/>
            <w:vAlign w:val="center"/>
          </w:tcPr>
          <w:p w14:paraId="64A88DA3" w14:textId="77777777" w:rsidR="008D6614" w:rsidRDefault="008D6614">
            <w:pPr>
              <w:rPr>
                <w:rFonts w:ascii="宋体"/>
              </w:rPr>
            </w:pPr>
          </w:p>
        </w:tc>
        <w:tc>
          <w:tcPr>
            <w:tcW w:w="0" w:type="auto"/>
            <w:shd w:val="clear" w:color="auto" w:fill="auto"/>
            <w:vAlign w:val="center"/>
          </w:tcPr>
          <w:p w14:paraId="64A88DA4" w14:textId="77777777" w:rsidR="008D6614" w:rsidRDefault="008D6614">
            <w:pPr>
              <w:rPr>
                <w:rFonts w:ascii="宋体"/>
              </w:rPr>
            </w:pPr>
          </w:p>
        </w:tc>
        <w:tc>
          <w:tcPr>
            <w:tcW w:w="0" w:type="auto"/>
            <w:shd w:val="clear" w:color="auto" w:fill="auto"/>
            <w:vAlign w:val="center"/>
          </w:tcPr>
          <w:p w14:paraId="64A88DA5" w14:textId="77777777" w:rsidR="008D6614" w:rsidRDefault="008D6614">
            <w:pPr>
              <w:rPr>
                <w:rFonts w:ascii="宋体"/>
              </w:rPr>
            </w:pPr>
          </w:p>
        </w:tc>
      </w:tr>
      <w:tr w:rsidR="008D6614" w14:paraId="64A88DB3" w14:textId="77777777">
        <w:trPr>
          <w:jc w:val="center"/>
        </w:trPr>
        <w:tc>
          <w:tcPr>
            <w:tcW w:w="0" w:type="auto"/>
            <w:gridSpan w:val="3"/>
            <w:shd w:val="clear" w:color="auto" w:fill="DDDDDD"/>
            <w:tcMar>
              <w:top w:w="40" w:type="dxa"/>
              <w:left w:w="225" w:type="dxa"/>
              <w:bottom w:w="40" w:type="dxa"/>
              <w:right w:w="20" w:type="dxa"/>
            </w:tcMar>
            <w:vAlign w:val="bottom"/>
          </w:tcPr>
          <w:p w14:paraId="64A88DA7" w14:textId="77777777" w:rsidR="008D6614" w:rsidRDefault="00866AF2">
            <w:pPr>
              <w:textAlignment w:val="bottom"/>
            </w:pPr>
            <w:r>
              <w:rPr>
                <w:rFonts w:ascii="Arial" w:eastAsia="宋体" w:hAnsi="Arial" w:cs="Arial"/>
                <w:color w:val="000000"/>
                <w:sz w:val="18"/>
                <w:szCs w:val="18"/>
              </w:rPr>
              <w:t>Proceeds from issuance of common stock</w:t>
            </w:r>
          </w:p>
        </w:tc>
        <w:tc>
          <w:tcPr>
            <w:tcW w:w="0" w:type="auto"/>
            <w:gridSpan w:val="2"/>
            <w:shd w:val="clear" w:color="auto" w:fill="DDDDDD"/>
            <w:tcMar>
              <w:top w:w="40" w:type="dxa"/>
              <w:left w:w="20" w:type="dxa"/>
              <w:bottom w:w="40" w:type="dxa"/>
              <w:right w:w="0" w:type="dxa"/>
            </w:tcMar>
            <w:vAlign w:val="bottom"/>
          </w:tcPr>
          <w:p w14:paraId="64A88DA8" w14:textId="77777777" w:rsidR="008D6614" w:rsidRDefault="00866AF2">
            <w:pPr>
              <w:jc w:val="right"/>
              <w:textAlignment w:val="bottom"/>
            </w:pPr>
            <w:r>
              <w:rPr>
                <w:rFonts w:ascii="Arial" w:eastAsia="宋体" w:hAnsi="Arial" w:cs="Arial"/>
                <w:color w:val="000000"/>
                <w:sz w:val="18"/>
                <w:szCs w:val="18"/>
              </w:rPr>
              <w:t>5 </w:t>
            </w:r>
          </w:p>
        </w:tc>
        <w:tc>
          <w:tcPr>
            <w:tcW w:w="0" w:type="auto"/>
            <w:shd w:val="clear" w:color="auto" w:fill="DDDDDD"/>
            <w:tcMar>
              <w:top w:w="40" w:type="dxa"/>
              <w:bottom w:w="40" w:type="dxa"/>
              <w:right w:w="20" w:type="dxa"/>
            </w:tcMar>
            <w:vAlign w:val="bottom"/>
          </w:tcPr>
          <w:p w14:paraId="64A88DA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DAA"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8DAB" w14:textId="77777777" w:rsidR="008D6614" w:rsidRDefault="00866AF2">
            <w:pPr>
              <w:jc w:val="right"/>
              <w:textAlignment w:val="bottom"/>
            </w:pPr>
            <w:r>
              <w:rPr>
                <w:rFonts w:ascii="Arial" w:eastAsia="宋体" w:hAnsi="Arial" w:cs="Arial"/>
                <w:color w:val="000000"/>
                <w:sz w:val="18"/>
                <w:szCs w:val="18"/>
              </w:rPr>
              <w:t>5 </w:t>
            </w:r>
          </w:p>
        </w:tc>
        <w:tc>
          <w:tcPr>
            <w:tcW w:w="0" w:type="auto"/>
            <w:shd w:val="clear" w:color="auto" w:fill="DDDDDD"/>
            <w:tcMar>
              <w:top w:w="40" w:type="dxa"/>
              <w:bottom w:w="40" w:type="dxa"/>
              <w:right w:w="20" w:type="dxa"/>
            </w:tcMar>
            <w:vAlign w:val="bottom"/>
          </w:tcPr>
          <w:p w14:paraId="64A88DA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AD" w14:textId="77777777" w:rsidR="008D6614" w:rsidRDefault="008D6614">
            <w:pPr>
              <w:rPr>
                <w:rFonts w:ascii="宋体"/>
              </w:rPr>
            </w:pPr>
          </w:p>
        </w:tc>
        <w:tc>
          <w:tcPr>
            <w:tcW w:w="0" w:type="auto"/>
            <w:shd w:val="clear" w:color="auto" w:fill="auto"/>
            <w:vAlign w:val="center"/>
          </w:tcPr>
          <w:p w14:paraId="64A88DAE" w14:textId="77777777" w:rsidR="008D6614" w:rsidRDefault="008D6614">
            <w:pPr>
              <w:rPr>
                <w:rFonts w:ascii="宋体"/>
              </w:rPr>
            </w:pPr>
          </w:p>
        </w:tc>
        <w:tc>
          <w:tcPr>
            <w:tcW w:w="0" w:type="auto"/>
            <w:shd w:val="clear" w:color="auto" w:fill="auto"/>
            <w:vAlign w:val="center"/>
          </w:tcPr>
          <w:p w14:paraId="64A88DAF" w14:textId="77777777" w:rsidR="008D6614" w:rsidRDefault="008D6614">
            <w:pPr>
              <w:rPr>
                <w:rFonts w:ascii="宋体"/>
              </w:rPr>
            </w:pPr>
          </w:p>
        </w:tc>
        <w:tc>
          <w:tcPr>
            <w:tcW w:w="0" w:type="auto"/>
            <w:shd w:val="clear" w:color="auto" w:fill="auto"/>
            <w:vAlign w:val="center"/>
          </w:tcPr>
          <w:p w14:paraId="64A88DB0" w14:textId="77777777" w:rsidR="008D6614" w:rsidRDefault="008D6614">
            <w:pPr>
              <w:rPr>
                <w:rFonts w:ascii="宋体"/>
              </w:rPr>
            </w:pPr>
          </w:p>
        </w:tc>
        <w:tc>
          <w:tcPr>
            <w:tcW w:w="0" w:type="auto"/>
            <w:shd w:val="clear" w:color="auto" w:fill="auto"/>
            <w:vAlign w:val="center"/>
          </w:tcPr>
          <w:p w14:paraId="64A88DB1" w14:textId="77777777" w:rsidR="008D6614" w:rsidRDefault="008D6614">
            <w:pPr>
              <w:rPr>
                <w:rFonts w:ascii="宋体"/>
              </w:rPr>
            </w:pPr>
          </w:p>
        </w:tc>
        <w:tc>
          <w:tcPr>
            <w:tcW w:w="0" w:type="auto"/>
            <w:shd w:val="clear" w:color="auto" w:fill="auto"/>
            <w:vAlign w:val="center"/>
          </w:tcPr>
          <w:p w14:paraId="64A88DB2" w14:textId="77777777" w:rsidR="008D6614" w:rsidRDefault="008D6614">
            <w:pPr>
              <w:rPr>
                <w:rFonts w:ascii="宋体"/>
              </w:rPr>
            </w:pPr>
          </w:p>
        </w:tc>
      </w:tr>
      <w:tr w:rsidR="008D6614" w14:paraId="64A88DC0" w14:textId="77777777">
        <w:trPr>
          <w:jc w:val="center"/>
        </w:trPr>
        <w:tc>
          <w:tcPr>
            <w:tcW w:w="0" w:type="auto"/>
            <w:gridSpan w:val="3"/>
            <w:shd w:val="clear" w:color="auto" w:fill="FFFFFF"/>
            <w:tcMar>
              <w:top w:w="40" w:type="dxa"/>
              <w:left w:w="225" w:type="dxa"/>
              <w:bottom w:w="40" w:type="dxa"/>
              <w:right w:w="20" w:type="dxa"/>
            </w:tcMar>
            <w:vAlign w:val="bottom"/>
          </w:tcPr>
          <w:p w14:paraId="64A88DB4" w14:textId="77777777" w:rsidR="008D6614" w:rsidRDefault="00866AF2">
            <w:pPr>
              <w:textAlignment w:val="bottom"/>
            </w:pPr>
            <w:r>
              <w:rPr>
                <w:rFonts w:ascii="Arial" w:eastAsia="宋体" w:hAnsi="Arial" w:cs="Arial"/>
                <w:color w:val="000000"/>
                <w:sz w:val="18"/>
                <w:szCs w:val="18"/>
              </w:rPr>
              <w:t>Repurchases of common stock</w:t>
            </w:r>
          </w:p>
        </w:tc>
        <w:tc>
          <w:tcPr>
            <w:tcW w:w="0" w:type="auto"/>
            <w:gridSpan w:val="2"/>
            <w:shd w:val="clear" w:color="auto" w:fill="FFFFFF"/>
            <w:tcMar>
              <w:top w:w="40" w:type="dxa"/>
              <w:left w:w="20" w:type="dxa"/>
              <w:bottom w:w="40" w:type="dxa"/>
              <w:right w:w="0" w:type="dxa"/>
            </w:tcMar>
            <w:vAlign w:val="bottom"/>
          </w:tcPr>
          <w:p w14:paraId="64A88DB5" w14:textId="77777777" w:rsidR="008D6614" w:rsidRDefault="00866AF2">
            <w:pPr>
              <w:jc w:val="right"/>
              <w:textAlignment w:val="bottom"/>
            </w:pPr>
            <w:r>
              <w:rPr>
                <w:rFonts w:ascii="Arial" w:eastAsia="宋体" w:hAnsi="Arial" w:cs="Arial"/>
                <w:color w:val="000000"/>
                <w:sz w:val="18"/>
                <w:szCs w:val="18"/>
              </w:rPr>
              <w:t>(3,997)</w:t>
            </w:r>
          </w:p>
        </w:tc>
        <w:tc>
          <w:tcPr>
            <w:tcW w:w="0" w:type="auto"/>
            <w:shd w:val="clear" w:color="auto" w:fill="FFFFFF"/>
            <w:tcMar>
              <w:top w:w="40" w:type="dxa"/>
              <w:bottom w:w="40" w:type="dxa"/>
              <w:right w:w="20" w:type="dxa"/>
            </w:tcMar>
            <w:vAlign w:val="bottom"/>
          </w:tcPr>
          <w:p w14:paraId="64A88DB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DB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DB8" w14:textId="77777777" w:rsidR="008D6614" w:rsidRDefault="00866AF2">
            <w:pPr>
              <w:jc w:val="right"/>
              <w:textAlignment w:val="bottom"/>
            </w:pPr>
            <w:r>
              <w:rPr>
                <w:rFonts w:ascii="Arial" w:eastAsia="宋体" w:hAnsi="Arial" w:cs="Arial"/>
                <w:color w:val="000000"/>
                <w:sz w:val="18"/>
                <w:szCs w:val="18"/>
              </w:rPr>
              <w:t>(1,431)</w:t>
            </w:r>
          </w:p>
        </w:tc>
        <w:tc>
          <w:tcPr>
            <w:tcW w:w="0" w:type="auto"/>
            <w:shd w:val="clear" w:color="auto" w:fill="FFFFFF"/>
            <w:tcMar>
              <w:top w:w="40" w:type="dxa"/>
              <w:bottom w:w="40" w:type="dxa"/>
              <w:right w:w="20" w:type="dxa"/>
            </w:tcMar>
            <w:vAlign w:val="bottom"/>
          </w:tcPr>
          <w:p w14:paraId="64A88DB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BA" w14:textId="77777777" w:rsidR="008D6614" w:rsidRDefault="008D6614">
            <w:pPr>
              <w:rPr>
                <w:rFonts w:ascii="宋体"/>
              </w:rPr>
            </w:pPr>
          </w:p>
        </w:tc>
        <w:tc>
          <w:tcPr>
            <w:tcW w:w="0" w:type="auto"/>
            <w:shd w:val="clear" w:color="auto" w:fill="auto"/>
            <w:vAlign w:val="center"/>
          </w:tcPr>
          <w:p w14:paraId="64A88DBB" w14:textId="77777777" w:rsidR="008D6614" w:rsidRDefault="008D6614">
            <w:pPr>
              <w:rPr>
                <w:rFonts w:ascii="宋体"/>
              </w:rPr>
            </w:pPr>
          </w:p>
        </w:tc>
        <w:tc>
          <w:tcPr>
            <w:tcW w:w="0" w:type="auto"/>
            <w:shd w:val="clear" w:color="auto" w:fill="auto"/>
            <w:vAlign w:val="center"/>
          </w:tcPr>
          <w:p w14:paraId="64A88DBC" w14:textId="77777777" w:rsidR="008D6614" w:rsidRDefault="008D6614">
            <w:pPr>
              <w:rPr>
                <w:rFonts w:ascii="宋体"/>
              </w:rPr>
            </w:pPr>
          </w:p>
        </w:tc>
        <w:tc>
          <w:tcPr>
            <w:tcW w:w="0" w:type="auto"/>
            <w:shd w:val="clear" w:color="auto" w:fill="auto"/>
            <w:vAlign w:val="center"/>
          </w:tcPr>
          <w:p w14:paraId="64A88DBD" w14:textId="77777777" w:rsidR="008D6614" w:rsidRDefault="008D6614">
            <w:pPr>
              <w:rPr>
                <w:rFonts w:ascii="宋体"/>
              </w:rPr>
            </w:pPr>
          </w:p>
        </w:tc>
        <w:tc>
          <w:tcPr>
            <w:tcW w:w="0" w:type="auto"/>
            <w:shd w:val="clear" w:color="auto" w:fill="auto"/>
            <w:vAlign w:val="center"/>
          </w:tcPr>
          <w:p w14:paraId="64A88DBE" w14:textId="77777777" w:rsidR="008D6614" w:rsidRDefault="008D6614">
            <w:pPr>
              <w:rPr>
                <w:rFonts w:ascii="宋体"/>
              </w:rPr>
            </w:pPr>
          </w:p>
        </w:tc>
        <w:tc>
          <w:tcPr>
            <w:tcW w:w="0" w:type="auto"/>
            <w:shd w:val="clear" w:color="auto" w:fill="auto"/>
            <w:vAlign w:val="center"/>
          </w:tcPr>
          <w:p w14:paraId="64A88DBF" w14:textId="77777777" w:rsidR="008D6614" w:rsidRDefault="008D6614">
            <w:pPr>
              <w:rPr>
                <w:rFonts w:ascii="宋体"/>
              </w:rPr>
            </w:pPr>
          </w:p>
        </w:tc>
      </w:tr>
      <w:tr w:rsidR="008D6614" w14:paraId="64A88DCD" w14:textId="77777777">
        <w:trPr>
          <w:jc w:val="center"/>
        </w:trPr>
        <w:tc>
          <w:tcPr>
            <w:tcW w:w="0" w:type="auto"/>
            <w:gridSpan w:val="3"/>
            <w:shd w:val="clear" w:color="auto" w:fill="DDDDDD"/>
            <w:tcMar>
              <w:top w:w="40" w:type="dxa"/>
              <w:left w:w="225" w:type="dxa"/>
              <w:bottom w:w="40" w:type="dxa"/>
              <w:right w:w="20" w:type="dxa"/>
            </w:tcMar>
            <w:vAlign w:val="bottom"/>
          </w:tcPr>
          <w:p w14:paraId="64A88DC1" w14:textId="77777777" w:rsidR="008D6614" w:rsidRDefault="00866AF2">
            <w:pPr>
              <w:textAlignment w:val="bottom"/>
            </w:pPr>
            <w:r>
              <w:rPr>
                <w:rFonts w:ascii="Arial" w:eastAsia="宋体" w:hAnsi="Arial" w:cs="Arial"/>
                <w:color w:val="000000"/>
                <w:sz w:val="18"/>
                <w:szCs w:val="18"/>
              </w:rPr>
              <w:t>Payments for taxes related to net share settlements of restricted stock units and awards</w:t>
            </w:r>
          </w:p>
        </w:tc>
        <w:tc>
          <w:tcPr>
            <w:tcW w:w="0" w:type="auto"/>
            <w:gridSpan w:val="2"/>
            <w:shd w:val="clear" w:color="auto" w:fill="DDDDDD"/>
            <w:tcMar>
              <w:top w:w="40" w:type="dxa"/>
              <w:left w:w="20" w:type="dxa"/>
              <w:bottom w:w="40" w:type="dxa"/>
              <w:right w:w="0" w:type="dxa"/>
            </w:tcMar>
            <w:vAlign w:val="bottom"/>
          </w:tcPr>
          <w:p w14:paraId="64A88DC2" w14:textId="77777777" w:rsidR="008D6614" w:rsidRDefault="00866AF2">
            <w:pPr>
              <w:jc w:val="right"/>
              <w:textAlignment w:val="bottom"/>
            </w:pPr>
            <w:r>
              <w:rPr>
                <w:rFonts w:ascii="Arial" w:eastAsia="宋体" w:hAnsi="Arial" w:cs="Arial"/>
                <w:color w:val="000000"/>
                <w:sz w:val="18"/>
                <w:szCs w:val="18"/>
              </w:rPr>
              <w:t>(40)</w:t>
            </w:r>
          </w:p>
        </w:tc>
        <w:tc>
          <w:tcPr>
            <w:tcW w:w="0" w:type="auto"/>
            <w:shd w:val="clear" w:color="auto" w:fill="DDDDDD"/>
            <w:tcMar>
              <w:top w:w="40" w:type="dxa"/>
              <w:bottom w:w="40" w:type="dxa"/>
              <w:right w:w="20" w:type="dxa"/>
            </w:tcMar>
            <w:vAlign w:val="bottom"/>
          </w:tcPr>
          <w:p w14:paraId="64A88DC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DC4"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8DC5" w14:textId="77777777" w:rsidR="008D6614" w:rsidRDefault="00866AF2">
            <w:pPr>
              <w:jc w:val="right"/>
              <w:textAlignment w:val="bottom"/>
            </w:pPr>
            <w:r>
              <w:rPr>
                <w:rFonts w:ascii="Arial" w:eastAsia="宋体" w:hAnsi="Arial" w:cs="Arial"/>
                <w:color w:val="000000"/>
                <w:sz w:val="18"/>
                <w:szCs w:val="18"/>
              </w:rPr>
              <w:t>(54)</w:t>
            </w:r>
          </w:p>
        </w:tc>
        <w:tc>
          <w:tcPr>
            <w:tcW w:w="0" w:type="auto"/>
            <w:shd w:val="clear" w:color="auto" w:fill="DDDDDD"/>
            <w:tcMar>
              <w:top w:w="40" w:type="dxa"/>
              <w:bottom w:w="40" w:type="dxa"/>
              <w:right w:w="20" w:type="dxa"/>
            </w:tcMar>
            <w:vAlign w:val="bottom"/>
          </w:tcPr>
          <w:p w14:paraId="64A88DC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C7" w14:textId="77777777" w:rsidR="008D6614" w:rsidRDefault="008D6614">
            <w:pPr>
              <w:rPr>
                <w:rFonts w:ascii="宋体"/>
              </w:rPr>
            </w:pPr>
          </w:p>
        </w:tc>
        <w:tc>
          <w:tcPr>
            <w:tcW w:w="0" w:type="auto"/>
            <w:shd w:val="clear" w:color="auto" w:fill="auto"/>
            <w:vAlign w:val="center"/>
          </w:tcPr>
          <w:p w14:paraId="64A88DC8" w14:textId="77777777" w:rsidR="008D6614" w:rsidRDefault="008D6614">
            <w:pPr>
              <w:rPr>
                <w:rFonts w:ascii="宋体"/>
              </w:rPr>
            </w:pPr>
          </w:p>
        </w:tc>
        <w:tc>
          <w:tcPr>
            <w:tcW w:w="0" w:type="auto"/>
            <w:shd w:val="clear" w:color="auto" w:fill="auto"/>
            <w:vAlign w:val="center"/>
          </w:tcPr>
          <w:p w14:paraId="64A88DC9" w14:textId="77777777" w:rsidR="008D6614" w:rsidRDefault="008D6614">
            <w:pPr>
              <w:rPr>
                <w:rFonts w:ascii="宋体"/>
              </w:rPr>
            </w:pPr>
          </w:p>
        </w:tc>
        <w:tc>
          <w:tcPr>
            <w:tcW w:w="0" w:type="auto"/>
            <w:shd w:val="clear" w:color="auto" w:fill="auto"/>
            <w:vAlign w:val="center"/>
          </w:tcPr>
          <w:p w14:paraId="64A88DCA" w14:textId="77777777" w:rsidR="008D6614" w:rsidRDefault="008D6614">
            <w:pPr>
              <w:rPr>
                <w:rFonts w:ascii="宋体"/>
              </w:rPr>
            </w:pPr>
          </w:p>
        </w:tc>
        <w:tc>
          <w:tcPr>
            <w:tcW w:w="0" w:type="auto"/>
            <w:shd w:val="clear" w:color="auto" w:fill="auto"/>
            <w:vAlign w:val="center"/>
          </w:tcPr>
          <w:p w14:paraId="64A88DCB" w14:textId="77777777" w:rsidR="008D6614" w:rsidRDefault="008D6614">
            <w:pPr>
              <w:rPr>
                <w:rFonts w:ascii="宋体"/>
              </w:rPr>
            </w:pPr>
          </w:p>
        </w:tc>
        <w:tc>
          <w:tcPr>
            <w:tcW w:w="0" w:type="auto"/>
            <w:shd w:val="clear" w:color="auto" w:fill="auto"/>
            <w:vAlign w:val="center"/>
          </w:tcPr>
          <w:p w14:paraId="64A88DCC" w14:textId="77777777" w:rsidR="008D6614" w:rsidRDefault="008D6614">
            <w:pPr>
              <w:rPr>
                <w:rFonts w:ascii="宋体"/>
              </w:rPr>
            </w:pPr>
          </w:p>
        </w:tc>
      </w:tr>
      <w:tr w:rsidR="008D6614" w14:paraId="64A88DDA" w14:textId="77777777">
        <w:trPr>
          <w:jc w:val="center"/>
        </w:trPr>
        <w:tc>
          <w:tcPr>
            <w:tcW w:w="0" w:type="auto"/>
            <w:gridSpan w:val="3"/>
            <w:shd w:val="clear" w:color="auto" w:fill="FFFFFF"/>
            <w:tcMar>
              <w:top w:w="40" w:type="dxa"/>
              <w:left w:w="225" w:type="dxa"/>
              <w:bottom w:w="40" w:type="dxa"/>
              <w:right w:w="20" w:type="dxa"/>
            </w:tcMar>
            <w:vAlign w:val="bottom"/>
          </w:tcPr>
          <w:p w14:paraId="64A88DCE" w14:textId="77777777" w:rsidR="008D6614" w:rsidRDefault="00866AF2">
            <w:pPr>
              <w:textAlignment w:val="bottom"/>
            </w:pPr>
            <w:r>
              <w:rPr>
                <w:rFonts w:ascii="Arial" w:eastAsia="宋体" w:hAnsi="Arial" w:cs="Arial"/>
                <w:color w:val="000000"/>
                <w:sz w:val="18"/>
                <w:szCs w:val="18"/>
              </w:rPr>
              <w:t>Payments for dividends</w:t>
            </w:r>
          </w:p>
        </w:tc>
        <w:tc>
          <w:tcPr>
            <w:tcW w:w="0" w:type="auto"/>
            <w:gridSpan w:val="2"/>
            <w:shd w:val="clear" w:color="auto" w:fill="FFFFFF"/>
            <w:tcMar>
              <w:top w:w="40" w:type="dxa"/>
              <w:left w:w="20" w:type="dxa"/>
              <w:bottom w:w="40" w:type="dxa"/>
              <w:right w:w="0" w:type="dxa"/>
            </w:tcMar>
            <w:vAlign w:val="bottom"/>
          </w:tcPr>
          <w:p w14:paraId="64A88DCF" w14:textId="77777777" w:rsidR="008D6614" w:rsidRDefault="00866AF2">
            <w:pPr>
              <w:jc w:val="right"/>
              <w:textAlignment w:val="bottom"/>
            </w:pPr>
            <w:r>
              <w:rPr>
                <w:rFonts w:ascii="Arial" w:eastAsia="宋体" w:hAnsi="Arial" w:cs="Arial"/>
                <w:color w:val="000000"/>
                <w:sz w:val="18"/>
                <w:szCs w:val="18"/>
              </w:rPr>
              <w:t>(114)</w:t>
            </w:r>
          </w:p>
        </w:tc>
        <w:tc>
          <w:tcPr>
            <w:tcW w:w="0" w:type="auto"/>
            <w:shd w:val="clear" w:color="auto" w:fill="FFFFFF"/>
            <w:tcMar>
              <w:top w:w="40" w:type="dxa"/>
              <w:bottom w:w="40" w:type="dxa"/>
              <w:right w:w="20" w:type="dxa"/>
            </w:tcMar>
            <w:vAlign w:val="bottom"/>
          </w:tcPr>
          <w:p w14:paraId="64A88DD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DD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DD2" w14:textId="77777777" w:rsidR="008D6614" w:rsidRDefault="00866AF2">
            <w:pPr>
              <w:jc w:val="right"/>
              <w:textAlignment w:val="bottom"/>
            </w:pPr>
            <w:r>
              <w:rPr>
                <w:rFonts w:ascii="Arial" w:eastAsia="宋体" w:hAnsi="Arial" w:cs="Arial"/>
                <w:color w:val="000000"/>
                <w:sz w:val="18"/>
                <w:szCs w:val="18"/>
              </w:rPr>
              <w:t>(125)</w:t>
            </w:r>
          </w:p>
        </w:tc>
        <w:tc>
          <w:tcPr>
            <w:tcW w:w="0" w:type="auto"/>
            <w:shd w:val="clear" w:color="auto" w:fill="FFFFFF"/>
            <w:tcMar>
              <w:top w:w="40" w:type="dxa"/>
              <w:bottom w:w="40" w:type="dxa"/>
              <w:right w:w="20" w:type="dxa"/>
            </w:tcMar>
            <w:vAlign w:val="bottom"/>
          </w:tcPr>
          <w:p w14:paraId="64A88DD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D4" w14:textId="77777777" w:rsidR="008D6614" w:rsidRDefault="008D6614">
            <w:pPr>
              <w:rPr>
                <w:rFonts w:ascii="宋体"/>
              </w:rPr>
            </w:pPr>
          </w:p>
        </w:tc>
        <w:tc>
          <w:tcPr>
            <w:tcW w:w="0" w:type="auto"/>
            <w:shd w:val="clear" w:color="auto" w:fill="auto"/>
            <w:vAlign w:val="center"/>
          </w:tcPr>
          <w:p w14:paraId="64A88DD5" w14:textId="77777777" w:rsidR="008D6614" w:rsidRDefault="008D6614">
            <w:pPr>
              <w:rPr>
                <w:rFonts w:ascii="宋体"/>
              </w:rPr>
            </w:pPr>
          </w:p>
        </w:tc>
        <w:tc>
          <w:tcPr>
            <w:tcW w:w="0" w:type="auto"/>
            <w:shd w:val="clear" w:color="auto" w:fill="auto"/>
            <w:vAlign w:val="center"/>
          </w:tcPr>
          <w:p w14:paraId="64A88DD6" w14:textId="77777777" w:rsidR="008D6614" w:rsidRDefault="008D6614">
            <w:pPr>
              <w:rPr>
                <w:rFonts w:ascii="宋体"/>
              </w:rPr>
            </w:pPr>
          </w:p>
        </w:tc>
        <w:tc>
          <w:tcPr>
            <w:tcW w:w="0" w:type="auto"/>
            <w:shd w:val="clear" w:color="auto" w:fill="auto"/>
            <w:vAlign w:val="center"/>
          </w:tcPr>
          <w:p w14:paraId="64A88DD7" w14:textId="77777777" w:rsidR="008D6614" w:rsidRDefault="008D6614">
            <w:pPr>
              <w:rPr>
                <w:rFonts w:ascii="宋体"/>
              </w:rPr>
            </w:pPr>
          </w:p>
        </w:tc>
        <w:tc>
          <w:tcPr>
            <w:tcW w:w="0" w:type="auto"/>
            <w:shd w:val="clear" w:color="auto" w:fill="auto"/>
            <w:vAlign w:val="center"/>
          </w:tcPr>
          <w:p w14:paraId="64A88DD8" w14:textId="77777777" w:rsidR="008D6614" w:rsidRDefault="008D6614">
            <w:pPr>
              <w:rPr>
                <w:rFonts w:ascii="宋体"/>
              </w:rPr>
            </w:pPr>
          </w:p>
        </w:tc>
        <w:tc>
          <w:tcPr>
            <w:tcW w:w="0" w:type="auto"/>
            <w:shd w:val="clear" w:color="auto" w:fill="auto"/>
            <w:vAlign w:val="center"/>
          </w:tcPr>
          <w:p w14:paraId="64A88DD9" w14:textId="77777777" w:rsidR="008D6614" w:rsidRDefault="008D6614">
            <w:pPr>
              <w:rPr>
                <w:rFonts w:ascii="宋体"/>
              </w:rPr>
            </w:pPr>
          </w:p>
        </w:tc>
      </w:tr>
      <w:tr w:rsidR="008D6614" w14:paraId="64A88DE7" w14:textId="77777777">
        <w:trPr>
          <w:jc w:val="center"/>
        </w:trPr>
        <w:tc>
          <w:tcPr>
            <w:tcW w:w="0" w:type="auto"/>
            <w:gridSpan w:val="3"/>
            <w:shd w:val="clear" w:color="auto" w:fill="DDDDDD"/>
            <w:tcMar>
              <w:top w:w="40" w:type="dxa"/>
              <w:left w:w="225" w:type="dxa"/>
              <w:bottom w:w="40" w:type="dxa"/>
              <w:right w:w="20" w:type="dxa"/>
            </w:tcMar>
            <w:vAlign w:val="bottom"/>
          </w:tcPr>
          <w:p w14:paraId="64A88DDB" w14:textId="77777777" w:rsidR="008D6614" w:rsidRDefault="00866AF2">
            <w:pPr>
              <w:textAlignment w:val="bottom"/>
            </w:pPr>
            <w:r>
              <w:rPr>
                <w:rFonts w:ascii="Arial" w:eastAsia="宋体" w:hAnsi="Arial" w:cs="Arial"/>
                <w:color w:val="000000"/>
                <w:sz w:val="18"/>
                <w:szCs w:val="18"/>
              </w:rPr>
              <w:t>Proceeds from issuance of long-term debt, net</w:t>
            </w:r>
          </w:p>
        </w:tc>
        <w:tc>
          <w:tcPr>
            <w:tcW w:w="0" w:type="auto"/>
            <w:gridSpan w:val="2"/>
            <w:shd w:val="clear" w:color="auto" w:fill="DDDDDD"/>
            <w:tcMar>
              <w:top w:w="40" w:type="dxa"/>
              <w:left w:w="20" w:type="dxa"/>
              <w:bottom w:w="40" w:type="dxa"/>
              <w:right w:w="0" w:type="dxa"/>
            </w:tcMar>
            <w:vAlign w:val="bottom"/>
          </w:tcPr>
          <w:p w14:paraId="64A88DDC" w14:textId="77777777" w:rsidR="008D6614" w:rsidRDefault="00866AF2">
            <w:pPr>
              <w:jc w:val="right"/>
              <w:textAlignment w:val="bottom"/>
            </w:pPr>
            <w:r>
              <w:rPr>
                <w:rFonts w:ascii="Arial" w:eastAsia="宋体" w:hAnsi="Arial" w:cs="Arial"/>
                <w:color w:val="000000"/>
                <w:sz w:val="18"/>
                <w:szCs w:val="18"/>
              </w:rPr>
              <w:t>994 </w:t>
            </w:r>
          </w:p>
        </w:tc>
        <w:tc>
          <w:tcPr>
            <w:tcW w:w="0" w:type="auto"/>
            <w:shd w:val="clear" w:color="auto" w:fill="DDDDDD"/>
            <w:tcMar>
              <w:top w:w="40" w:type="dxa"/>
              <w:bottom w:w="40" w:type="dxa"/>
              <w:right w:w="20" w:type="dxa"/>
            </w:tcMar>
            <w:vAlign w:val="bottom"/>
          </w:tcPr>
          <w:p w14:paraId="64A88DD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DDE"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8DD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DDDDDD"/>
            <w:tcMar>
              <w:top w:w="40" w:type="dxa"/>
              <w:bottom w:w="40" w:type="dxa"/>
              <w:right w:w="20" w:type="dxa"/>
            </w:tcMar>
            <w:vAlign w:val="bottom"/>
          </w:tcPr>
          <w:p w14:paraId="64A88DE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DE1" w14:textId="77777777" w:rsidR="008D6614" w:rsidRDefault="008D6614">
            <w:pPr>
              <w:rPr>
                <w:rFonts w:ascii="宋体"/>
              </w:rPr>
            </w:pPr>
          </w:p>
        </w:tc>
        <w:tc>
          <w:tcPr>
            <w:tcW w:w="0" w:type="auto"/>
            <w:shd w:val="clear" w:color="auto" w:fill="auto"/>
            <w:vAlign w:val="center"/>
          </w:tcPr>
          <w:p w14:paraId="64A88DE2" w14:textId="77777777" w:rsidR="008D6614" w:rsidRDefault="008D6614">
            <w:pPr>
              <w:rPr>
                <w:rFonts w:ascii="宋体"/>
              </w:rPr>
            </w:pPr>
          </w:p>
        </w:tc>
        <w:tc>
          <w:tcPr>
            <w:tcW w:w="0" w:type="auto"/>
            <w:shd w:val="clear" w:color="auto" w:fill="auto"/>
            <w:vAlign w:val="center"/>
          </w:tcPr>
          <w:p w14:paraId="64A88DE3" w14:textId="77777777" w:rsidR="008D6614" w:rsidRDefault="008D6614">
            <w:pPr>
              <w:rPr>
                <w:rFonts w:ascii="宋体"/>
              </w:rPr>
            </w:pPr>
          </w:p>
        </w:tc>
        <w:tc>
          <w:tcPr>
            <w:tcW w:w="0" w:type="auto"/>
            <w:shd w:val="clear" w:color="auto" w:fill="auto"/>
            <w:vAlign w:val="center"/>
          </w:tcPr>
          <w:p w14:paraId="64A88DE4" w14:textId="77777777" w:rsidR="008D6614" w:rsidRDefault="008D6614">
            <w:pPr>
              <w:rPr>
                <w:rFonts w:ascii="宋体"/>
              </w:rPr>
            </w:pPr>
          </w:p>
        </w:tc>
        <w:tc>
          <w:tcPr>
            <w:tcW w:w="0" w:type="auto"/>
            <w:shd w:val="clear" w:color="auto" w:fill="auto"/>
            <w:vAlign w:val="center"/>
          </w:tcPr>
          <w:p w14:paraId="64A88DE5" w14:textId="77777777" w:rsidR="008D6614" w:rsidRDefault="008D6614">
            <w:pPr>
              <w:rPr>
                <w:rFonts w:ascii="宋体"/>
              </w:rPr>
            </w:pPr>
          </w:p>
        </w:tc>
        <w:tc>
          <w:tcPr>
            <w:tcW w:w="0" w:type="auto"/>
            <w:shd w:val="clear" w:color="auto" w:fill="auto"/>
            <w:vAlign w:val="center"/>
          </w:tcPr>
          <w:p w14:paraId="64A88DE6" w14:textId="77777777" w:rsidR="008D6614" w:rsidRDefault="008D6614">
            <w:pPr>
              <w:rPr>
                <w:rFonts w:ascii="宋体"/>
              </w:rPr>
            </w:pPr>
          </w:p>
        </w:tc>
      </w:tr>
      <w:tr w:rsidR="008D6614" w14:paraId="64A88DF2" w14:textId="77777777">
        <w:trPr>
          <w:jc w:val="center"/>
          <w:hidden/>
        </w:trPr>
        <w:tc>
          <w:tcPr>
            <w:tcW w:w="0" w:type="auto"/>
            <w:gridSpan w:val="3"/>
            <w:shd w:val="clear" w:color="auto" w:fill="auto"/>
            <w:vAlign w:val="center"/>
          </w:tcPr>
          <w:p w14:paraId="64A88DE8" w14:textId="77777777" w:rsidR="008D6614" w:rsidRDefault="008D6614">
            <w:pPr>
              <w:rPr>
                <w:rFonts w:ascii="宋体"/>
                <w:vanish/>
              </w:rPr>
            </w:pPr>
          </w:p>
        </w:tc>
        <w:tc>
          <w:tcPr>
            <w:tcW w:w="0" w:type="auto"/>
            <w:gridSpan w:val="3"/>
            <w:shd w:val="clear" w:color="auto" w:fill="auto"/>
            <w:vAlign w:val="center"/>
          </w:tcPr>
          <w:p w14:paraId="64A88DE9" w14:textId="77777777" w:rsidR="008D6614" w:rsidRDefault="008D6614">
            <w:pPr>
              <w:rPr>
                <w:rFonts w:ascii="宋体"/>
                <w:vanish/>
              </w:rPr>
            </w:pPr>
          </w:p>
        </w:tc>
        <w:tc>
          <w:tcPr>
            <w:tcW w:w="0" w:type="auto"/>
            <w:gridSpan w:val="3"/>
            <w:shd w:val="clear" w:color="auto" w:fill="auto"/>
            <w:vAlign w:val="center"/>
          </w:tcPr>
          <w:p w14:paraId="64A88DEA" w14:textId="77777777" w:rsidR="008D6614" w:rsidRDefault="008D6614">
            <w:pPr>
              <w:rPr>
                <w:rFonts w:ascii="宋体"/>
                <w:vanish/>
              </w:rPr>
            </w:pPr>
          </w:p>
        </w:tc>
        <w:tc>
          <w:tcPr>
            <w:tcW w:w="0" w:type="auto"/>
            <w:gridSpan w:val="3"/>
            <w:shd w:val="clear" w:color="auto" w:fill="auto"/>
            <w:vAlign w:val="center"/>
          </w:tcPr>
          <w:p w14:paraId="64A88DEB" w14:textId="77777777" w:rsidR="008D6614" w:rsidRDefault="008D6614">
            <w:pPr>
              <w:rPr>
                <w:rFonts w:ascii="宋体"/>
                <w:vanish/>
              </w:rPr>
            </w:pPr>
          </w:p>
        </w:tc>
        <w:tc>
          <w:tcPr>
            <w:tcW w:w="0" w:type="auto"/>
            <w:shd w:val="clear" w:color="auto" w:fill="auto"/>
            <w:vAlign w:val="center"/>
          </w:tcPr>
          <w:p w14:paraId="64A88DEC" w14:textId="77777777" w:rsidR="008D6614" w:rsidRDefault="008D6614">
            <w:pPr>
              <w:rPr>
                <w:rFonts w:ascii="宋体"/>
              </w:rPr>
            </w:pPr>
          </w:p>
        </w:tc>
        <w:tc>
          <w:tcPr>
            <w:tcW w:w="0" w:type="auto"/>
            <w:shd w:val="clear" w:color="auto" w:fill="auto"/>
            <w:vAlign w:val="center"/>
          </w:tcPr>
          <w:p w14:paraId="64A88DED" w14:textId="77777777" w:rsidR="008D6614" w:rsidRDefault="008D6614">
            <w:pPr>
              <w:rPr>
                <w:rFonts w:ascii="宋体"/>
              </w:rPr>
            </w:pPr>
          </w:p>
        </w:tc>
        <w:tc>
          <w:tcPr>
            <w:tcW w:w="0" w:type="auto"/>
            <w:shd w:val="clear" w:color="auto" w:fill="auto"/>
            <w:vAlign w:val="center"/>
          </w:tcPr>
          <w:p w14:paraId="64A88DEE" w14:textId="77777777" w:rsidR="008D6614" w:rsidRDefault="008D6614">
            <w:pPr>
              <w:rPr>
                <w:rFonts w:ascii="宋体"/>
              </w:rPr>
            </w:pPr>
          </w:p>
        </w:tc>
        <w:tc>
          <w:tcPr>
            <w:tcW w:w="0" w:type="auto"/>
            <w:shd w:val="clear" w:color="auto" w:fill="auto"/>
            <w:vAlign w:val="center"/>
          </w:tcPr>
          <w:p w14:paraId="64A88DEF" w14:textId="77777777" w:rsidR="008D6614" w:rsidRDefault="008D6614">
            <w:pPr>
              <w:rPr>
                <w:rFonts w:ascii="宋体"/>
              </w:rPr>
            </w:pPr>
          </w:p>
        </w:tc>
        <w:tc>
          <w:tcPr>
            <w:tcW w:w="0" w:type="auto"/>
            <w:shd w:val="clear" w:color="auto" w:fill="auto"/>
            <w:vAlign w:val="center"/>
          </w:tcPr>
          <w:p w14:paraId="64A88DF0" w14:textId="77777777" w:rsidR="008D6614" w:rsidRDefault="008D6614">
            <w:pPr>
              <w:rPr>
                <w:rFonts w:ascii="宋体"/>
              </w:rPr>
            </w:pPr>
          </w:p>
        </w:tc>
        <w:tc>
          <w:tcPr>
            <w:tcW w:w="0" w:type="auto"/>
            <w:shd w:val="clear" w:color="auto" w:fill="auto"/>
            <w:vAlign w:val="center"/>
          </w:tcPr>
          <w:p w14:paraId="64A88DF1" w14:textId="77777777" w:rsidR="008D6614" w:rsidRDefault="008D6614">
            <w:pPr>
              <w:rPr>
                <w:rFonts w:ascii="宋体"/>
              </w:rPr>
            </w:pPr>
          </w:p>
        </w:tc>
      </w:tr>
      <w:tr w:rsidR="008D6614" w14:paraId="64A88DFD" w14:textId="77777777">
        <w:trPr>
          <w:jc w:val="center"/>
          <w:hidden/>
        </w:trPr>
        <w:tc>
          <w:tcPr>
            <w:tcW w:w="0" w:type="auto"/>
            <w:gridSpan w:val="3"/>
            <w:shd w:val="clear" w:color="auto" w:fill="auto"/>
            <w:vAlign w:val="center"/>
          </w:tcPr>
          <w:p w14:paraId="64A88DF3" w14:textId="77777777" w:rsidR="008D6614" w:rsidRDefault="008D6614">
            <w:pPr>
              <w:rPr>
                <w:rFonts w:ascii="宋体"/>
                <w:vanish/>
              </w:rPr>
            </w:pPr>
          </w:p>
        </w:tc>
        <w:tc>
          <w:tcPr>
            <w:tcW w:w="0" w:type="auto"/>
            <w:gridSpan w:val="3"/>
            <w:shd w:val="clear" w:color="auto" w:fill="auto"/>
            <w:vAlign w:val="center"/>
          </w:tcPr>
          <w:p w14:paraId="64A88DF4" w14:textId="77777777" w:rsidR="008D6614" w:rsidRDefault="008D6614">
            <w:pPr>
              <w:rPr>
                <w:rFonts w:ascii="宋体"/>
                <w:vanish/>
              </w:rPr>
            </w:pPr>
          </w:p>
        </w:tc>
        <w:tc>
          <w:tcPr>
            <w:tcW w:w="0" w:type="auto"/>
            <w:gridSpan w:val="3"/>
            <w:shd w:val="clear" w:color="auto" w:fill="auto"/>
            <w:vAlign w:val="center"/>
          </w:tcPr>
          <w:p w14:paraId="64A88DF5" w14:textId="77777777" w:rsidR="008D6614" w:rsidRDefault="008D6614">
            <w:pPr>
              <w:rPr>
                <w:rFonts w:ascii="宋体"/>
                <w:vanish/>
              </w:rPr>
            </w:pPr>
          </w:p>
        </w:tc>
        <w:tc>
          <w:tcPr>
            <w:tcW w:w="0" w:type="auto"/>
            <w:gridSpan w:val="3"/>
            <w:shd w:val="clear" w:color="auto" w:fill="auto"/>
            <w:vAlign w:val="center"/>
          </w:tcPr>
          <w:p w14:paraId="64A88DF6" w14:textId="77777777" w:rsidR="008D6614" w:rsidRDefault="008D6614">
            <w:pPr>
              <w:rPr>
                <w:rFonts w:ascii="宋体"/>
                <w:vanish/>
              </w:rPr>
            </w:pPr>
          </w:p>
        </w:tc>
        <w:tc>
          <w:tcPr>
            <w:tcW w:w="0" w:type="auto"/>
            <w:shd w:val="clear" w:color="auto" w:fill="auto"/>
            <w:vAlign w:val="center"/>
          </w:tcPr>
          <w:p w14:paraId="64A88DF7" w14:textId="77777777" w:rsidR="008D6614" w:rsidRDefault="008D6614">
            <w:pPr>
              <w:rPr>
                <w:rFonts w:ascii="宋体"/>
              </w:rPr>
            </w:pPr>
          </w:p>
        </w:tc>
        <w:tc>
          <w:tcPr>
            <w:tcW w:w="0" w:type="auto"/>
            <w:shd w:val="clear" w:color="auto" w:fill="auto"/>
            <w:vAlign w:val="center"/>
          </w:tcPr>
          <w:p w14:paraId="64A88DF8" w14:textId="77777777" w:rsidR="008D6614" w:rsidRDefault="008D6614">
            <w:pPr>
              <w:rPr>
                <w:rFonts w:ascii="宋体"/>
              </w:rPr>
            </w:pPr>
          </w:p>
        </w:tc>
        <w:tc>
          <w:tcPr>
            <w:tcW w:w="0" w:type="auto"/>
            <w:shd w:val="clear" w:color="auto" w:fill="auto"/>
            <w:vAlign w:val="center"/>
          </w:tcPr>
          <w:p w14:paraId="64A88DF9" w14:textId="77777777" w:rsidR="008D6614" w:rsidRDefault="008D6614">
            <w:pPr>
              <w:rPr>
                <w:rFonts w:ascii="宋体"/>
              </w:rPr>
            </w:pPr>
          </w:p>
        </w:tc>
        <w:tc>
          <w:tcPr>
            <w:tcW w:w="0" w:type="auto"/>
            <w:shd w:val="clear" w:color="auto" w:fill="auto"/>
            <w:vAlign w:val="center"/>
          </w:tcPr>
          <w:p w14:paraId="64A88DFA" w14:textId="77777777" w:rsidR="008D6614" w:rsidRDefault="008D6614">
            <w:pPr>
              <w:rPr>
                <w:rFonts w:ascii="宋体"/>
              </w:rPr>
            </w:pPr>
          </w:p>
        </w:tc>
        <w:tc>
          <w:tcPr>
            <w:tcW w:w="0" w:type="auto"/>
            <w:shd w:val="clear" w:color="auto" w:fill="auto"/>
            <w:vAlign w:val="center"/>
          </w:tcPr>
          <w:p w14:paraId="64A88DFB" w14:textId="77777777" w:rsidR="008D6614" w:rsidRDefault="008D6614">
            <w:pPr>
              <w:rPr>
                <w:rFonts w:ascii="宋体"/>
              </w:rPr>
            </w:pPr>
          </w:p>
        </w:tc>
        <w:tc>
          <w:tcPr>
            <w:tcW w:w="0" w:type="auto"/>
            <w:shd w:val="clear" w:color="auto" w:fill="auto"/>
            <w:vAlign w:val="center"/>
          </w:tcPr>
          <w:p w14:paraId="64A88DFC" w14:textId="77777777" w:rsidR="008D6614" w:rsidRDefault="008D6614">
            <w:pPr>
              <w:rPr>
                <w:rFonts w:ascii="宋体"/>
              </w:rPr>
            </w:pPr>
          </w:p>
        </w:tc>
      </w:tr>
      <w:tr w:rsidR="008D6614" w14:paraId="64A88E08" w14:textId="77777777">
        <w:trPr>
          <w:jc w:val="center"/>
          <w:hidden/>
        </w:trPr>
        <w:tc>
          <w:tcPr>
            <w:tcW w:w="0" w:type="auto"/>
            <w:gridSpan w:val="3"/>
            <w:shd w:val="clear" w:color="auto" w:fill="auto"/>
            <w:vAlign w:val="center"/>
          </w:tcPr>
          <w:p w14:paraId="64A88DFE" w14:textId="77777777" w:rsidR="008D6614" w:rsidRDefault="008D6614">
            <w:pPr>
              <w:rPr>
                <w:rFonts w:ascii="宋体"/>
                <w:vanish/>
              </w:rPr>
            </w:pPr>
          </w:p>
        </w:tc>
        <w:tc>
          <w:tcPr>
            <w:tcW w:w="0" w:type="auto"/>
            <w:gridSpan w:val="3"/>
            <w:shd w:val="clear" w:color="auto" w:fill="auto"/>
            <w:vAlign w:val="center"/>
          </w:tcPr>
          <w:p w14:paraId="64A88DFF" w14:textId="77777777" w:rsidR="008D6614" w:rsidRDefault="008D6614">
            <w:pPr>
              <w:rPr>
                <w:rFonts w:ascii="宋体"/>
                <w:vanish/>
              </w:rPr>
            </w:pPr>
          </w:p>
        </w:tc>
        <w:tc>
          <w:tcPr>
            <w:tcW w:w="0" w:type="auto"/>
            <w:gridSpan w:val="3"/>
            <w:shd w:val="clear" w:color="auto" w:fill="auto"/>
            <w:vAlign w:val="center"/>
          </w:tcPr>
          <w:p w14:paraId="64A88E00" w14:textId="77777777" w:rsidR="008D6614" w:rsidRDefault="008D6614">
            <w:pPr>
              <w:rPr>
                <w:rFonts w:ascii="宋体"/>
                <w:vanish/>
              </w:rPr>
            </w:pPr>
          </w:p>
        </w:tc>
        <w:tc>
          <w:tcPr>
            <w:tcW w:w="0" w:type="auto"/>
            <w:gridSpan w:val="3"/>
            <w:shd w:val="clear" w:color="auto" w:fill="auto"/>
            <w:vAlign w:val="center"/>
          </w:tcPr>
          <w:p w14:paraId="64A88E01" w14:textId="77777777" w:rsidR="008D6614" w:rsidRDefault="008D6614">
            <w:pPr>
              <w:rPr>
                <w:rFonts w:ascii="宋体"/>
                <w:vanish/>
              </w:rPr>
            </w:pPr>
          </w:p>
        </w:tc>
        <w:tc>
          <w:tcPr>
            <w:tcW w:w="0" w:type="auto"/>
            <w:shd w:val="clear" w:color="auto" w:fill="auto"/>
            <w:vAlign w:val="center"/>
          </w:tcPr>
          <w:p w14:paraId="64A88E02" w14:textId="77777777" w:rsidR="008D6614" w:rsidRDefault="008D6614">
            <w:pPr>
              <w:rPr>
                <w:rFonts w:ascii="宋体"/>
              </w:rPr>
            </w:pPr>
          </w:p>
        </w:tc>
        <w:tc>
          <w:tcPr>
            <w:tcW w:w="0" w:type="auto"/>
            <w:shd w:val="clear" w:color="auto" w:fill="auto"/>
            <w:vAlign w:val="center"/>
          </w:tcPr>
          <w:p w14:paraId="64A88E03" w14:textId="77777777" w:rsidR="008D6614" w:rsidRDefault="008D6614">
            <w:pPr>
              <w:rPr>
                <w:rFonts w:ascii="宋体"/>
              </w:rPr>
            </w:pPr>
          </w:p>
        </w:tc>
        <w:tc>
          <w:tcPr>
            <w:tcW w:w="0" w:type="auto"/>
            <w:shd w:val="clear" w:color="auto" w:fill="auto"/>
            <w:vAlign w:val="center"/>
          </w:tcPr>
          <w:p w14:paraId="64A88E04" w14:textId="77777777" w:rsidR="008D6614" w:rsidRDefault="008D6614">
            <w:pPr>
              <w:rPr>
                <w:rFonts w:ascii="宋体"/>
              </w:rPr>
            </w:pPr>
          </w:p>
        </w:tc>
        <w:tc>
          <w:tcPr>
            <w:tcW w:w="0" w:type="auto"/>
            <w:shd w:val="clear" w:color="auto" w:fill="auto"/>
            <w:vAlign w:val="center"/>
          </w:tcPr>
          <w:p w14:paraId="64A88E05" w14:textId="77777777" w:rsidR="008D6614" w:rsidRDefault="008D6614">
            <w:pPr>
              <w:rPr>
                <w:rFonts w:ascii="宋体"/>
              </w:rPr>
            </w:pPr>
          </w:p>
        </w:tc>
        <w:tc>
          <w:tcPr>
            <w:tcW w:w="0" w:type="auto"/>
            <w:shd w:val="clear" w:color="auto" w:fill="auto"/>
            <w:vAlign w:val="center"/>
          </w:tcPr>
          <w:p w14:paraId="64A88E06" w14:textId="77777777" w:rsidR="008D6614" w:rsidRDefault="008D6614">
            <w:pPr>
              <w:rPr>
                <w:rFonts w:ascii="宋体"/>
              </w:rPr>
            </w:pPr>
          </w:p>
        </w:tc>
        <w:tc>
          <w:tcPr>
            <w:tcW w:w="0" w:type="auto"/>
            <w:shd w:val="clear" w:color="auto" w:fill="auto"/>
            <w:vAlign w:val="center"/>
          </w:tcPr>
          <w:p w14:paraId="64A88E07" w14:textId="77777777" w:rsidR="008D6614" w:rsidRDefault="008D6614">
            <w:pPr>
              <w:rPr>
                <w:rFonts w:ascii="宋体"/>
              </w:rPr>
            </w:pPr>
          </w:p>
        </w:tc>
      </w:tr>
      <w:tr w:rsidR="008D6614" w14:paraId="64A88E15" w14:textId="77777777">
        <w:trPr>
          <w:jc w:val="center"/>
        </w:trPr>
        <w:tc>
          <w:tcPr>
            <w:tcW w:w="0" w:type="auto"/>
            <w:gridSpan w:val="3"/>
            <w:shd w:val="clear" w:color="auto" w:fill="FFFFFF"/>
            <w:tcMar>
              <w:top w:w="40" w:type="dxa"/>
              <w:left w:w="225" w:type="dxa"/>
              <w:bottom w:w="40" w:type="dxa"/>
              <w:right w:w="20" w:type="dxa"/>
            </w:tcMar>
            <w:vAlign w:val="bottom"/>
          </w:tcPr>
          <w:p w14:paraId="64A88E09" w14:textId="77777777" w:rsidR="008D6614" w:rsidRDefault="00866AF2">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64A88E0A" w14:textId="77777777" w:rsidR="008D6614" w:rsidRDefault="00866AF2">
            <w:pPr>
              <w:jc w:val="right"/>
              <w:textAlignment w:val="bottom"/>
            </w:pPr>
            <w:r>
              <w:rPr>
                <w:rFonts w:ascii="Arial" w:eastAsia="宋体" w:hAnsi="Arial" w:cs="Arial"/>
                <w:color w:val="000000"/>
                <w:sz w:val="18"/>
                <w:szCs w:val="18"/>
              </w:rPr>
              <w:t>(9)</w:t>
            </w:r>
          </w:p>
        </w:tc>
        <w:tc>
          <w:tcPr>
            <w:tcW w:w="0" w:type="auto"/>
            <w:shd w:val="clear" w:color="auto" w:fill="FFFFFF"/>
            <w:tcMar>
              <w:top w:w="40" w:type="dxa"/>
              <w:bottom w:w="40" w:type="dxa"/>
              <w:right w:w="20" w:type="dxa"/>
            </w:tcMar>
            <w:vAlign w:val="bottom"/>
          </w:tcPr>
          <w:p w14:paraId="64A88E0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E0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E0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8E0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0F" w14:textId="77777777" w:rsidR="008D6614" w:rsidRDefault="008D6614">
            <w:pPr>
              <w:rPr>
                <w:rFonts w:ascii="宋体"/>
              </w:rPr>
            </w:pPr>
          </w:p>
        </w:tc>
        <w:tc>
          <w:tcPr>
            <w:tcW w:w="0" w:type="auto"/>
            <w:shd w:val="clear" w:color="auto" w:fill="auto"/>
            <w:vAlign w:val="center"/>
          </w:tcPr>
          <w:p w14:paraId="64A88E10" w14:textId="77777777" w:rsidR="008D6614" w:rsidRDefault="008D6614">
            <w:pPr>
              <w:rPr>
                <w:rFonts w:ascii="宋体"/>
              </w:rPr>
            </w:pPr>
          </w:p>
        </w:tc>
        <w:tc>
          <w:tcPr>
            <w:tcW w:w="0" w:type="auto"/>
            <w:shd w:val="clear" w:color="auto" w:fill="auto"/>
            <w:vAlign w:val="center"/>
          </w:tcPr>
          <w:p w14:paraId="64A88E11" w14:textId="77777777" w:rsidR="008D6614" w:rsidRDefault="008D6614">
            <w:pPr>
              <w:rPr>
                <w:rFonts w:ascii="宋体"/>
              </w:rPr>
            </w:pPr>
          </w:p>
        </w:tc>
        <w:tc>
          <w:tcPr>
            <w:tcW w:w="0" w:type="auto"/>
            <w:shd w:val="clear" w:color="auto" w:fill="auto"/>
            <w:vAlign w:val="center"/>
          </w:tcPr>
          <w:p w14:paraId="64A88E12" w14:textId="77777777" w:rsidR="008D6614" w:rsidRDefault="008D6614">
            <w:pPr>
              <w:rPr>
                <w:rFonts w:ascii="宋体"/>
              </w:rPr>
            </w:pPr>
          </w:p>
        </w:tc>
        <w:tc>
          <w:tcPr>
            <w:tcW w:w="0" w:type="auto"/>
            <w:shd w:val="clear" w:color="auto" w:fill="auto"/>
            <w:vAlign w:val="center"/>
          </w:tcPr>
          <w:p w14:paraId="64A88E13" w14:textId="77777777" w:rsidR="008D6614" w:rsidRDefault="008D6614">
            <w:pPr>
              <w:rPr>
                <w:rFonts w:ascii="宋体"/>
              </w:rPr>
            </w:pPr>
          </w:p>
        </w:tc>
        <w:tc>
          <w:tcPr>
            <w:tcW w:w="0" w:type="auto"/>
            <w:shd w:val="clear" w:color="auto" w:fill="auto"/>
            <w:vAlign w:val="center"/>
          </w:tcPr>
          <w:p w14:paraId="64A88E14" w14:textId="77777777" w:rsidR="008D6614" w:rsidRDefault="008D6614">
            <w:pPr>
              <w:rPr>
                <w:rFonts w:ascii="宋体"/>
              </w:rPr>
            </w:pPr>
          </w:p>
        </w:tc>
      </w:tr>
      <w:tr w:rsidR="008D6614" w14:paraId="64A88E22" w14:textId="77777777">
        <w:trPr>
          <w:jc w:val="center"/>
        </w:trPr>
        <w:tc>
          <w:tcPr>
            <w:tcW w:w="0" w:type="auto"/>
            <w:gridSpan w:val="3"/>
            <w:shd w:val="clear" w:color="auto" w:fill="DDDDDD"/>
            <w:tcMar>
              <w:top w:w="40" w:type="dxa"/>
              <w:left w:w="20" w:type="dxa"/>
              <w:bottom w:w="40" w:type="dxa"/>
              <w:right w:w="20" w:type="dxa"/>
            </w:tcMar>
            <w:vAlign w:val="bottom"/>
          </w:tcPr>
          <w:p w14:paraId="64A88E16" w14:textId="77777777" w:rsidR="008D6614" w:rsidRDefault="00866AF2">
            <w:pPr>
              <w:textAlignment w:val="bottom"/>
            </w:pPr>
            <w:r>
              <w:rPr>
                <w:rFonts w:ascii="Arial" w:eastAsia="宋体" w:hAnsi="Arial" w:cs="Arial"/>
                <w:color w:val="000000"/>
                <w:sz w:val="18"/>
                <w:szCs w:val="18"/>
              </w:rPr>
              <w:t xml:space="preserve">Net cash provided by (used in) continuing financing </w:t>
            </w:r>
            <w:r>
              <w:rPr>
                <w:rFonts w:ascii="Arial" w:eastAsia="宋体" w:hAnsi="Arial" w:cs="Arial"/>
                <w:color w:val="000000"/>
                <w:sz w:val="18"/>
                <w:szCs w:val="18"/>
              </w:rPr>
              <w:t>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E17" w14:textId="77777777" w:rsidR="008D6614" w:rsidRDefault="00866AF2">
            <w:pPr>
              <w:jc w:val="right"/>
              <w:textAlignment w:val="bottom"/>
            </w:pPr>
            <w:r>
              <w:rPr>
                <w:rFonts w:ascii="Arial" w:eastAsia="宋体" w:hAnsi="Arial" w:cs="Arial"/>
                <w:color w:val="000000"/>
                <w:sz w:val="18"/>
                <w:szCs w:val="18"/>
              </w:rPr>
              <w:t>(3,161)</w:t>
            </w:r>
          </w:p>
        </w:tc>
        <w:tc>
          <w:tcPr>
            <w:tcW w:w="0" w:type="auto"/>
            <w:tcBorders>
              <w:top w:val="single" w:sz="8" w:space="0" w:color="000000"/>
            </w:tcBorders>
            <w:shd w:val="clear" w:color="auto" w:fill="DDDDDD"/>
            <w:tcMar>
              <w:top w:w="40" w:type="dxa"/>
              <w:bottom w:w="40" w:type="dxa"/>
              <w:right w:w="20" w:type="dxa"/>
            </w:tcMar>
            <w:vAlign w:val="bottom"/>
          </w:tcPr>
          <w:p w14:paraId="64A88E1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E19" w14:textId="77777777" w:rsidR="008D6614" w:rsidRDefault="008D6614">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E1A" w14:textId="77777777" w:rsidR="008D6614" w:rsidRDefault="00866AF2">
            <w:pPr>
              <w:jc w:val="right"/>
              <w:textAlignment w:val="bottom"/>
            </w:pPr>
            <w:r>
              <w:rPr>
                <w:rFonts w:ascii="Arial" w:eastAsia="宋体" w:hAnsi="Arial" w:cs="Arial"/>
                <w:color w:val="000000"/>
                <w:sz w:val="18"/>
                <w:szCs w:val="18"/>
              </w:rPr>
              <w:t>(1,605)</w:t>
            </w:r>
          </w:p>
        </w:tc>
        <w:tc>
          <w:tcPr>
            <w:tcW w:w="0" w:type="auto"/>
            <w:tcBorders>
              <w:top w:val="single" w:sz="8" w:space="0" w:color="000000"/>
            </w:tcBorders>
            <w:shd w:val="clear" w:color="auto" w:fill="DDDDDD"/>
            <w:tcMar>
              <w:top w:w="40" w:type="dxa"/>
              <w:bottom w:w="40" w:type="dxa"/>
              <w:right w:w="20" w:type="dxa"/>
            </w:tcMar>
            <w:vAlign w:val="bottom"/>
          </w:tcPr>
          <w:p w14:paraId="64A88E1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1C" w14:textId="77777777" w:rsidR="008D6614" w:rsidRDefault="008D6614">
            <w:pPr>
              <w:rPr>
                <w:rFonts w:ascii="宋体"/>
              </w:rPr>
            </w:pPr>
          </w:p>
        </w:tc>
        <w:tc>
          <w:tcPr>
            <w:tcW w:w="0" w:type="auto"/>
            <w:shd w:val="clear" w:color="auto" w:fill="auto"/>
            <w:vAlign w:val="center"/>
          </w:tcPr>
          <w:p w14:paraId="64A88E1D" w14:textId="77777777" w:rsidR="008D6614" w:rsidRDefault="008D6614">
            <w:pPr>
              <w:rPr>
                <w:rFonts w:ascii="宋体"/>
              </w:rPr>
            </w:pPr>
          </w:p>
        </w:tc>
        <w:tc>
          <w:tcPr>
            <w:tcW w:w="0" w:type="auto"/>
            <w:shd w:val="clear" w:color="auto" w:fill="auto"/>
            <w:vAlign w:val="center"/>
          </w:tcPr>
          <w:p w14:paraId="64A88E1E" w14:textId="77777777" w:rsidR="008D6614" w:rsidRDefault="008D6614">
            <w:pPr>
              <w:rPr>
                <w:rFonts w:ascii="宋体"/>
              </w:rPr>
            </w:pPr>
          </w:p>
        </w:tc>
        <w:tc>
          <w:tcPr>
            <w:tcW w:w="0" w:type="auto"/>
            <w:shd w:val="clear" w:color="auto" w:fill="auto"/>
            <w:vAlign w:val="center"/>
          </w:tcPr>
          <w:p w14:paraId="64A88E1F" w14:textId="77777777" w:rsidR="008D6614" w:rsidRDefault="008D6614">
            <w:pPr>
              <w:rPr>
                <w:rFonts w:ascii="宋体"/>
              </w:rPr>
            </w:pPr>
          </w:p>
        </w:tc>
        <w:tc>
          <w:tcPr>
            <w:tcW w:w="0" w:type="auto"/>
            <w:shd w:val="clear" w:color="auto" w:fill="auto"/>
            <w:vAlign w:val="center"/>
          </w:tcPr>
          <w:p w14:paraId="64A88E20" w14:textId="77777777" w:rsidR="008D6614" w:rsidRDefault="008D6614">
            <w:pPr>
              <w:rPr>
                <w:rFonts w:ascii="宋体"/>
              </w:rPr>
            </w:pPr>
          </w:p>
        </w:tc>
        <w:tc>
          <w:tcPr>
            <w:tcW w:w="0" w:type="auto"/>
            <w:shd w:val="clear" w:color="auto" w:fill="auto"/>
            <w:vAlign w:val="center"/>
          </w:tcPr>
          <w:p w14:paraId="64A88E21" w14:textId="77777777" w:rsidR="008D6614" w:rsidRDefault="008D6614">
            <w:pPr>
              <w:rPr>
                <w:rFonts w:ascii="宋体"/>
              </w:rPr>
            </w:pPr>
          </w:p>
        </w:tc>
      </w:tr>
      <w:tr w:rsidR="008D6614" w14:paraId="64A88E2F" w14:textId="77777777">
        <w:trPr>
          <w:jc w:val="center"/>
        </w:trPr>
        <w:tc>
          <w:tcPr>
            <w:tcW w:w="0" w:type="auto"/>
            <w:gridSpan w:val="3"/>
            <w:shd w:val="clear" w:color="auto" w:fill="FFFFFF"/>
            <w:tcMar>
              <w:top w:w="40" w:type="dxa"/>
              <w:left w:w="20" w:type="dxa"/>
              <w:bottom w:w="40" w:type="dxa"/>
              <w:right w:w="20" w:type="dxa"/>
            </w:tcMar>
            <w:vAlign w:val="bottom"/>
          </w:tcPr>
          <w:p w14:paraId="64A88E23" w14:textId="77777777" w:rsidR="008D6614" w:rsidRDefault="00866AF2">
            <w:pPr>
              <w:textAlignment w:val="bottom"/>
            </w:pPr>
            <w:r>
              <w:rPr>
                <w:rFonts w:ascii="Arial" w:eastAsia="宋体" w:hAnsi="Arial" w:cs="Arial"/>
                <w:color w:val="000000"/>
                <w:sz w:val="18"/>
                <w:szCs w:val="18"/>
              </w:rPr>
              <w:t>Net cash provided by (used in) discontinued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E24"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64A88E2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E26"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E27"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64A88E2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29" w14:textId="77777777" w:rsidR="008D6614" w:rsidRDefault="008D6614">
            <w:pPr>
              <w:rPr>
                <w:rFonts w:ascii="宋体"/>
              </w:rPr>
            </w:pPr>
          </w:p>
        </w:tc>
        <w:tc>
          <w:tcPr>
            <w:tcW w:w="0" w:type="auto"/>
            <w:shd w:val="clear" w:color="auto" w:fill="auto"/>
            <w:vAlign w:val="center"/>
          </w:tcPr>
          <w:p w14:paraId="64A88E2A" w14:textId="77777777" w:rsidR="008D6614" w:rsidRDefault="008D6614">
            <w:pPr>
              <w:rPr>
                <w:rFonts w:ascii="宋体"/>
              </w:rPr>
            </w:pPr>
          </w:p>
        </w:tc>
        <w:tc>
          <w:tcPr>
            <w:tcW w:w="0" w:type="auto"/>
            <w:shd w:val="clear" w:color="auto" w:fill="auto"/>
            <w:vAlign w:val="center"/>
          </w:tcPr>
          <w:p w14:paraId="64A88E2B" w14:textId="77777777" w:rsidR="008D6614" w:rsidRDefault="008D6614">
            <w:pPr>
              <w:rPr>
                <w:rFonts w:ascii="宋体"/>
              </w:rPr>
            </w:pPr>
          </w:p>
        </w:tc>
        <w:tc>
          <w:tcPr>
            <w:tcW w:w="0" w:type="auto"/>
            <w:shd w:val="clear" w:color="auto" w:fill="auto"/>
            <w:vAlign w:val="center"/>
          </w:tcPr>
          <w:p w14:paraId="64A88E2C" w14:textId="77777777" w:rsidR="008D6614" w:rsidRDefault="008D6614">
            <w:pPr>
              <w:rPr>
                <w:rFonts w:ascii="宋体"/>
              </w:rPr>
            </w:pPr>
          </w:p>
        </w:tc>
        <w:tc>
          <w:tcPr>
            <w:tcW w:w="0" w:type="auto"/>
            <w:shd w:val="clear" w:color="auto" w:fill="auto"/>
            <w:vAlign w:val="center"/>
          </w:tcPr>
          <w:p w14:paraId="64A88E2D" w14:textId="77777777" w:rsidR="008D6614" w:rsidRDefault="008D6614">
            <w:pPr>
              <w:rPr>
                <w:rFonts w:ascii="宋体"/>
              </w:rPr>
            </w:pPr>
          </w:p>
        </w:tc>
        <w:tc>
          <w:tcPr>
            <w:tcW w:w="0" w:type="auto"/>
            <w:shd w:val="clear" w:color="auto" w:fill="auto"/>
            <w:vAlign w:val="center"/>
          </w:tcPr>
          <w:p w14:paraId="64A88E2E" w14:textId="77777777" w:rsidR="008D6614" w:rsidRDefault="008D6614">
            <w:pPr>
              <w:rPr>
                <w:rFonts w:ascii="宋体"/>
              </w:rPr>
            </w:pPr>
          </w:p>
        </w:tc>
      </w:tr>
      <w:tr w:rsidR="008D6614" w14:paraId="64A88E3C" w14:textId="77777777">
        <w:trPr>
          <w:jc w:val="center"/>
        </w:trPr>
        <w:tc>
          <w:tcPr>
            <w:tcW w:w="0" w:type="auto"/>
            <w:gridSpan w:val="3"/>
            <w:shd w:val="clear" w:color="auto" w:fill="DDDDDD"/>
            <w:tcMar>
              <w:top w:w="40" w:type="dxa"/>
              <w:left w:w="495" w:type="dxa"/>
              <w:bottom w:w="40" w:type="dxa"/>
              <w:right w:w="20" w:type="dxa"/>
            </w:tcMar>
            <w:vAlign w:val="bottom"/>
          </w:tcPr>
          <w:p w14:paraId="64A88E30" w14:textId="77777777" w:rsidR="008D6614" w:rsidRDefault="00866AF2">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E31" w14:textId="77777777" w:rsidR="008D6614" w:rsidRDefault="00866AF2">
            <w:pPr>
              <w:jc w:val="right"/>
              <w:textAlignment w:val="bottom"/>
            </w:pPr>
            <w:r>
              <w:rPr>
                <w:rFonts w:ascii="Arial" w:eastAsia="宋体" w:hAnsi="Arial" w:cs="Arial"/>
                <w:color w:val="000000"/>
                <w:sz w:val="18"/>
                <w:szCs w:val="18"/>
              </w:rPr>
              <w:t>(3,161)</w:t>
            </w:r>
          </w:p>
        </w:tc>
        <w:tc>
          <w:tcPr>
            <w:tcW w:w="0" w:type="auto"/>
            <w:tcBorders>
              <w:top w:val="single" w:sz="8" w:space="0" w:color="000000"/>
            </w:tcBorders>
            <w:shd w:val="clear" w:color="auto" w:fill="DDDDDD"/>
            <w:tcMar>
              <w:top w:w="40" w:type="dxa"/>
              <w:bottom w:w="40" w:type="dxa"/>
              <w:right w:w="20" w:type="dxa"/>
            </w:tcMar>
            <w:vAlign w:val="bottom"/>
          </w:tcPr>
          <w:p w14:paraId="64A88E3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E33" w14:textId="77777777" w:rsidR="008D6614" w:rsidRDefault="008D6614">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E34" w14:textId="77777777" w:rsidR="008D6614" w:rsidRDefault="00866AF2">
            <w:pPr>
              <w:jc w:val="right"/>
              <w:textAlignment w:val="bottom"/>
            </w:pPr>
            <w:r>
              <w:rPr>
                <w:rFonts w:ascii="Arial" w:eastAsia="宋体" w:hAnsi="Arial" w:cs="Arial"/>
                <w:color w:val="000000"/>
                <w:sz w:val="18"/>
                <w:szCs w:val="18"/>
              </w:rPr>
              <w:t>(1,605)</w:t>
            </w:r>
          </w:p>
        </w:tc>
        <w:tc>
          <w:tcPr>
            <w:tcW w:w="0" w:type="auto"/>
            <w:tcBorders>
              <w:top w:val="single" w:sz="8" w:space="0" w:color="000000"/>
            </w:tcBorders>
            <w:shd w:val="clear" w:color="auto" w:fill="DDDDDD"/>
            <w:tcMar>
              <w:top w:w="40" w:type="dxa"/>
              <w:bottom w:w="40" w:type="dxa"/>
              <w:right w:w="20" w:type="dxa"/>
            </w:tcMar>
            <w:vAlign w:val="bottom"/>
          </w:tcPr>
          <w:p w14:paraId="64A88E3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36" w14:textId="77777777" w:rsidR="008D6614" w:rsidRDefault="008D6614">
            <w:pPr>
              <w:rPr>
                <w:rFonts w:ascii="宋体"/>
              </w:rPr>
            </w:pPr>
          </w:p>
        </w:tc>
        <w:tc>
          <w:tcPr>
            <w:tcW w:w="0" w:type="auto"/>
            <w:shd w:val="clear" w:color="auto" w:fill="auto"/>
            <w:vAlign w:val="center"/>
          </w:tcPr>
          <w:p w14:paraId="64A88E37" w14:textId="77777777" w:rsidR="008D6614" w:rsidRDefault="008D6614">
            <w:pPr>
              <w:rPr>
                <w:rFonts w:ascii="宋体"/>
              </w:rPr>
            </w:pPr>
          </w:p>
        </w:tc>
        <w:tc>
          <w:tcPr>
            <w:tcW w:w="0" w:type="auto"/>
            <w:shd w:val="clear" w:color="auto" w:fill="auto"/>
            <w:vAlign w:val="center"/>
          </w:tcPr>
          <w:p w14:paraId="64A88E38" w14:textId="77777777" w:rsidR="008D6614" w:rsidRDefault="008D6614">
            <w:pPr>
              <w:rPr>
                <w:rFonts w:ascii="宋体"/>
              </w:rPr>
            </w:pPr>
          </w:p>
        </w:tc>
        <w:tc>
          <w:tcPr>
            <w:tcW w:w="0" w:type="auto"/>
            <w:shd w:val="clear" w:color="auto" w:fill="auto"/>
            <w:vAlign w:val="center"/>
          </w:tcPr>
          <w:p w14:paraId="64A88E39" w14:textId="77777777" w:rsidR="008D6614" w:rsidRDefault="008D6614">
            <w:pPr>
              <w:rPr>
                <w:rFonts w:ascii="宋体"/>
              </w:rPr>
            </w:pPr>
          </w:p>
        </w:tc>
        <w:tc>
          <w:tcPr>
            <w:tcW w:w="0" w:type="auto"/>
            <w:shd w:val="clear" w:color="auto" w:fill="auto"/>
            <w:vAlign w:val="center"/>
          </w:tcPr>
          <w:p w14:paraId="64A88E3A" w14:textId="77777777" w:rsidR="008D6614" w:rsidRDefault="008D6614">
            <w:pPr>
              <w:rPr>
                <w:rFonts w:ascii="宋体"/>
              </w:rPr>
            </w:pPr>
          </w:p>
        </w:tc>
        <w:tc>
          <w:tcPr>
            <w:tcW w:w="0" w:type="auto"/>
            <w:shd w:val="clear" w:color="auto" w:fill="auto"/>
            <w:vAlign w:val="center"/>
          </w:tcPr>
          <w:p w14:paraId="64A88E3B" w14:textId="77777777" w:rsidR="008D6614" w:rsidRDefault="008D6614">
            <w:pPr>
              <w:rPr>
                <w:rFonts w:ascii="宋体"/>
              </w:rPr>
            </w:pPr>
          </w:p>
        </w:tc>
      </w:tr>
      <w:tr w:rsidR="008D6614" w14:paraId="64A88E49" w14:textId="77777777">
        <w:trPr>
          <w:jc w:val="center"/>
        </w:trPr>
        <w:tc>
          <w:tcPr>
            <w:tcW w:w="0" w:type="auto"/>
            <w:gridSpan w:val="3"/>
            <w:shd w:val="clear" w:color="auto" w:fill="FFFFFF"/>
            <w:tcMar>
              <w:top w:w="40" w:type="dxa"/>
              <w:left w:w="20" w:type="dxa"/>
              <w:bottom w:w="40" w:type="dxa"/>
              <w:right w:w="20" w:type="dxa"/>
            </w:tcMar>
            <w:vAlign w:val="bottom"/>
          </w:tcPr>
          <w:p w14:paraId="64A88E3D" w14:textId="77777777" w:rsidR="008D6614" w:rsidRDefault="00866AF2">
            <w:pPr>
              <w:textAlignment w:val="bottom"/>
            </w:pPr>
            <w:r>
              <w:rPr>
                <w:rFonts w:ascii="Arial" w:eastAsia="宋体" w:hAnsi="Arial" w:cs="Arial"/>
                <w:color w:val="000000"/>
                <w:sz w:val="18"/>
                <w:szCs w:val="18"/>
              </w:rPr>
              <w:t xml:space="preserve">Effect of exchange rate changes on cash, cash equivalents and </w:t>
            </w:r>
            <w:r>
              <w:rPr>
                <w:rFonts w:ascii="Arial" w:eastAsia="宋体" w:hAnsi="Arial" w:cs="Arial"/>
                <w:color w:val="000000"/>
                <w:sz w:val="18"/>
                <w:szCs w:val="18"/>
              </w:rPr>
              <w:t>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E3E" w14:textId="77777777" w:rsidR="008D6614" w:rsidRDefault="00866AF2">
            <w:pPr>
              <w:jc w:val="right"/>
              <w:textAlignment w:val="bottom"/>
            </w:pPr>
            <w:r>
              <w:rPr>
                <w:rFonts w:ascii="Arial" w:eastAsia="宋体" w:hAnsi="Arial" w:cs="Arial"/>
                <w:color w:val="000000"/>
                <w:sz w:val="18"/>
                <w:szCs w:val="18"/>
              </w:rPr>
              <w:t>(34)</w:t>
            </w:r>
          </w:p>
        </w:tc>
        <w:tc>
          <w:tcPr>
            <w:tcW w:w="0" w:type="auto"/>
            <w:tcBorders>
              <w:top w:val="single" w:sz="8" w:space="0" w:color="000000"/>
            </w:tcBorders>
            <w:shd w:val="clear" w:color="auto" w:fill="FFFFFF"/>
            <w:tcMar>
              <w:top w:w="40" w:type="dxa"/>
              <w:bottom w:w="40" w:type="dxa"/>
              <w:right w:w="20" w:type="dxa"/>
            </w:tcMar>
            <w:vAlign w:val="bottom"/>
          </w:tcPr>
          <w:p w14:paraId="64A88E3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E40"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E41" w14:textId="77777777" w:rsidR="008D6614" w:rsidRDefault="00866AF2">
            <w:pPr>
              <w:jc w:val="right"/>
              <w:textAlignment w:val="bottom"/>
            </w:pPr>
            <w:r>
              <w:rPr>
                <w:rFonts w:ascii="Arial" w:eastAsia="宋体" w:hAnsi="Arial" w:cs="Arial"/>
                <w:color w:val="000000"/>
                <w:sz w:val="18"/>
                <w:szCs w:val="18"/>
              </w:rPr>
              <w:t>(10)</w:t>
            </w:r>
          </w:p>
        </w:tc>
        <w:tc>
          <w:tcPr>
            <w:tcW w:w="0" w:type="auto"/>
            <w:tcBorders>
              <w:top w:val="single" w:sz="8" w:space="0" w:color="000000"/>
            </w:tcBorders>
            <w:shd w:val="clear" w:color="auto" w:fill="FFFFFF"/>
            <w:tcMar>
              <w:top w:w="40" w:type="dxa"/>
              <w:bottom w:w="40" w:type="dxa"/>
              <w:right w:w="20" w:type="dxa"/>
            </w:tcMar>
            <w:vAlign w:val="bottom"/>
          </w:tcPr>
          <w:p w14:paraId="64A88E4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43" w14:textId="77777777" w:rsidR="008D6614" w:rsidRDefault="008D6614">
            <w:pPr>
              <w:rPr>
                <w:rFonts w:ascii="宋体"/>
              </w:rPr>
            </w:pPr>
          </w:p>
        </w:tc>
        <w:tc>
          <w:tcPr>
            <w:tcW w:w="0" w:type="auto"/>
            <w:shd w:val="clear" w:color="auto" w:fill="auto"/>
            <w:vAlign w:val="center"/>
          </w:tcPr>
          <w:p w14:paraId="64A88E44" w14:textId="77777777" w:rsidR="008D6614" w:rsidRDefault="008D6614">
            <w:pPr>
              <w:rPr>
                <w:rFonts w:ascii="宋体"/>
              </w:rPr>
            </w:pPr>
          </w:p>
        </w:tc>
        <w:tc>
          <w:tcPr>
            <w:tcW w:w="0" w:type="auto"/>
            <w:shd w:val="clear" w:color="auto" w:fill="auto"/>
            <w:vAlign w:val="center"/>
          </w:tcPr>
          <w:p w14:paraId="64A88E45" w14:textId="77777777" w:rsidR="008D6614" w:rsidRDefault="008D6614">
            <w:pPr>
              <w:rPr>
                <w:rFonts w:ascii="宋体"/>
              </w:rPr>
            </w:pPr>
          </w:p>
        </w:tc>
        <w:tc>
          <w:tcPr>
            <w:tcW w:w="0" w:type="auto"/>
            <w:shd w:val="clear" w:color="auto" w:fill="auto"/>
            <w:vAlign w:val="center"/>
          </w:tcPr>
          <w:p w14:paraId="64A88E46" w14:textId="77777777" w:rsidR="008D6614" w:rsidRDefault="008D6614">
            <w:pPr>
              <w:rPr>
                <w:rFonts w:ascii="宋体"/>
              </w:rPr>
            </w:pPr>
          </w:p>
        </w:tc>
        <w:tc>
          <w:tcPr>
            <w:tcW w:w="0" w:type="auto"/>
            <w:shd w:val="clear" w:color="auto" w:fill="auto"/>
            <w:vAlign w:val="center"/>
          </w:tcPr>
          <w:p w14:paraId="64A88E47" w14:textId="77777777" w:rsidR="008D6614" w:rsidRDefault="008D6614">
            <w:pPr>
              <w:rPr>
                <w:rFonts w:ascii="宋体"/>
              </w:rPr>
            </w:pPr>
          </w:p>
        </w:tc>
        <w:tc>
          <w:tcPr>
            <w:tcW w:w="0" w:type="auto"/>
            <w:shd w:val="clear" w:color="auto" w:fill="auto"/>
            <w:vAlign w:val="center"/>
          </w:tcPr>
          <w:p w14:paraId="64A88E48" w14:textId="77777777" w:rsidR="008D6614" w:rsidRDefault="008D6614">
            <w:pPr>
              <w:rPr>
                <w:rFonts w:ascii="宋体"/>
              </w:rPr>
            </w:pPr>
          </w:p>
        </w:tc>
      </w:tr>
      <w:tr w:rsidR="008D6614" w14:paraId="64A88E56" w14:textId="77777777">
        <w:trPr>
          <w:jc w:val="center"/>
        </w:trPr>
        <w:tc>
          <w:tcPr>
            <w:tcW w:w="0" w:type="auto"/>
            <w:gridSpan w:val="3"/>
            <w:shd w:val="clear" w:color="auto" w:fill="DDDDDD"/>
            <w:tcMar>
              <w:top w:w="40" w:type="dxa"/>
              <w:left w:w="20" w:type="dxa"/>
              <w:bottom w:w="40" w:type="dxa"/>
              <w:right w:w="20" w:type="dxa"/>
            </w:tcMar>
            <w:vAlign w:val="bottom"/>
          </w:tcPr>
          <w:p w14:paraId="64A88E4A" w14:textId="77777777" w:rsidR="008D6614" w:rsidRDefault="00866AF2">
            <w:pPr>
              <w:textAlignment w:val="bottom"/>
            </w:pPr>
            <w:r>
              <w:rPr>
                <w:rFonts w:ascii="Arial" w:eastAsia="宋体" w:hAnsi="Arial" w:cs="Arial"/>
                <w:color w:val="000000"/>
                <w:sz w:val="18"/>
                <w:szCs w:val="18"/>
              </w:rPr>
              <w:t>Net increase (decrease) in cash, cash equivalents and restricted cash</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E4B" w14:textId="77777777" w:rsidR="008D6614" w:rsidRDefault="00866AF2">
            <w:pPr>
              <w:jc w:val="right"/>
              <w:textAlignment w:val="bottom"/>
            </w:pPr>
            <w:r>
              <w:rPr>
                <w:rFonts w:ascii="Arial" w:eastAsia="宋体" w:hAnsi="Arial" w:cs="Arial"/>
                <w:color w:val="000000"/>
                <w:sz w:val="18"/>
                <w:szCs w:val="18"/>
              </w:rPr>
              <w:t>(97)</w:t>
            </w:r>
          </w:p>
        </w:tc>
        <w:tc>
          <w:tcPr>
            <w:tcW w:w="0" w:type="auto"/>
            <w:tcBorders>
              <w:top w:val="single" w:sz="8" w:space="0" w:color="000000"/>
            </w:tcBorders>
            <w:shd w:val="clear" w:color="auto" w:fill="DDDDDD"/>
            <w:tcMar>
              <w:top w:w="40" w:type="dxa"/>
              <w:bottom w:w="40" w:type="dxa"/>
              <w:right w:w="20" w:type="dxa"/>
            </w:tcMar>
            <w:vAlign w:val="bottom"/>
          </w:tcPr>
          <w:p w14:paraId="64A88E4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E4D" w14:textId="77777777" w:rsidR="008D6614" w:rsidRDefault="008D6614">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64A88E4E" w14:textId="77777777" w:rsidR="008D6614" w:rsidRDefault="00866AF2">
            <w:pPr>
              <w:jc w:val="right"/>
              <w:textAlignment w:val="bottom"/>
            </w:pPr>
            <w:r>
              <w:rPr>
                <w:rFonts w:ascii="Arial" w:eastAsia="宋体" w:hAnsi="Arial" w:cs="Arial"/>
                <w:color w:val="000000"/>
                <w:sz w:val="18"/>
                <w:szCs w:val="18"/>
              </w:rPr>
              <w:t>(507)</w:t>
            </w:r>
          </w:p>
        </w:tc>
        <w:tc>
          <w:tcPr>
            <w:tcW w:w="0" w:type="auto"/>
            <w:tcBorders>
              <w:top w:val="single" w:sz="8" w:space="0" w:color="000000"/>
            </w:tcBorders>
            <w:shd w:val="clear" w:color="auto" w:fill="DDDDDD"/>
            <w:tcMar>
              <w:top w:w="40" w:type="dxa"/>
              <w:bottom w:w="40" w:type="dxa"/>
              <w:right w:w="20" w:type="dxa"/>
            </w:tcMar>
            <w:vAlign w:val="bottom"/>
          </w:tcPr>
          <w:p w14:paraId="64A88E4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50" w14:textId="77777777" w:rsidR="008D6614" w:rsidRDefault="008D6614">
            <w:pPr>
              <w:rPr>
                <w:rFonts w:ascii="宋体"/>
              </w:rPr>
            </w:pPr>
          </w:p>
        </w:tc>
        <w:tc>
          <w:tcPr>
            <w:tcW w:w="0" w:type="auto"/>
            <w:shd w:val="clear" w:color="auto" w:fill="auto"/>
            <w:vAlign w:val="center"/>
          </w:tcPr>
          <w:p w14:paraId="64A88E51" w14:textId="77777777" w:rsidR="008D6614" w:rsidRDefault="008D6614">
            <w:pPr>
              <w:rPr>
                <w:rFonts w:ascii="宋体"/>
              </w:rPr>
            </w:pPr>
          </w:p>
        </w:tc>
        <w:tc>
          <w:tcPr>
            <w:tcW w:w="0" w:type="auto"/>
            <w:shd w:val="clear" w:color="auto" w:fill="auto"/>
            <w:vAlign w:val="center"/>
          </w:tcPr>
          <w:p w14:paraId="64A88E52" w14:textId="77777777" w:rsidR="008D6614" w:rsidRDefault="008D6614">
            <w:pPr>
              <w:rPr>
                <w:rFonts w:ascii="宋体"/>
              </w:rPr>
            </w:pPr>
          </w:p>
        </w:tc>
        <w:tc>
          <w:tcPr>
            <w:tcW w:w="0" w:type="auto"/>
            <w:shd w:val="clear" w:color="auto" w:fill="auto"/>
            <w:vAlign w:val="center"/>
          </w:tcPr>
          <w:p w14:paraId="64A88E53" w14:textId="77777777" w:rsidR="008D6614" w:rsidRDefault="008D6614">
            <w:pPr>
              <w:rPr>
                <w:rFonts w:ascii="宋体"/>
              </w:rPr>
            </w:pPr>
          </w:p>
        </w:tc>
        <w:tc>
          <w:tcPr>
            <w:tcW w:w="0" w:type="auto"/>
            <w:shd w:val="clear" w:color="auto" w:fill="auto"/>
            <w:vAlign w:val="center"/>
          </w:tcPr>
          <w:p w14:paraId="64A88E54" w14:textId="77777777" w:rsidR="008D6614" w:rsidRDefault="008D6614">
            <w:pPr>
              <w:rPr>
                <w:rFonts w:ascii="宋体"/>
              </w:rPr>
            </w:pPr>
          </w:p>
        </w:tc>
        <w:tc>
          <w:tcPr>
            <w:tcW w:w="0" w:type="auto"/>
            <w:shd w:val="clear" w:color="auto" w:fill="auto"/>
            <w:vAlign w:val="center"/>
          </w:tcPr>
          <w:p w14:paraId="64A88E55" w14:textId="77777777" w:rsidR="008D6614" w:rsidRDefault="008D6614">
            <w:pPr>
              <w:rPr>
                <w:rFonts w:ascii="宋体"/>
              </w:rPr>
            </w:pPr>
          </w:p>
        </w:tc>
      </w:tr>
      <w:tr w:rsidR="008D6614" w14:paraId="64A88E63" w14:textId="77777777">
        <w:trPr>
          <w:jc w:val="center"/>
        </w:trPr>
        <w:tc>
          <w:tcPr>
            <w:tcW w:w="0" w:type="auto"/>
            <w:gridSpan w:val="3"/>
            <w:shd w:val="clear" w:color="auto" w:fill="FFFFFF"/>
            <w:tcMar>
              <w:top w:w="40" w:type="dxa"/>
              <w:left w:w="20" w:type="dxa"/>
              <w:bottom w:w="40" w:type="dxa"/>
              <w:right w:w="20" w:type="dxa"/>
            </w:tcMar>
            <w:vAlign w:val="bottom"/>
          </w:tcPr>
          <w:p w14:paraId="64A88E57" w14:textId="77777777" w:rsidR="008D6614" w:rsidRDefault="00866AF2">
            <w:pPr>
              <w:textAlignment w:val="bottom"/>
            </w:pPr>
            <w:r>
              <w:rPr>
                <w:rFonts w:ascii="Arial" w:eastAsia="宋体" w:hAnsi="Arial" w:cs="Arial"/>
                <w:color w:val="000000"/>
                <w:sz w:val="18"/>
                <w:szCs w:val="18"/>
              </w:rPr>
              <w:t>Cash, cash equivalents and restricted cash at beginning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E58" w14:textId="77777777" w:rsidR="008D6614" w:rsidRDefault="00866AF2">
            <w:pPr>
              <w:jc w:val="right"/>
              <w:textAlignment w:val="bottom"/>
            </w:pPr>
            <w:r>
              <w:rPr>
                <w:rFonts w:ascii="Arial" w:eastAsia="宋体" w:hAnsi="Arial" w:cs="Arial"/>
                <w:color w:val="000000"/>
                <w:sz w:val="18"/>
                <w:szCs w:val="18"/>
              </w:rPr>
              <w:t>996 </w:t>
            </w:r>
          </w:p>
        </w:tc>
        <w:tc>
          <w:tcPr>
            <w:tcW w:w="0" w:type="auto"/>
            <w:tcBorders>
              <w:top w:val="single" w:sz="8" w:space="0" w:color="000000"/>
            </w:tcBorders>
            <w:shd w:val="clear" w:color="auto" w:fill="FFFFFF"/>
            <w:tcMar>
              <w:top w:w="40" w:type="dxa"/>
              <w:bottom w:w="40" w:type="dxa"/>
              <w:right w:w="20" w:type="dxa"/>
            </w:tcMar>
            <w:vAlign w:val="bottom"/>
          </w:tcPr>
          <w:p w14:paraId="64A88E5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E5A"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8E5B" w14:textId="77777777" w:rsidR="008D6614" w:rsidRDefault="00866AF2">
            <w:pPr>
              <w:jc w:val="right"/>
              <w:textAlignment w:val="bottom"/>
            </w:pPr>
            <w:r>
              <w:rPr>
                <w:rFonts w:ascii="Arial" w:eastAsia="宋体" w:hAnsi="Arial" w:cs="Arial"/>
                <w:color w:val="000000"/>
                <w:sz w:val="18"/>
                <w:szCs w:val="18"/>
              </w:rPr>
              <w:t>2,219 </w:t>
            </w:r>
          </w:p>
        </w:tc>
        <w:tc>
          <w:tcPr>
            <w:tcW w:w="0" w:type="auto"/>
            <w:tcBorders>
              <w:top w:val="single" w:sz="8" w:space="0" w:color="000000"/>
            </w:tcBorders>
            <w:shd w:val="clear" w:color="auto" w:fill="FFFFFF"/>
            <w:tcMar>
              <w:top w:w="40" w:type="dxa"/>
              <w:bottom w:w="40" w:type="dxa"/>
              <w:right w:w="20" w:type="dxa"/>
            </w:tcMar>
            <w:vAlign w:val="bottom"/>
          </w:tcPr>
          <w:p w14:paraId="64A88E5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5D" w14:textId="77777777" w:rsidR="008D6614" w:rsidRDefault="008D6614">
            <w:pPr>
              <w:rPr>
                <w:rFonts w:ascii="宋体"/>
              </w:rPr>
            </w:pPr>
          </w:p>
        </w:tc>
        <w:tc>
          <w:tcPr>
            <w:tcW w:w="0" w:type="auto"/>
            <w:shd w:val="clear" w:color="auto" w:fill="auto"/>
            <w:vAlign w:val="center"/>
          </w:tcPr>
          <w:p w14:paraId="64A88E5E" w14:textId="77777777" w:rsidR="008D6614" w:rsidRDefault="008D6614">
            <w:pPr>
              <w:rPr>
                <w:rFonts w:ascii="宋体"/>
              </w:rPr>
            </w:pPr>
          </w:p>
        </w:tc>
        <w:tc>
          <w:tcPr>
            <w:tcW w:w="0" w:type="auto"/>
            <w:shd w:val="clear" w:color="auto" w:fill="auto"/>
            <w:vAlign w:val="center"/>
          </w:tcPr>
          <w:p w14:paraId="64A88E5F" w14:textId="77777777" w:rsidR="008D6614" w:rsidRDefault="008D6614">
            <w:pPr>
              <w:rPr>
                <w:rFonts w:ascii="宋体"/>
              </w:rPr>
            </w:pPr>
          </w:p>
        </w:tc>
        <w:tc>
          <w:tcPr>
            <w:tcW w:w="0" w:type="auto"/>
            <w:shd w:val="clear" w:color="auto" w:fill="auto"/>
            <w:vAlign w:val="center"/>
          </w:tcPr>
          <w:p w14:paraId="64A88E60" w14:textId="77777777" w:rsidR="008D6614" w:rsidRDefault="008D6614">
            <w:pPr>
              <w:rPr>
                <w:rFonts w:ascii="宋体"/>
              </w:rPr>
            </w:pPr>
          </w:p>
        </w:tc>
        <w:tc>
          <w:tcPr>
            <w:tcW w:w="0" w:type="auto"/>
            <w:shd w:val="clear" w:color="auto" w:fill="auto"/>
            <w:vAlign w:val="center"/>
          </w:tcPr>
          <w:p w14:paraId="64A88E61" w14:textId="77777777" w:rsidR="008D6614" w:rsidRDefault="008D6614">
            <w:pPr>
              <w:rPr>
                <w:rFonts w:ascii="宋体"/>
              </w:rPr>
            </w:pPr>
          </w:p>
        </w:tc>
        <w:tc>
          <w:tcPr>
            <w:tcW w:w="0" w:type="auto"/>
            <w:shd w:val="clear" w:color="auto" w:fill="auto"/>
            <w:vAlign w:val="center"/>
          </w:tcPr>
          <w:p w14:paraId="64A88E62" w14:textId="77777777" w:rsidR="008D6614" w:rsidRDefault="008D6614">
            <w:pPr>
              <w:rPr>
                <w:rFonts w:ascii="宋体"/>
              </w:rPr>
            </w:pPr>
          </w:p>
        </w:tc>
      </w:tr>
      <w:tr w:rsidR="008D6614" w14:paraId="64A88E72" w14:textId="77777777">
        <w:trPr>
          <w:jc w:val="center"/>
        </w:trPr>
        <w:tc>
          <w:tcPr>
            <w:tcW w:w="0" w:type="auto"/>
            <w:gridSpan w:val="3"/>
            <w:shd w:val="clear" w:color="auto" w:fill="DDDDDD"/>
            <w:tcMar>
              <w:top w:w="40" w:type="dxa"/>
              <w:left w:w="20" w:type="dxa"/>
              <w:bottom w:w="40" w:type="dxa"/>
              <w:right w:w="20" w:type="dxa"/>
            </w:tcMar>
            <w:vAlign w:val="bottom"/>
          </w:tcPr>
          <w:p w14:paraId="64A88E64" w14:textId="77777777" w:rsidR="008D6614" w:rsidRDefault="00866AF2">
            <w:pPr>
              <w:textAlignment w:val="bottom"/>
            </w:pPr>
            <w:r>
              <w:rPr>
                <w:rFonts w:ascii="Arial" w:eastAsia="宋体" w:hAnsi="Arial" w:cs="Arial"/>
                <w:color w:val="000000"/>
                <w:sz w:val="18"/>
                <w:szCs w:val="18"/>
              </w:rPr>
              <w:t xml:space="preserve">Cash, cash equivalents and </w:t>
            </w:r>
            <w:r>
              <w:rPr>
                <w:rFonts w:ascii="Arial" w:eastAsia="宋体" w:hAnsi="Arial" w:cs="Arial"/>
                <w:color w:val="000000"/>
                <w:sz w:val="18"/>
                <w:szCs w:val="18"/>
              </w:rPr>
              <w:t>restricted cash at end of period</w:t>
            </w:r>
          </w:p>
        </w:tc>
        <w:tc>
          <w:tcPr>
            <w:tcW w:w="0" w:type="auto"/>
            <w:tcBorders>
              <w:top w:val="single" w:sz="8" w:space="0" w:color="000000"/>
            </w:tcBorders>
            <w:shd w:val="clear" w:color="auto" w:fill="DDDDDD"/>
            <w:tcMar>
              <w:top w:w="40" w:type="dxa"/>
              <w:left w:w="20" w:type="dxa"/>
              <w:bottom w:w="40" w:type="dxa"/>
            </w:tcMar>
            <w:vAlign w:val="bottom"/>
          </w:tcPr>
          <w:p w14:paraId="64A88E6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bottom w:w="40" w:type="dxa"/>
              <w:right w:w="0" w:type="dxa"/>
            </w:tcMar>
            <w:vAlign w:val="bottom"/>
          </w:tcPr>
          <w:p w14:paraId="64A88E66" w14:textId="77777777" w:rsidR="008D6614" w:rsidRDefault="00866AF2">
            <w:pPr>
              <w:jc w:val="right"/>
              <w:textAlignment w:val="bottom"/>
            </w:pPr>
            <w:r>
              <w:rPr>
                <w:rFonts w:ascii="Arial" w:eastAsia="宋体" w:hAnsi="Arial" w:cs="Arial"/>
                <w:color w:val="000000"/>
                <w:sz w:val="18"/>
                <w:szCs w:val="18"/>
              </w:rPr>
              <w:t>899 </w:t>
            </w:r>
          </w:p>
        </w:tc>
        <w:tc>
          <w:tcPr>
            <w:tcW w:w="0" w:type="auto"/>
            <w:tcBorders>
              <w:top w:val="single" w:sz="8" w:space="0" w:color="000000"/>
            </w:tcBorders>
            <w:shd w:val="clear" w:color="auto" w:fill="DDDDDD"/>
            <w:tcMar>
              <w:top w:w="40" w:type="dxa"/>
              <w:bottom w:w="40" w:type="dxa"/>
              <w:right w:w="20" w:type="dxa"/>
            </w:tcMar>
            <w:vAlign w:val="bottom"/>
          </w:tcPr>
          <w:p w14:paraId="64A88E6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E68" w14:textId="77777777" w:rsidR="008D6614" w:rsidRDefault="008D6614">
            <w:pPr>
              <w:rPr>
                <w:rFonts w:ascii="宋体"/>
              </w:rPr>
            </w:pPr>
          </w:p>
        </w:tc>
        <w:tc>
          <w:tcPr>
            <w:tcW w:w="0" w:type="auto"/>
            <w:tcBorders>
              <w:top w:val="single" w:sz="8" w:space="0" w:color="000000"/>
            </w:tcBorders>
            <w:shd w:val="clear" w:color="auto" w:fill="DDDDDD"/>
            <w:tcMar>
              <w:top w:w="40" w:type="dxa"/>
              <w:left w:w="20" w:type="dxa"/>
              <w:bottom w:w="40" w:type="dxa"/>
            </w:tcMar>
            <w:vAlign w:val="bottom"/>
          </w:tcPr>
          <w:p w14:paraId="64A88E6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bottom w:w="40" w:type="dxa"/>
              <w:right w:w="0" w:type="dxa"/>
            </w:tcMar>
            <w:vAlign w:val="bottom"/>
          </w:tcPr>
          <w:p w14:paraId="64A88E6A" w14:textId="77777777" w:rsidR="008D6614" w:rsidRDefault="00866AF2">
            <w:pPr>
              <w:jc w:val="right"/>
              <w:textAlignment w:val="bottom"/>
            </w:pPr>
            <w:r>
              <w:rPr>
                <w:rFonts w:ascii="Arial" w:eastAsia="宋体" w:hAnsi="Arial" w:cs="Arial"/>
                <w:color w:val="000000"/>
                <w:sz w:val="18"/>
                <w:szCs w:val="18"/>
              </w:rPr>
              <w:t>1,712 </w:t>
            </w:r>
          </w:p>
        </w:tc>
        <w:tc>
          <w:tcPr>
            <w:tcW w:w="0" w:type="auto"/>
            <w:tcBorders>
              <w:top w:val="single" w:sz="8" w:space="0" w:color="000000"/>
            </w:tcBorders>
            <w:shd w:val="clear" w:color="auto" w:fill="DDDDDD"/>
            <w:tcMar>
              <w:top w:w="40" w:type="dxa"/>
              <w:bottom w:w="40" w:type="dxa"/>
              <w:right w:w="20" w:type="dxa"/>
            </w:tcMar>
            <w:vAlign w:val="bottom"/>
          </w:tcPr>
          <w:p w14:paraId="64A88E6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6C" w14:textId="77777777" w:rsidR="008D6614" w:rsidRDefault="008D6614">
            <w:pPr>
              <w:rPr>
                <w:rFonts w:ascii="宋体"/>
              </w:rPr>
            </w:pPr>
          </w:p>
        </w:tc>
        <w:tc>
          <w:tcPr>
            <w:tcW w:w="0" w:type="auto"/>
            <w:shd w:val="clear" w:color="auto" w:fill="auto"/>
            <w:vAlign w:val="center"/>
          </w:tcPr>
          <w:p w14:paraId="64A88E6D" w14:textId="77777777" w:rsidR="008D6614" w:rsidRDefault="008D6614">
            <w:pPr>
              <w:rPr>
                <w:rFonts w:ascii="宋体"/>
              </w:rPr>
            </w:pPr>
          </w:p>
        </w:tc>
        <w:tc>
          <w:tcPr>
            <w:tcW w:w="0" w:type="auto"/>
            <w:shd w:val="clear" w:color="auto" w:fill="auto"/>
            <w:vAlign w:val="center"/>
          </w:tcPr>
          <w:p w14:paraId="64A88E6E" w14:textId="77777777" w:rsidR="008D6614" w:rsidRDefault="008D6614">
            <w:pPr>
              <w:rPr>
                <w:rFonts w:ascii="宋体"/>
              </w:rPr>
            </w:pPr>
          </w:p>
        </w:tc>
        <w:tc>
          <w:tcPr>
            <w:tcW w:w="0" w:type="auto"/>
            <w:shd w:val="clear" w:color="auto" w:fill="auto"/>
            <w:vAlign w:val="center"/>
          </w:tcPr>
          <w:p w14:paraId="64A88E6F" w14:textId="77777777" w:rsidR="008D6614" w:rsidRDefault="008D6614">
            <w:pPr>
              <w:rPr>
                <w:rFonts w:ascii="宋体"/>
              </w:rPr>
            </w:pPr>
          </w:p>
        </w:tc>
        <w:tc>
          <w:tcPr>
            <w:tcW w:w="0" w:type="auto"/>
            <w:shd w:val="clear" w:color="auto" w:fill="auto"/>
            <w:vAlign w:val="center"/>
          </w:tcPr>
          <w:p w14:paraId="64A88E70" w14:textId="77777777" w:rsidR="008D6614" w:rsidRDefault="008D6614">
            <w:pPr>
              <w:rPr>
                <w:rFonts w:ascii="宋体"/>
              </w:rPr>
            </w:pPr>
          </w:p>
        </w:tc>
        <w:tc>
          <w:tcPr>
            <w:tcW w:w="0" w:type="auto"/>
            <w:shd w:val="clear" w:color="auto" w:fill="auto"/>
            <w:vAlign w:val="center"/>
          </w:tcPr>
          <w:p w14:paraId="64A88E71" w14:textId="77777777" w:rsidR="008D6614" w:rsidRDefault="008D6614">
            <w:pPr>
              <w:rPr>
                <w:rFonts w:ascii="宋体"/>
              </w:rPr>
            </w:pPr>
          </w:p>
        </w:tc>
      </w:tr>
      <w:tr w:rsidR="008D6614" w14:paraId="64A88E7D" w14:textId="77777777">
        <w:trPr>
          <w:jc w:val="center"/>
          <w:hidden/>
        </w:trPr>
        <w:tc>
          <w:tcPr>
            <w:tcW w:w="0" w:type="auto"/>
            <w:gridSpan w:val="3"/>
            <w:shd w:val="clear" w:color="auto" w:fill="auto"/>
            <w:vAlign w:val="center"/>
          </w:tcPr>
          <w:p w14:paraId="64A88E73" w14:textId="77777777" w:rsidR="008D6614" w:rsidRDefault="008D6614">
            <w:pPr>
              <w:rPr>
                <w:rFonts w:ascii="宋体"/>
                <w:vanish/>
              </w:rPr>
            </w:pPr>
          </w:p>
        </w:tc>
        <w:tc>
          <w:tcPr>
            <w:tcW w:w="0" w:type="auto"/>
            <w:gridSpan w:val="3"/>
            <w:shd w:val="clear" w:color="auto" w:fill="auto"/>
            <w:vAlign w:val="center"/>
          </w:tcPr>
          <w:p w14:paraId="64A88E74" w14:textId="77777777" w:rsidR="008D6614" w:rsidRDefault="008D6614">
            <w:pPr>
              <w:rPr>
                <w:rFonts w:ascii="宋体"/>
                <w:vanish/>
              </w:rPr>
            </w:pPr>
          </w:p>
        </w:tc>
        <w:tc>
          <w:tcPr>
            <w:tcW w:w="0" w:type="auto"/>
            <w:gridSpan w:val="3"/>
            <w:shd w:val="clear" w:color="auto" w:fill="auto"/>
            <w:vAlign w:val="center"/>
          </w:tcPr>
          <w:p w14:paraId="64A88E75" w14:textId="77777777" w:rsidR="008D6614" w:rsidRDefault="008D6614">
            <w:pPr>
              <w:rPr>
                <w:rFonts w:ascii="宋体"/>
                <w:vanish/>
              </w:rPr>
            </w:pPr>
          </w:p>
        </w:tc>
        <w:tc>
          <w:tcPr>
            <w:tcW w:w="0" w:type="auto"/>
            <w:gridSpan w:val="3"/>
            <w:shd w:val="clear" w:color="auto" w:fill="auto"/>
            <w:vAlign w:val="center"/>
          </w:tcPr>
          <w:p w14:paraId="64A88E76" w14:textId="77777777" w:rsidR="008D6614" w:rsidRDefault="008D6614">
            <w:pPr>
              <w:rPr>
                <w:rFonts w:ascii="宋体"/>
                <w:vanish/>
              </w:rPr>
            </w:pPr>
          </w:p>
        </w:tc>
        <w:tc>
          <w:tcPr>
            <w:tcW w:w="0" w:type="auto"/>
            <w:shd w:val="clear" w:color="auto" w:fill="auto"/>
            <w:vAlign w:val="center"/>
          </w:tcPr>
          <w:p w14:paraId="64A88E77" w14:textId="77777777" w:rsidR="008D6614" w:rsidRDefault="008D6614">
            <w:pPr>
              <w:rPr>
                <w:rFonts w:ascii="宋体"/>
              </w:rPr>
            </w:pPr>
          </w:p>
        </w:tc>
        <w:tc>
          <w:tcPr>
            <w:tcW w:w="0" w:type="auto"/>
            <w:shd w:val="clear" w:color="auto" w:fill="auto"/>
            <w:vAlign w:val="center"/>
          </w:tcPr>
          <w:p w14:paraId="64A88E78" w14:textId="77777777" w:rsidR="008D6614" w:rsidRDefault="008D6614">
            <w:pPr>
              <w:rPr>
                <w:rFonts w:ascii="宋体"/>
              </w:rPr>
            </w:pPr>
          </w:p>
        </w:tc>
        <w:tc>
          <w:tcPr>
            <w:tcW w:w="0" w:type="auto"/>
            <w:shd w:val="clear" w:color="auto" w:fill="auto"/>
            <w:vAlign w:val="center"/>
          </w:tcPr>
          <w:p w14:paraId="64A88E79" w14:textId="77777777" w:rsidR="008D6614" w:rsidRDefault="008D6614">
            <w:pPr>
              <w:rPr>
                <w:rFonts w:ascii="宋体"/>
              </w:rPr>
            </w:pPr>
          </w:p>
        </w:tc>
        <w:tc>
          <w:tcPr>
            <w:tcW w:w="0" w:type="auto"/>
            <w:shd w:val="clear" w:color="auto" w:fill="auto"/>
            <w:vAlign w:val="center"/>
          </w:tcPr>
          <w:p w14:paraId="64A88E7A" w14:textId="77777777" w:rsidR="008D6614" w:rsidRDefault="008D6614">
            <w:pPr>
              <w:rPr>
                <w:rFonts w:ascii="宋体"/>
              </w:rPr>
            </w:pPr>
          </w:p>
        </w:tc>
        <w:tc>
          <w:tcPr>
            <w:tcW w:w="0" w:type="auto"/>
            <w:shd w:val="clear" w:color="auto" w:fill="auto"/>
            <w:vAlign w:val="center"/>
          </w:tcPr>
          <w:p w14:paraId="64A88E7B" w14:textId="77777777" w:rsidR="008D6614" w:rsidRDefault="008D6614">
            <w:pPr>
              <w:rPr>
                <w:rFonts w:ascii="宋体"/>
              </w:rPr>
            </w:pPr>
          </w:p>
        </w:tc>
        <w:tc>
          <w:tcPr>
            <w:tcW w:w="0" w:type="auto"/>
            <w:shd w:val="clear" w:color="auto" w:fill="auto"/>
            <w:vAlign w:val="center"/>
          </w:tcPr>
          <w:p w14:paraId="64A88E7C" w14:textId="77777777" w:rsidR="008D6614" w:rsidRDefault="008D6614">
            <w:pPr>
              <w:rPr>
                <w:rFonts w:ascii="宋体"/>
              </w:rPr>
            </w:pPr>
          </w:p>
        </w:tc>
      </w:tr>
      <w:tr w:rsidR="008D6614" w14:paraId="64A88E8A" w14:textId="77777777">
        <w:trPr>
          <w:jc w:val="center"/>
        </w:trPr>
        <w:tc>
          <w:tcPr>
            <w:tcW w:w="0" w:type="auto"/>
            <w:gridSpan w:val="3"/>
            <w:shd w:val="clear" w:color="auto" w:fill="FFFFFF"/>
            <w:tcMar>
              <w:top w:w="40" w:type="dxa"/>
              <w:left w:w="225" w:type="dxa"/>
              <w:bottom w:w="40" w:type="dxa"/>
              <w:right w:w="20" w:type="dxa"/>
            </w:tcMar>
            <w:vAlign w:val="bottom"/>
          </w:tcPr>
          <w:p w14:paraId="64A88E7E" w14:textId="77777777" w:rsidR="008D6614" w:rsidRDefault="00866AF2">
            <w:pPr>
              <w:textAlignment w:val="bottom"/>
            </w:pPr>
            <w:r>
              <w:rPr>
                <w:rFonts w:ascii="Arial" w:eastAsia="宋体" w:hAnsi="Arial" w:cs="Arial"/>
                <w:color w:val="000000"/>
                <w:sz w:val="18"/>
                <w:szCs w:val="18"/>
              </w:rPr>
              <w:t>Less: Cash, cash equivalents and restricted cash of discontinued operations</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4A88E7F"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double" w:sz="6" w:space="0" w:color="000000"/>
            </w:tcBorders>
            <w:shd w:val="clear" w:color="auto" w:fill="FFFFFF"/>
            <w:tcMar>
              <w:top w:w="40" w:type="dxa"/>
              <w:bottom w:w="40" w:type="dxa"/>
              <w:right w:w="20" w:type="dxa"/>
            </w:tcMar>
            <w:vAlign w:val="bottom"/>
          </w:tcPr>
          <w:p w14:paraId="64A88E8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E81" w14:textId="77777777" w:rsidR="008D6614" w:rsidRDefault="008D661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4A88E82" w14:textId="77777777" w:rsidR="008D6614" w:rsidRDefault="00866AF2">
            <w:pPr>
              <w:jc w:val="right"/>
              <w:textAlignment w:val="bottom"/>
            </w:pPr>
            <w:r>
              <w:rPr>
                <w:rFonts w:ascii="Arial" w:eastAsia="宋体" w:hAnsi="Arial" w:cs="Arial"/>
                <w:color w:val="000000"/>
                <w:sz w:val="18"/>
                <w:szCs w:val="18"/>
              </w:rPr>
              <w:t>31 </w:t>
            </w:r>
          </w:p>
        </w:tc>
        <w:tc>
          <w:tcPr>
            <w:tcW w:w="0" w:type="auto"/>
            <w:tcBorders>
              <w:top w:val="double" w:sz="6" w:space="0" w:color="000000"/>
            </w:tcBorders>
            <w:shd w:val="clear" w:color="auto" w:fill="FFFFFF"/>
            <w:tcMar>
              <w:top w:w="40" w:type="dxa"/>
              <w:bottom w:w="40" w:type="dxa"/>
              <w:right w:w="20" w:type="dxa"/>
            </w:tcMar>
            <w:vAlign w:val="bottom"/>
          </w:tcPr>
          <w:p w14:paraId="64A88E8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84" w14:textId="77777777" w:rsidR="008D6614" w:rsidRDefault="008D6614">
            <w:pPr>
              <w:rPr>
                <w:rFonts w:ascii="宋体"/>
              </w:rPr>
            </w:pPr>
          </w:p>
        </w:tc>
        <w:tc>
          <w:tcPr>
            <w:tcW w:w="0" w:type="auto"/>
            <w:shd w:val="clear" w:color="auto" w:fill="auto"/>
            <w:vAlign w:val="center"/>
          </w:tcPr>
          <w:p w14:paraId="64A88E85" w14:textId="77777777" w:rsidR="008D6614" w:rsidRDefault="008D6614">
            <w:pPr>
              <w:rPr>
                <w:rFonts w:ascii="宋体"/>
              </w:rPr>
            </w:pPr>
          </w:p>
        </w:tc>
        <w:tc>
          <w:tcPr>
            <w:tcW w:w="0" w:type="auto"/>
            <w:shd w:val="clear" w:color="auto" w:fill="auto"/>
            <w:vAlign w:val="center"/>
          </w:tcPr>
          <w:p w14:paraId="64A88E86" w14:textId="77777777" w:rsidR="008D6614" w:rsidRDefault="008D6614">
            <w:pPr>
              <w:rPr>
                <w:rFonts w:ascii="宋体"/>
              </w:rPr>
            </w:pPr>
          </w:p>
        </w:tc>
        <w:tc>
          <w:tcPr>
            <w:tcW w:w="0" w:type="auto"/>
            <w:shd w:val="clear" w:color="auto" w:fill="auto"/>
            <w:vAlign w:val="center"/>
          </w:tcPr>
          <w:p w14:paraId="64A88E87" w14:textId="77777777" w:rsidR="008D6614" w:rsidRDefault="008D6614">
            <w:pPr>
              <w:rPr>
                <w:rFonts w:ascii="宋体"/>
              </w:rPr>
            </w:pPr>
          </w:p>
        </w:tc>
        <w:tc>
          <w:tcPr>
            <w:tcW w:w="0" w:type="auto"/>
            <w:shd w:val="clear" w:color="auto" w:fill="auto"/>
            <w:vAlign w:val="center"/>
          </w:tcPr>
          <w:p w14:paraId="64A88E88" w14:textId="77777777" w:rsidR="008D6614" w:rsidRDefault="008D6614">
            <w:pPr>
              <w:rPr>
                <w:rFonts w:ascii="宋体"/>
              </w:rPr>
            </w:pPr>
          </w:p>
        </w:tc>
        <w:tc>
          <w:tcPr>
            <w:tcW w:w="0" w:type="auto"/>
            <w:shd w:val="clear" w:color="auto" w:fill="auto"/>
            <w:vAlign w:val="center"/>
          </w:tcPr>
          <w:p w14:paraId="64A88E89" w14:textId="77777777" w:rsidR="008D6614" w:rsidRDefault="008D6614">
            <w:pPr>
              <w:rPr>
                <w:rFonts w:ascii="宋体"/>
              </w:rPr>
            </w:pPr>
          </w:p>
        </w:tc>
      </w:tr>
      <w:tr w:rsidR="008D6614" w14:paraId="64A88E99" w14:textId="77777777">
        <w:trPr>
          <w:jc w:val="center"/>
        </w:trPr>
        <w:tc>
          <w:tcPr>
            <w:tcW w:w="0" w:type="auto"/>
            <w:gridSpan w:val="3"/>
            <w:shd w:val="clear" w:color="auto" w:fill="DDDDDD"/>
            <w:tcMar>
              <w:top w:w="40" w:type="dxa"/>
              <w:left w:w="20" w:type="dxa"/>
              <w:bottom w:w="40" w:type="dxa"/>
              <w:right w:w="20" w:type="dxa"/>
            </w:tcMar>
            <w:vAlign w:val="bottom"/>
          </w:tcPr>
          <w:p w14:paraId="64A88E8B" w14:textId="77777777" w:rsidR="008D6614" w:rsidRDefault="00866AF2">
            <w:pPr>
              <w:textAlignment w:val="bottom"/>
            </w:pPr>
            <w:r>
              <w:rPr>
                <w:rFonts w:ascii="Arial" w:eastAsia="宋体" w:hAnsi="Arial" w:cs="Arial"/>
                <w:color w:val="000000"/>
                <w:sz w:val="18"/>
                <w:szCs w:val="18"/>
              </w:rPr>
              <w:t xml:space="preserve">Cash, cash equivalents and restricted cash of continuing operations at end of </w:t>
            </w:r>
            <w:r>
              <w:rPr>
                <w:rFonts w:ascii="Arial" w:eastAsia="宋体" w:hAnsi="Arial" w:cs="Arial"/>
                <w:color w:val="000000"/>
                <w:sz w:val="18"/>
                <w:szCs w:val="18"/>
              </w:rPr>
              <w:t>period</w:t>
            </w:r>
          </w:p>
        </w:tc>
        <w:tc>
          <w:tcPr>
            <w:tcW w:w="0" w:type="auto"/>
            <w:tcBorders>
              <w:top w:val="single" w:sz="8" w:space="0" w:color="000000"/>
            </w:tcBorders>
            <w:shd w:val="clear" w:color="auto" w:fill="DDDDDD"/>
            <w:tcMar>
              <w:top w:w="40" w:type="dxa"/>
              <w:left w:w="20" w:type="dxa"/>
              <w:bottom w:w="40" w:type="dxa"/>
            </w:tcMar>
            <w:vAlign w:val="bottom"/>
          </w:tcPr>
          <w:p w14:paraId="64A88E8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bottom w:w="40" w:type="dxa"/>
              <w:right w:w="0" w:type="dxa"/>
            </w:tcMar>
            <w:vAlign w:val="bottom"/>
          </w:tcPr>
          <w:p w14:paraId="64A88E8D" w14:textId="77777777" w:rsidR="008D6614" w:rsidRDefault="00866AF2">
            <w:pPr>
              <w:jc w:val="right"/>
              <w:textAlignment w:val="bottom"/>
            </w:pPr>
            <w:r>
              <w:rPr>
                <w:rFonts w:ascii="Arial" w:eastAsia="宋体" w:hAnsi="Arial" w:cs="Arial"/>
                <w:color w:val="000000"/>
                <w:sz w:val="18"/>
                <w:szCs w:val="18"/>
              </w:rPr>
              <w:t>899 </w:t>
            </w:r>
          </w:p>
        </w:tc>
        <w:tc>
          <w:tcPr>
            <w:tcW w:w="0" w:type="auto"/>
            <w:tcBorders>
              <w:top w:val="single" w:sz="8" w:space="0" w:color="000000"/>
            </w:tcBorders>
            <w:shd w:val="clear" w:color="auto" w:fill="DDDDDD"/>
            <w:tcMar>
              <w:top w:w="40" w:type="dxa"/>
              <w:bottom w:w="40" w:type="dxa"/>
              <w:right w:w="20" w:type="dxa"/>
            </w:tcMar>
            <w:vAlign w:val="bottom"/>
          </w:tcPr>
          <w:p w14:paraId="64A88E8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E8F" w14:textId="77777777" w:rsidR="008D6614" w:rsidRDefault="008D6614">
            <w:pPr>
              <w:rPr>
                <w:rFonts w:ascii="宋体"/>
              </w:rPr>
            </w:pPr>
          </w:p>
        </w:tc>
        <w:tc>
          <w:tcPr>
            <w:tcW w:w="0" w:type="auto"/>
            <w:tcBorders>
              <w:top w:val="single" w:sz="8" w:space="0" w:color="000000"/>
            </w:tcBorders>
            <w:shd w:val="clear" w:color="auto" w:fill="DDDDDD"/>
            <w:tcMar>
              <w:top w:w="40" w:type="dxa"/>
              <w:left w:w="20" w:type="dxa"/>
              <w:bottom w:w="40" w:type="dxa"/>
            </w:tcMar>
            <w:vAlign w:val="bottom"/>
          </w:tcPr>
          <w:p w14:paraId="64A88E90"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bottom w:w="40" w:type="dxa"/>
              <w:right w:w="0" w:type="dxa"/>
            </w:tcMar>
            <w:vAlign w:val="bottom"/>
          </w:tcPr>
          <w:p w14:paraId="64A88E91" w14:textId="77777777" w:rsidR="008D6614" w:rsidRDefault="00866AF2">
            <w:pPr>
              <w:jc w:val="right"/>
              <w:textAlignment w:val="bottom"/>
            </w:pPr>
            <w:r>
              <w:rPr>
                <w:rFonts w:ascii="Arial" w:eastAsia="宋体" w:hAnsi="Arial" w:cs="Arial"/>
                <w:color w:val="000000"/>
                <w:sz w:val="18"/>
                <w:szCs w:val="18"/>
              </w:rPr>
              <w:t>1,681 </w:t>
            </w:r>
          </w:p>
        </w:tc>
        <w:tc>
          <w:tcPr>
            <w:tcW w:w="0" w:type="auto"/>
            <w:tcBorders>
              <w:top w:val="single" w:sz="8" w:space="0" w:color="000000"/>
            </w:tcBorders>
            <w:shd w:val="clear" w:color="auto" w:fill="DDDDDD"/>
            <w:tcMar>
              <w:top w:w="40" w:type="dxa"/>
              <w:bottom w:w="40" w:type="dxa"/>
              <w:right w:w="20" w:type="dxa"/>
            </w:tcMar>
            <w:vAlign w:val="bottom"/>
          </w:tcPr>
          <w:p w14:paraId="64A88E9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93" w14:textId="77777777" w:rsidR="008D6614" w:rsidRDefault="008D6614">
            <w:pPr>
              <w:rPr>
                <w:rFonts w:ascii="宋体"/>
              </w:rPr>
            </w:pPr>
          </w:p>
        </w:tc>
        <w:tc>
          <w:tcPr>
            <w:tcW w:w="0" w:type="auto"/>
            <w:shd w:val="clear" w:color="auto" w:fill="auto"/>
            <w:vAlign w:val="center"/>
          </w:tcPr>
          <w:p w14:paraId="64A88E94" w14:textId="77777777" w:rsidR="008D6614" w:rsidRDefault="008D6614">
            <w:pPr>
              <w:rPr>
                <w:rFonts w:ascii="宋体"/>
              </w:rPr>
            </w:pPr>
          </w:p>
        </w:tc>
        <w:tc>
          <w:tcPr>
            <w:tcW w:w="0" w:type="auto"/>
            <w:shd w:val="clear" w:color="auto" w:fill="auto"/>
            <w:vAlign w:val="center"/>
          </w:tcPr>
          <w:p w14:paraId="64A88E95" w14:textId="77777777" w:rsidR="008D6614" w:rsidRDefault="008D6614">
            <w:pPr>
              <w:rPr>
                <w:rFonts w:ascii="宋体"/>
              </w:rPr>
            </w:pPr>
          </w:p>
        </w:tc>
        <w:tc>
          <w:tcPr>
            <w:tcW w:w="0" w:type="auto"/>
            <w:shd w:val="clear" w:color="auto" w:fill="auto"/>
            <w:vAlign w:val="center"/>
          </w:tcPr>
          <w:p w14:paraId="64A88E96" w14:textId="77777777" w:rsidR="008D6614" w:rsidRDefault="008D6614">
            <w:pPr>
              <w:rPr>
                <w:rFonts w:ascii="宋体"/>
              </w:rPr>
            </w:pPr>
          </w:p>
        </w:tc>
        <w:tc>
          <w:tcPr>
            <w:tcW w:w="0" w:type="auto"/>
            <w:shd w:val="clear" w:color="auto" w:fill="auto"/>
            <w:vAlign w:val="center"/>
          </w:tcPr>
          <w:p w14:paraId="64A88E97" w14:textId="77777777" w:rsidR="008D6614" w:rsidRDefault="008D6614">
            <w:pPr>
              <w:rPr>
                <w:rFonts w:ascii="宋体"/>
              </w:rPr>
            </w:pPr>
          </w:p>
        </w:tc>
        <w:tc>
          <w:tcPr>
            <w:tcW w:w="0" w:type="auto"/>
            <w:shd w:val="clear" w:color="auto" w:fill="auto"/>
            <w:vAlign w:val="center"/>
          </w:tcPr>
          <w:p w14:paraId="64A88E98" w14:textId="77777777" w:rsidR="008D6614" w:rsidRDefault="008D6614">
            <w:pPr>
              <w:rPr>
                <w:rFonts w:ascii="宋体"/>
              </w:rPr>
            </w:pPr>
          </w:p>
        </w:tc>
      </w:tr>
      <w:tr w:rsidR="008D6614" w14:paraId="64A88EA4" w14:textId="77777777">
        <w:trPr>
          <w:trHeight w:val="280"/>
          <w:jc w:val="center"/>
        </w:trPr>
        <w:tc>
          <w:tcPr>
            <w:tcW w:w="0" w:type="auto"/>
            <w:gridSpan w:val="3"/>
            <w:shd w:val="clear" w:color="auto" w:fill="FFFFFF"/>
            <w:tcMar>
              <w:left w:w="20" w:type="dxa"/>
              <w:right w:w="20" w:type="dxa"/>
            </w:tcMar>
            <w:vAlign w:val="bottom"/>
          </w:tcPr>
          <w:p w14:paraId="64A88E9A"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8E9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E9C"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8E9D" w14:textId="77777777" w:rsidR="008D6614" w:rsidRDefault="008D6614">
            <w:pPr>
              <w:rPr>
                <w:rFonts w:ascii="宋体"/>
              </w:rPr>
            </w:pPr>
          </w:p>
        </w:tc>
        <w:tc>
          <w:tcPr>
            <w:tcW w:w="0" w:type="auto"/>
            <w:shd w:val="clear" w:color="auto" w:fill="auto"/>
            <w:vAlign w:val="center"/>
          </w:tcPr>
          <w:p w14:paraId="64A88E9E" w14:textId="77777777" w:rsidR="008D6614" w:rsidRDefault="008D6614">
            <w:pPr>
              <w:rPr>
                <w:rFonts w:ascii="宋体"/>
              </w:rPr>
            </w:pPr>
          </w:p>
        </w:tc>
        <w:tc>
          <w:tcPr>
            <w:tcW w:w="0" w:type="auto"/>
            <w:shd w:val="clear" w:color="auto" w:fill="auto"/>
            <w:vAlign w:val="center"/>
          </w:tcPr>
          <w:p w14:paraId="64A88E9F" w14:textId="77777777" w:rsidR="008D6614" w:rsidRDefault="008D6614">
            <w:pPr>
              <w:rPr>
                <w:rFonts w:ascii="宋体"/>
              </w:rPr>
            </w:pPr>
          </w:p>
        </w:tc>
        <w:tc>
          <w:tcPr>
            <w:tcW w:w="0" w:type="auto"/>
            <w:shd w:val="clear" w:color="auto" w:fill="auto"/>
            <w:vAlign w:val="center"/>
          </w:tcPr>
          <w:p w14:paraId="64A88EA0" w14:textId="77777777" w:rsidR="008D6614" w:rsidRDefault="008D6614">
            <w:pPr>
              <w:rPr>
                <w:rFonts w:ascii="宋体"/>
              </w:rPr>
            </w:pPr>
          </w:p>
        </w:tc>
        <w:tc>
          <w:tcPr>
            <w:tcW w:w="0" w:type="auto"/>
            <w:shd w:val="clear" w:color="auto" w:fill="auto"/>
            <w:vAlign w:val="center"/>
          </w:tcPr>
          <w:p w14:paraId="64A88EA1" w14:textId="77777777" w:rsidR="008D6614" w:rsidRDefault="008D6614">
            <w:pPr>
              <w:rPr>
                <w:rFonts w:ascii="宋体"/>
              </w:rPr>
            </w:pPr>
          </w:p>
        </w:tc>
        <w:tc>
          <w:tcPr>
            <w:tcW w:w="0" w:type="auto"/>
            <w:shd w:val="clear" w:color="auto" w:fill="auto"/>
            <w:vAlign w:val="center"/>
          </w:tcPr>
          <w:p w14:paraId="64A88EA2" w14:textId="77777777" w:rsidR="008D6614" w:rsidRDefault="008D6614">
            <w:pPr>
              <w:rPr>
                <w:rFonts w:ascii="宋体"/>
              </w:rPr>
            </w:pPr>
          </w:p>
        </w:tc>
        <w:tc>
          <w:tcPr>
            <w:tcW w:w="0" w:type="auto"/>
            <w:shd w:val="clear" w:color="auto" w:fill="auto"/>
            <w:vAlign w:val="center"/>
          </w:tcPr>
          <w:p w14:paraId="64A88EA3" w14:textId="77777777" w:rsidR="008D6614" w:rsidRDefault="008D6614">
            <w:pPr>
              <w:rPr>
                <w:rFonts w:ascii="宋体"/>
              </w:rPr>
            </w:pPr>
          </w:p>
        </w:tc>
      </w:tr>
      <w:tr w:rsidR="008D6614" w14:paraId="64A88EAF" w14:textId="77777777">
        <w:trPr>
          <w:jc w:val="center"/>
        </w:trPr>
        <w:tc>
          <w:tcPr>
            <w:tcW w:w="0" w:type="auto"/>
            <w:gridSpan w:val="3"/>
            <w:shd w:val="clear" w:color="auto" w:fill="DDDDDD"/>
            <w:tcMar>
              <w:top w:w="40" w:type="dxa"/>
              <w:left w:w="20" w:type="dxa"/>
              <w:bottom w:w="40" w:type="dxa"/>
              <w:right w:w="20" w:type="dxa"/>
            </w:tcMar>
            <w:vAlign w:val="bottom"/>
          </w:tcPr>
          <w:p w14:paraId="64A88EA5" w14:textId="77777777" w:rsidR="008D6614" w:rsidRDefault="00866AF2">
            <w:pPr>
              <w:textAlignment w:val="bottom"/>
            </w:pPr>
            <w:r>
              <w:rPr>
                <w:rFonts w:ascii="Arial" w:eastAsia="宋体" w:hAnsi="Arial" w:cs="Arial"/>
                <w:color w:val="000000"/>
                <w:sz w:val="18"/>
                <w:szCs w:val="18"/>
              </w:rPr>
              <w:t>Supplemental cash flow disclosures:</w:t>
            </w:r>
          </w:p>
        </w:tc>
        <w:tc>
          <w:tcPr>
            <w:tcW w:w="0" w:type="auto"/>
            <w:gridSpan w:val="3"/>
            <w:shd w:val="clear" w:color="auto" w:fill="DDDDDD"/>
            <w:tcMar>
              <w:left w:w="20" w:type="dxa"/>
              <w:right w:w="20" w:type="dxa"/>
            </w:tcMar>
            <w:vAlign w:val="bottom"/>
          </w:tcPr>
          <w:p w14:paraId="64A88EA6" w14:textId="77777777" w:rsidR="008D6614" w:rsidRDefault="008D6614">
            <w:pPr>
              <w:rPr>
                <w:rFonts w:ascii="宋体"/>
              </w:rPr>
            </w:pPr>
          </w:p>
        </w:tc>
        <w:tc>
          <w:tcPr>
            <w:tcW w:w="0" w:type="auto"/>
            <w:gridSpan w:val="3"/>
            <w:shd w:val="clear" w:color="auto" w:fill="DDDDDD"/>
            <w:tcMar>
              <w:left w:w="20" w:type="dxa"/>
              <w:right w:w="20" w:type="dxa"/>
            </w:tcMar>
            <w:vAlign w:val="bottom"/>
          </w:tcPr>
          <w:p w14:paraId="64A88EA7" w14:textId="77777777" w:rsidR="008D6614" w:rsidRDefault="008D6614">
            <w:pPr>
              <w:rPr>
                <w:rFonts w:ascii="宋体"/>
              </w:rPr>
            </w:pPr>
          </w:p>
        </w:tc>
        <w:tc>
          <w:tcPr>
            <w:tcW w:w="0" w:type="auto"/>
            <w:gridSpan w:val="3"/>
            <w:shd w:val="clear" w:color="auto" w:fill="DDDDDD"/>
            <w:tcMar>
              <w:left w:w="20" w:type="dxa"/>
              <w:right w:w="20" w:type="dxa"/>
            </w:tcMar>
            <w:vAlign w:val="bottom"/>
          </w:tcPr>
          <w:p w14:paraId="64A88EA8" w14:textId="77777777" w:rsidR="008D6614" w:rsidRDefault="008D6614">
            <w:pPr>
              <w:rPr>
                <w:rFonts w:ascii="宋体"/>
              </w:rPr>
            </w:pPr>
          </w:p>
        </w:tc>
        <w:tc>
          <w:tcPr>
            <w:tcW w:w="0" w:type="auto"/>
            <w:shd w:val="clear" w:color="auto" w:fill="auto"/>
            <w:vAlign w:val="center"/>
          </w:tcPr>
          <w:p w14:paraId="64A88EA9" w14:textId="77777777" w:rsidR="008D6614" w:rsidRDefault="008D6614">
            <w:pPr>
              <w:rPr>
                <w:rFonts w:ascii="宋体"/>
              </w:rPr>
            </w:pPr>
          </w:p>
        </w:tc>
        <w:tc>
          <w:tcPr>
            <w:tcW w:w="0" w:type="auto"/>
            <w:shd w:val="clear" w:color="auto" w:fill="auto"/>
            <w:vAlign w:val="center"/>
          </w:tcPr>
          <w:p w14:paraId="64A88EAA" w14:textId="77777777" w:rsidR="008D6614" w:rsidRDefault="008D6614">
            <w:pPr>
              <w:rPr>
                <w:rFonts w:ascii="宋体"/>
              </w:rPr>
            </w:pPr>
          </w:p>
        </w:tc>
        <w:tc>
          <w:tcPr>
            <w:tcW w:w="0" w:type="auto"/>
            <w:shd w:val="clear" w:color="auto" w:fill="auto"/>
            <w:vAlign w:val="center"/>
          </w:tcPr>
          <w:p w14:paraId="64A88EAB" w14:textId="77777777" w:rsidR="008D6614" w:rsidRDefault="008D6614">
            <w:pPr>
              <w:rPr>
                <w:rFonts w:ascii="宋体"/>
              </w:rPr>
            </w:pPr>
          </w:p>
        </w:tc>
        <w:tc>
          <w:tcPr>
            <w:tcW w:w="0" w:type="auto"/>
            <w:shd w:val="clear" w:color="auto" w:fill="auto"/>
            <w:vAlign w:val="center"/>
          </w:tcPr>
          <w:p w14:paraId="64A88EAC" w14:textId="77777777" w:rsidR="008D6614" w:rsidRDefault="008D6614">
            <w:pPr>
              <w:rPr>
                <w:rFonts w:ascii="宋体"/>
              </w:rPr>
            </w:pPr>
          </w:p>
        </w:tc>
        <w:tc>
          <w:tcPr>
            <w:tcW w:w="0" w:type="auto"/>
            <w:shd w:val="clear" w:color="auto" w:fill="auto"/>
            <w:vAlign w:val="center"/>
          </w:tcPr>
          <w:p w14:paraId="64A88EAD" w14:textId="77777777" w:rsidR="008D6614" w:rsidRDefault="008D6614">
            <w:pPr>
              <w:rPr>
                <w:rFonts w:ascii="宋体"/>
              </w:rPr>
            </w:pPr>
          </w:p>
        </w:tc>
        <w:tc>
          <w:tcPr>
            <w:tcW w:w="0" w:type="auto"/>
            <w:shd w:val="clear" w:color="auto" w:fill="auto"/>
            <w:vAlign w:val="center"/>
          </w:tcPr>
          <w:p w14:paraId="64A88EAE" w14:textId="77777777" w:rsidR="008D6614" w:rsidRDefault="008D6614">
            <w:pPr>
              <w:rPr>
                <w:rFonts w:ascii="宋体"/>
              </w:rPr>
            </w:pPr>
          </w:p>
        </w:tc>
      </w:tr>
      <w:tr w:rsidR="008D6614" w14:paraId="64A88EBA" w14:textId="77777777">
        <w:trPr>
          <w:jc w:val="center"/>
        </w:trPr>
        <w:tc>
          <w:tcPr>
            <w:tcW w:w="0" w:type="auto"/>
            <w:gridSpan w:val="3"/>
            <w:shd w:val="clear" w:color="auto" w:fill="FFFFFF"/>
            <w:tcMar>
              <w:top w:w="40" w:type="dxa"/>
              <w:left w:w="225" w:type="dxa"/>
              <w:bottom w:w="40" w:type="dxa"/>
              <w:right w:w="20" w:type="dxa"/>
            </w:tcMar>
            <w:vAlign w:val="bottom"/>
          </w:tcPr>
          <w:p w14:paraId="64A88EB0" w14:textId="77777777" w:rsidR="008D6614" w:rsidRDefault="00866AF2">
            <w:pPr>
              <w:textAlignment w:val="bottom"/>
            </w:pPr>
            <w:r>
              <w:rPr>
                <w:rFonts w:ascii="Arial" w:eastAsia="宋体" w:hAnsi="Arial" w:cs="Arial"/>
                <w:color w:val="000000"/>
                <w:sz w:val="18"/>
                <w:szCs w:val="18"/>
              </w:rPr>
              <w:t>Cash paid for:</w:t>
            </w:r>
          </w:p>
        </w:tc>
        <w:tc>
          <w:tcPr>
            <w:tcW w:w="0" w:type="auto"/>
            <w:gridSpan w:val="3"/>
            <w:shd w:val="clear" w:color="auto" w:fill="FFFFFF"/>
            <w:tcMar>
              <w:left w:w="20" w:type="dxa"/>
              <w:right w:w="20" w:type="dxa"/>
            </w:tcMar>
            <w:vAlign w:val="bottom"/>
          </w:tcPr>
          <w:p w14:paraId="64A88EB1"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EB2"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EB3" w14:textId="77777777" w:rsidR="008D6614" w:rsidRDefault="008D6614">
            <w:pPr>
              <w:rPr>
                <w:rFonts w:ascii="宋体"/>
              </w:rPr>
            </w:pPr>
          </w:p>
        </w:tc>
        <w:tc>
          <w:tcPr>
            <w:tcW w:w="0" w:type="auto"/>
            <w:shd w:val="clear" w:color="auto" w:fill="auto"/>
            <w:vAlign w:val="center"/>
          </w:tcPr>
          <w:p w14:paraId="64A88EB4" w14:textId="77777777" w:rsidR="008D6614" w:rsidRDefault="008D6614">
            <w:pPr>
              <w:rPr>
                <w:rFonts w:ascii="宋体"/>
              </w:rPr>
            </w:pPr>
          </w:p>
        </w:tc>
        <w:tc>
          <w:tcPr>
            <w:tcW w:w="0" w:type="auto"/>
            <w:shd w:val="clear" w:color="auto" w:fill="auto"/>
            <w:vAlign w:val="center"/>
          </w:tcPr>
          <w:p w14:paraId="64A88EB5" w14:textId="77777777" w:rsidR="008D6614" w:rsidRDefault="008D6614">
            <w:pPr>
              <w:rPr>
                <w:rFonts w:ascii="宋体"/>
              </w:rPr>
            </w:pPr>
          </w:p>
        </w:tc>
        <w:tc>
          <w:tcPr>
            <w:tcW w:w="0" w:type="auto"/>
            <w:shd w:val="clear" w:color="auto" w:fill="auto"/>
            <w:vAlign w:val="center"/>
          </w:tcPr>
          <w:p w14:paraId="64A88EB6" w14:textId="77777777" w:rsidR="008D6614" w:rsidRDefault="008D6614">
            <w:pPr>
              <w:rPr>
                <w:rFonts w:ascii="宋体"/>
              </w:rPr>
            </w:pPr>
          </w:p>
        </w:tc>
        <w:tc>
          <w:tcPr>
            <w:tcW w:w="0" w:type="auto"/>
            <w:shd w:val="clear" w:color="auto" w:fill="auto"/>
            <w:vAlign w:val="center"/>
          </w:tcPr>
          <w:p w14:paraId="64A88EB7" w14:textId="77777777" w:rsidR="008D6614" w:rsidRDefault="008D6614">
            <w:pPr>
              <w:rPr>
                <w:rFonts w:ascii="宋体"/>
              </w:rPr>
            </w:pPr>
          </w:p>
        </w:tc>
        <w:tc>
          <w:tcPr>
            <w:tcW w:w="0" w:type="auto"/>
            <w:shd w:val="clear" w:color="auto" w:fill="auto"/>
            <w:vAlign w:val="center"/>
          </w:tcPr>
          <w:p w14:paraId="64A88EB8" w14:textId="77777777" w:rsidR="008D6614" w:rsidRDefault="008D6614">
            <w:pPr>
              <w:rPr>
                <w:rFonts w:ascii="宋体"/>
              </w:rPr>
            </w:pPr>
          </w:p>
        </w:tc>
        <w:tc>
          <w:tcPr>
            <w:tcW w:w="0" w:type="auto"/>
            <w:shd w:val="clear" w:color="auto" w:fill="auto"/>
            <w:vAlign w:val="center"/>
          </w:tcPr>
          <w:p w14:paraId="64A88EB9" w14:textId="77777777" w:rsidR="008D6614" w:rsidRDefault="008D6614">
            <w:pPr>
              <w:rPr>
                <w:rFonts w:ascii="宋体"/>
              </w:rPr>
            </w:pPr>
          </w:p>
        </w:tc>
      </w:tr>
      <w:tr w:rsidR="008D6614" w14:paraId="64A88EC9" w14:textId="77777777">
        <w:trPr>
          <w:jc w:val="center"/>
        </w:trPr>
        <w:tc>
          <w:tcPr>
            <w:tcW w:w="0" w:type="auto"/>
            <w:gridSpan w:val="3"/>
            <w:shd w:val="clear" w:color="auto" w:fill="DDDDDD"/>
            <w:tcMar>
              <w:top w:w="40" w:type="dxa"/>
              <w:left w:w="495" w:type="dxa"/>
              <w:bottom w:w="40" w:type="dxa"/>
              <w:right w:w="20" w:type="dxa"/>
            </w:tcMar>
            <w:vAlign w:val="bottom"/>
          </w:tcPr>
          <w:p w14:paraId="64A88EBB" w14:textId="77777777" w:rsidR="008D6614" w:rsidRDefault="00866AF2">
            <w:pPr>
              <w:textAlignment w:val="bottom"/>
            </w:pPr>
            <w:r>
              <w:rPr>
                <w:rFonts w:ascii="Arial" w:eastAsia="宋体" w:hAnsi="Arial" w:cs="Arial"/>
                <w:color w:val="000000"/>
                <w:sz w:val="18"/>
                <w:szCs w:val="18"/>
              </w:rPr>
              <w:t>Interest</w:t>
            </w:r>
          </w:p>
        </w:tc>
        <w:tc>
          <w:tcPr>
            <w:tcW w:w="0" w:type="auto"/>
            <w:shd w:val="clear" w:color="auto" w:fill="DDDDDD"/>
            <w:tcMar>
              <w:top w:w="40" w:type="dxa"/>
              <w:left w:w="20" w:type="dxa"/>
              <w:bottom w:w="40" w:type="dxa"/>
            </w:tcMar>
            <w:vAlign w:val="bottom"/>
          </w:tcPr>
          <w:p w14:paraId="64A88EBC" w14:textId="77777777" w:rsidR="008D6614" w:rsidRDefault="00866AF2">
            <w:pPr>
              <w:textAlignment w:val="bottom"/>
            </w:pPr>
            <w:r>
              <w:rPr>
                <w:rFonts w:ascii="Arial" w:eastAsia="宋体" w:hAnsi="Arial" w:cs="Arial"/>
                <w:color w:val="000000"/>
                <w:sz w:val="18"/>
                <w:szCs w:val="18"/>
              </w:rPr>
              <w:t>$</w:t>
            </w:r>
          </w:p>
        </w:tc>
        <w:tc>
          <w:tcPr>
            <w:tcW w:w="0" w:type="auto"/>
            <w:shd w:val="clear" w:color="auto" w:fill="DDDDDD"/>
            <w:tcMar>
              <w:top w:w="40" w:type="dxa"/>
              <w:bottom w:w="40" w:type="dxa"/>
              <w:right w:w="0" w:type="dxa"/>
            </w:tcMar>
            <w:vAlign w:val="bottom"/>
          </w:tcPr>
          <w:p w14:paraId="64A88EBD" w14:textId="77777777" w:rsidR="008D6614" w:rsidRDefault="00866AF2">
            <w:pPr>
              <w:jc w:val="right"/>
              <w:textAlignment w:val="bottom"/>
            </w:pPr>
            <w:r>
              <w:rPr>
                <w:rFonts w:ascii="Arial" w:eastAsia="宋体" w:hAnsi="Arial" w:cs="Arial"/>
                <w:color w:val="000000"/>
                <w:sz w:val="18"/>
                <w:szCs w:val="18"/>
              </w:rPr>
              <w:t>90 </w:t>
            </w:r>
          </w:p>
        </w:tc>
        <w:tc>
          <w:tcPr>
            <w:tcW w:w="0" w:type="auto"/>
            <w:shd w:val="clear" w:color="auto" w:fill="DDDDDD"/>
            <w:tcMar>
              <w:top w:w="40" w:type="dxa"/>
              <w:bottom w:w="40" w:type="dxa"/>
              <w:right w:w="20" w:type="dxa"/>
            </w:tcMar>
            <w:vAlign w:val="bottom"/>
          </w:tcPr>
          <w:p w14:paraId="64A88EB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8EBF" w14:textId="77777777" w:rsidR="008D6614" w:rsidRDefault="008D6614">
            <w:pPr>
              <w:rPr>
                <w:rFonts w:ascii="宋体"/>
              </w:rPr>
            </w:pPr>
          </w:p>
        </w:tc>
        <w:tc>
          <w:tcPr>
            <w:tcW w:w="0" w:type="auto"/>
            <w:shd w:val="clear" w:color="auto" w:fill="DDDDDD"/>
            <w:tcMar>
              <w:top w:w="40" w:type="dxa"/>
              <w:left w:w="20" w:type="dxa"/>
              <w:bottom w:w="40" w:type="dxa"/>
            </w:tcMar>
            <w:vAlign w:val="bottom"/>
          </w:tcPr>
          <w:p w14:paraId="64A88EC0" w14:textId="77777777" w:rsidR="008D6614" w:rsidRDefault="00866AF2">
            <w:pPr>
              <w:textAlignment w:val="bottom"/>
            </w:pPr>
            <w:r>
              <w:rPr>
                <w:rFonts w:ascii="Arial" w:eastAsia="宋体" w:hAnsi="Arial" w:cs="Arial"/>
                <w:color w:val="000000"/>
                <w:sz w:val="18"/>
                <w:szCs w:val="18"/>
              </w:rPr>
              <w:t>$</w:t>
            </w:r>
          </w:p>
        </w:tc>
        <w:tc>
          <w:tcPr>
            <w:tcW w:w="0" w:type="auto"/>
            <w:shd w:val="clear" w:color="auto" w:fill="DDDDDD"/>
            <w:tcMar>
              <w:top w:w="40" w:type="dxa"/>
              <w:bottom w:w="40" w:type="dxa"/>
              <w:right w:w="0" w:type="dxa"/>
            </w:tcMar>
            <w:vAlign w:val="bottom"/>
          </w:tcPr>
          <w:p w14:paraId="64A88EC1" w14:textId="77777777" w:rsidR="008D6614" w:rsidRDefault="00866AF2">
            <w:pPr>
              <w:jc w:val="right"/>
              <w:textAlignment w:val="bottom"/>
            </w:pPr>
            <w:r>
              <w:rPr>
                <w:rFonts w:ascii="Arial" w:eastAsia="宋体" w:hAnsi="Arial" w:cs="Arial"/>
                <w:color w:val="000000"/>
                <w:sz w:val="18"/>
                <w:szCs w:val="18"/>
              </w:rPr>
              <w:t>107 </w:t>
            </w:r>
          </w:p>
        </w:tc>
        <w:tc>
          <w:tcPr>
            <w:tcW w:w="0" w:type="auto"/>
            <w:shd w:val="clear" w:color="auto" w:fill="DDDDDD"/>
            <w:tcMar>
              <w:top w:w="40" w:type="dxa"/>
              <w:bottom w:w="40" w:type="dxa"/>
              <w:right w:w="20" w:type="dxa"/>
            </w:tcMar>
            <w:vAlign w:val="bottom"/>
          </w:tcPr>
          <w:p w14:paraId="64A88EC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C3" w14:textId="77777777" w:rsidR="008D6614" w:rsidRDefault="008D6614">
            <w:pPr>
              <w:rPr>
                <w:rFonts w:ascii="宋体"/>
              </w:rPr>
            </w:pPr>
          </w:p>
        </w:tc>
        <w:tc>
          <w:tcPr>
            <w:tcW w:w="0" w:type="auto"/>
            <w:shd w:val="clear" w:color="auto" w:fill="auto"/>
            <w:vAlign w:val="center"/>
          </w:tcPr>
          <w:p w14:paraId="64A88EC4" w14:textId="77777777" w:rsidR="008D6614" w:rsidRDefault="008D6614">
            <w:pPr>
              <w:rPr>
                <w:rFonts w:ascii="宋体"/>
              </w:rPr>
            </w:pPr>
          </w:p>
        </w:tc>
        <w:tc>
          <w:tcPr>
            <w:tcW w:w="0" w:type="auto"/>
            <w:shd w:val="clear" w:color="auto" w:fill="auto"/>
            <w:vAlign w:val="center"/>
          </w:tcPr>
          <w:p w14:paraId="64A88EC5" w14:textId="77777777" w:rsidR="008D6614" w:rsidRDefault="008D6614">
            <w:pPr>
              <w:rPr>
                <w:rFonts w:ascii="宋体"/>
              </w:rPr>
            </w:pPr>
          </w:p>
        </w:tc>
        <w:tc>
          <w:tcPr>
            <w:tcW w:w="0" w:type="auto"/>
            <w:shd w:val="clear" w:color="auto" w:fill="auto"/>
            <w:vAlign w:val="center"/>
          </w:tcPr>
          <w:p w14:paraId="64A88EC6" w14:textId="77777777" w:rsidR="008D6614" w:rsidRDefault="008D6614">
            <w:pPr>
              <w:rPr>
                <w:rFonts w:ascii="宋体"/>
              </w:rPr>
            </w:pPr>
          </w:p>
        </w:tc>
        <w:tc>
          <w:tcPr>
            <w:tcW w:w="0" w:type="auto"/>
            <w:shd w:val="clear" w:color="auto" w:fill="auto"/>
            <w:vAlign w:val="center"/>
          </w:tcPr>
          <w:p w14:paraId="64A88EC7" w14:textId="77777777" w:rsidR="008D6614" w:rsidRDefault="008D6614">
            <w:pPr>
              <w:rPr>
                <w:rFonts w:ascii="宋体"/>
              </w:rPr>
            </w:pPr>
          </w:p>
        </w:tc>
        <w:tc>
          <w:tcPr>
            <w:tcW w:w="0" w:type="auto"/>
            <w:shd w:val="clear" w:color="auto" w:fill="auto"/>
            <w:vAlign w:val="center"/>
          </w:tcPr>
          <w:p w14:paraId="64A88EC8" w14:textId="77777777" w:rsidR="008D6614" w:rsidRDefault="008D6614">
            <w:pPr>
              <w:rPr>
                <w:rFonts w:ascii="宋体"/>
              </w:rPr>
            </w:pPr>
          </w:p>
        </w:tc>
      </w:tr>
      <w:tr w:rsidR="008D6614" w14:paraId="64A88ED8" w14:textId="77777777">
        <w:trPr>
          <w:jc w:val="center"/>
        </w:trPr>
        <w:tc>
          <w:tcPr>
            <w:tcW w:w="0" w:type="auto"/>
            <w:gridSpan w:val="3"/>
            <w:shd w:val="clear" w:color="auto" w:fill="FFFFFF"/>
            <w:tcMar>
              <w:top w:w="40" w:type="dxa"/>
              <w:left w:w="495" w:type="dxa"/>
              <w:bottom w:w="40" w:type="dxa"/>
              <w:right w:w="20" w:type="dxa"/>
            </w:tcMar>
            <w:vAlign w:val="bottom"/>
          </w:tcPr>
          <w:p w14:paraId="64A88ECA" w14:textId="77777777" w:rsidR="008D6614" w:rsidRDefault="00866AF2">
            <w:pPr>
              <w:textAlignment w:val="bottom"/>
            </w:pPr>
            <w:r>
              <w:rPr>
                <w:rFonts w:ascii="Arial" w:eastAsia="宋体" w:hAnsi="Arial" w:cs="Arial"/>
                <w:color w:val="000000"/>
                <w:sz w:val="18"/>
                <w:szCs w:val="18"/>
              </w:rPr>
              <w:t>Interest on finance lease obligations</w:t>
            </w:r>
          </w:p>
        </w:tc>
        <w:tc>
          <w:tcPr>
            <w:tcW w:w="0" w:type="auto"/>
            <w:shd w:val="clear" w:color="auto" w:fill="FFFFFF"/>
            <w:tcMar>
              <w:top w:w="40" w:type="dxa"/>
              <w:left w:w="20" w:type="dxa"/>
              <w:bottom w:w="40" w:type="dxa"/>
            </w:tcMar>
            <w:vAlign w:val="bottom"/>
          </w:tcPr>
          <w:p w14:paraId="64A88ECB"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ECC" w14:textId="77777777" w:rsidR="008D6614" w:rsidRDefault="00866AF2">
            <w:pPr>
              <w:jc w:val="right"/>
              <w:textAlignment w:val="bottom"/>
            </w:pPr>
            <w:r>
              <w:rPr>
                <w:rFonts w:ascii="Arial" w:eastAsia="宋体" w:hAnsi="Arial" w:cs="Arial"/>
                <w:color w:val="000000"/>
                <w:sz w:val="18"/>
                <w:szCs w:val="18"/>
              </w:rPr>
              <w:t>3 </w:t>
            </w:r>
          </w:p>
        </w:tc>
        <w:tc>
          <w:tcPr>
            <w:tcW w:w="0" w:type="auto"/>
            <w:shd w:val="clear" w:color="auto" w:fill="FFFFFF"/>
            <w:tcMar>
              <w:top w:w="40" w:type="dxa"/>
              <w:bottom w:w="40" w:type="dxa"/>
              <w:right w:w="20" w:type="dxa"/>
            </w:tcMar>
            <w:vAlign w:val="bottom"/>
          </w:tcPr>
          <w:p w14:paraId="64A88EC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ECE"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8ECF"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8ED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8ED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D2" w14:textId="77777777" w:rsidR="008D6614" w:rsidRDefault="008D6614">
            <w:pPr>
              <w:rPr>
                <w:rFonts w:ascii="宋体"/>
              </w:rPr>
            </w:pPr>
          </w:p>
        </w:tc>
        <w:tc>
          <w:tcPr>
            <w:tcW w:w="0" w:type="auto"/>
            <w:shd w:val="clear" w:color="auto" w:fill="auto"/>
            <w:vAlign w:val="center"/>
          </w:tcPr>
          <w:p w14:paraId="64A88ED3" w14:textId="77777777" w:rsidR="008D6614" w:rsidRDefault="008D6614">
            <w:pPr>
              <w:rPr>
                <w:rFonts w:ascii="宋体"/>
              </w:rPr>
            </w:pPr>
          </w:p>
        </w:tc>
        <w:tc>
          <w:tcPr>
            <w:tcW w:w="0" w:type="auto"/>
            <w:shd w:val="clear" w:color="auto" w:fill="auto"/>
            <w:vAlign w:val="center"/>
          </w:tcPr>
          <w:p w14:paraId="64A88ED4" w14:textId="77777777" w:rsidR="008D6614" w:rsidRDefault="008D6614">
            <w:pPr>
              <w:rPr>
                <w:rFonts w:ascii="宋体"/>
              </w:rPr>
            </w:pPr>
          </w:p>
        </w:tc>
        <w:tc>
          <w:tcPr>
            <w:tcW w:w="0" w:type="auto"/>
            <w:shd w:val="clear" w:color="auto" w:fill="auto"/>
            <w:vAlign w:val="center"/>
          </w:tcPr>
          <w:p w14:paraId="64A88ED5" w14:textId="77777777" w:rsidR="008D6614" w:rsidRDefault="008D6614">
            <w:pPr>
              <w:rPr>
                <w:rFonts w:ascii="宋体"/>
              </w:rPr>
            </w:pPr>
          </w:p>
        </w:tc>
        <w:tc>
          <w:tcPr>
            <w:tcW w:w="0" w:type="auto"/>
            <w:shd w:val="clear" w:color="auto" w:fill="auto"/>
            <w:vAlign w:val="center"/>
          </w:tcPr>
          <w:p w14:paraId="64A88ED6" w14:textId="77777777" w:rsidR="008D6614" w:rsidRDefault="008D6614">
            <w:pPr>
              <w:rPr>
                <w:rFonts w:ascii="宋体"/>
              </w:rPr>
            </w:pPr>
          </w:p>
        </w:tc>
        <w:tc>
          <w:tcPr>
            <w:tcW w:w="0" w:type="auto"/>
            <w:shd w:val="clear" w:color="auto" w:fill="auto"/>
            <w:vAlign w:val="center"/>
          </w:tcPr>
          <w:p w14:paraId="64A88ED7" w14:textId="77777777" w:rsidR="008D6614" w:rsidRDefault="008D6614">
            <w:pPr>
              <w:rPr>
                <w:rFonts w:ascii="宋体"/>
              </w:rPr>
            </w:pPr>
          </w:p>
        </w:tc>
      </w:tr>
      <w:tr w:rsidR="008D6614" w14:paraId="64A88EE7" w14:textId="77777777">
        <w:trPr>
          <w:jc w:val="center"/>
        </w:trPr>
        <w:tc>
          <w:tcPr>
            <w:tcW w:w="0" w:type="auto"/>
            <w:gridSpan w:val="3"/>
            <w:shd w:val="clear" w:color="auto" w:fill="E2E2E2"/>
            <w:tcMar>
              <w:top w:w="40" w:type="dxa"/>
              <w:left w:w="495" w:type="dxa"/>
              <w:bottom w:w="40" w:type="dxa"/>
              <w:right w:w="20" w:type="dxa"/>
            </w:tcMar>
            <w:vAlign w:val="bottom"/>
          </w:tcPr>
          <w:p w14:paraId="64A88ED9" w14:textId="77777777" w:rsidR="008D6614" w:rsidRDefault="00866AF2">
            <w:pPr>
              <w:textAlignment w:val="bottom"/>
            </w:pPr>
            <w:r>
              <w:rPr>
                <w:rFonts w:ascii="Arial" w:eastAsia="宋体" w:hAnsi="Arial" w:cs="Arial"/>
                <w:color w:val="000000"/>
                <w:sz w:val="18"/>
                <w:szCs w:val="18"/>
              </w:rPr>
              <w:t>Income taxes</w:t>
            </w:r>
          </w:p>
        </w:tc>
        <w:tc>
          <w:tcPr>
            <w:tcW w:w="0" w:type="auto"/>
            <w:shd w:val="clear" w:color="auto" w:fill="E2E2E2"/>
            <w:tcMar>
              <w:top w:w="40" w:type="dxa"/>
              <w:left w:w="20" w:type="dxa"/>
              <w:bottom w:w="40" w:type="dxa"/>
            </w:tcMar>
            <w:vAlign w:val="bottom"/>
          </w:tcPr>
          <w:p w14:paraId="64A88EDA"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EDB" w14:textId="77777777" w:rsidR="008D6614" w:rsidRDefault="00866AF2">
            <w:pPr>
              <w:jc w:val="right"/>
              <w:textAlignment w:val="bottom"/>
            </w:pPr>
            <w:r>
              <w:rPr>
                <w:rFonts w:ascii="Arial" w:eastAsia="宋体" w:hAnsi="Arial" w:cs="Arial"/>
                <w:color w:val="000000"/>
                <w:sz w:val="18"/>
                <w:szCs w:val="18"/>
              </w:rPr>
              <w:t>63 </w:t>
            </w:r>
          </w:p>
        </w:tc>
        <w:tc>
          <w:tcPr>
            <w:tcW w:w="0" w:type="auto"/>
            <w:shd w:val="clear" w:color="auto" w:fill="E2E2E2"/>
            <w:tcMar>
              <w:top w:w="40" w:type="dxa"/>
              <w:bottom w:w="40" w:type="dxa"/>
              <w:right w:w="20" w:type="dxa"/>
            </w:tcMar>
            <w:vAlign w:val="bottom"/>
          </w:tcPr>
          <w:p w14:paraId="64A88ED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EDD"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8EDE"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EDF" w14:textId="77777777" w:rsidR="008D6614" w:rsidRDefault="00866AF2">
            <w:pPr>
              <w:jc w:val="right"/>
              <w:textAlignment w:val="bottom"/>
            </w:pPr>
            <w:r>
              <w:rPr>
                <w:rFonts w:ascii="Arial" w:eastAsia="宋体" w:hAnsi="Arial" w:cs="Arial"/>
                <w:color w:val="000000"/>
                <w:sz w:val="18"/>
                <w:szCs w:val="18"/>
              </w:rPr>
              <w:t>93 </w:t>
            </w:r>
          </w:p>
        </w:tc>
        <w:tc>
          <w:tcPr>
            <w:tcW w:w="0" w:type="auto"/>
            <w:shd w:val="clear" w:color="auto" w:fill="E2E2E2"/>
            <w:tcMar>
              <w:top w:w="40" w:type="dxa"/>
              <w:bottom w:w="40" w:type="dxa"/>
              <w:right w:w="20" w:type="dxa"/>
            </w:tcMar>
            <w:vAlign w:val="bottom"/>
          </w:tcPr>
          <w:p w14:paraId="64A88EE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EE1" w14:textId="77777777" w:rsidR="008D6614" w:rsidRDefault="008D6614">
            <w:pPr>
              <w:rPr>
                <w:rFonts w:ascii="宋体"/>
              </w:rPr>
            </w:pPr>
          </w:p>
        </w:tc>
        <w:tc>
          <w:tcPr>
            <w:tcW w:w="0" w:type="auto"/>
            <w:shd w:val="clear" w:color="auto" w:fill="auto"/>
            <w:vAlign w:val="center"/>
          </w:tcPr>
          <w:p w14:paraId="64A88EE2" w14:textId="77777777" w:rsidR="008D6614" w:rsidRDefault="008D6614">
            <w:pPr>
              <w:rPr>
                <w:rFonts w:ascii="宋体"/>
              </w:rPr>
            </w:pPr>
          </w:p>
        </w:tc>
        <w:tc>
          <w:tcPr>
            <w:tcW w:w="0" w:type="auto"/>
            <w:shd w:val="clear" w:color="auto" w:fill="auto"/>
            <w:vAlign w:val="center"/>
          </w:tcPr>
          <w:p w14:paraId="64A88EE3" w14:textId="77777777" w:rsidR="008D6614" w:rsidRDefault="008D6614">
            <w:pPr>
              <w:rPr>
                <w:rFonts w:ascii="宋体"/>
              </w:rPr>
            </w:pPr>
          </w:p>
        </w:tc>
        <w:tc>
          <w:tcPr>
            <w:tcW w:w="0" w:type="auto"/>
            <w:shd w:val="clear" w:color="auto" w:fill="auto"/>
            <w:vAlign w:val="center"/>
          </w:tcPr>
          <w:p w14:paraId="64A88EE4" w14:textId="77777777" w:rsidR="008D6614" w:rsidRDefault="008D6614">
            <w:pPr>
              <w:rPr>
                <w:rFonts w:ascii="宋体"/>
              </w:rPr>
            </w:pPr>
          </w:p>
        </w:tc>
        <w:tc>
          <w:tcPr>
            <w:tcW w:w="0" w:type="auto"/>
            <w:shd w:val="clear" w:color="auto" w:fill="auto"/>
            <w:vAlign w:val="center"/>
          </w:tcPr>
          <w:p w14:paraId="64A88EE5" w14:textId="77777777" w:rsidR="008D6614" w:rsidRDefault="008D6614">
            <w:pPr>
              <w:rPr>
                <w:rFonts w:ascii="宋体"/>
              </w:rPr>
            </w:pPr>
          </w:p>
        </w:tc>
        <w:tc>
          <w:tcPr>
            <w:tcW w:w="0" w:type="auto"/>
            <w:shd w:val="clear" w:color="auto" w:fill="auto"/>
            <w:vAlign w:val="center"/>
          </w:tcPr>
          <w:p w14:paraId="64A88EE6" w14:textId="77777777" w:rsidR="008D6614" w:rsidRDefault="008D6614">
            <w:pPr>
              <w:rPr>
                <w:rFonts w:ascii="宋体"/>
              </w:rPr>
            </w:pPr>
          </w:p>
        </w:tc>
      </w:tr>
      <w:tr w:rsidR="008D6614" w14:paraId="64A88EF2" w14:textId="77777777">
        <w:trPr>
          <w:jc w:val="center"/>
          <w:hidden/>
        </w:trPr>
        <w:tc>
          <w:tcPr>
            <w:tcW w:w="0" w:type="auto"/>
            <w:gridSpan w:val="3"/>
            <w:shd w:val="clear" w:color="auto" w:fill="auto"/>
            <w:vAlign w:val="center"/>
          </w:tcPr>
          <w:p w14:paraId="64A88EE8" w14:textId="77777777" w:rsidR="008D6614" w:rsidRDefault="008D6614">
            <w:pPr>
              <w:rPr>
                <w:rFonts w:ascii="宋体"/>
                <w:vanish/>
              </w:rPr>
            </w:pPr>
          </w:p>
        </w:tc>
        <w:tc>
          <w:tcPr>
            <w:tcW w:w="0" w:type="auto"/>
            <w:gridSpan w:val="3"/>
            <w:shd w:val="clear" w:color="auto" w:fill="auto"/>
            <w:vAlign w:val="center"/>
          </w:tcPr>
          <w:p w14:paraId="64A88EE9" w14:textId="77777777" w:rsidR="008D6614" w:rsidRDefault="008D6614">
            <w:pPr>
              <w:rPr>
                <w:rFonts w:ascii="宋体"/>
                <w:vanish/>
              </w:rPr>
            </w:pPr>
          </w:p>
        </w:tc>
        <w:tc>
          <w:tcPr>
            <w:tcW w:w="0" w:type="auto"/>
            <w:gridSpan w:val="3"/>
            <w:shd w:val="clear" w:color="auto" w:fill="auto"/>
            <w:vAlign w:val="center"/>
          </w:tcPr>
          <w:p w14:paraId="64A88EEA" w14:textId="77777777" w:rsidR="008D6614" w:rsidRDefault="008D6614">
            <w:pPr>
              <w:rPr>
                <w:rFonts w:ascii="宋体"/>
                <w:vanish/>
              </w:rPr>
            </w:pPr>
          </w:p>
        </w:tc>
        <w:tc>
          <w:tcPr>
            <w:tcW w:w="0" w:type="auto"/>
            <w:gridSpan w:val="3"/>
            <w:shd w:val="clear" w:color="auto" w:fill="auto"/>
            <w:vAlign w:val="center"/>
          </w:tcPr>
          <w:p w14:paraId="64A88EEB" w14:textId="77777777" w:rsidR="008D6614" w:rsidRDefault="008D6614">
            <w:pPr>
              <w:rPr>
                <w:rFonts w:ascii="宋体"/>
                <w:vanish/>
              </w:rPr>
            </w:pPr>
          </w:p>
        </w:tc>
        <w:tc>
          <w:tcPr>
            <w:tcW w:w="0" w:type="auto"/>
            <w:shd w:val="clear" w:color="auto" w:fill="auto"/>
            <w:vAlign w:val="center"/>
          </w:tcPr>
          <w:p w14:paraId="64A88EEC" w14:textId="77777777" w:rsidR="008D6614" w:rsidRDefault="008D6614">
            <w:pPr>
              <w:rPr>
                <w:rFonts w:ascii="宋体"/>
              </w:rPr>
            </w:pPr>
          </w:p>
        </w:tc>
        <w:tc>
          <w:tcPr>
            <w:tcW w:w="0" w:type="auto"/>
            <w:shd w:val="clear" w:color="auto" w:fill="auto"/>
            <w:vAlign w:val="center"/>
          </w:tcPr>
          <w:p w14:paraId="64A88EED" w14:textId="77777777" w:rsidR="008D6614" w:rsidRDefault="008D6614">
            <w:pPr>
              <w:rPr>
                <w:rFonts w:ascii="宋体"/>
              </w:rPr>
            </w:pPr>
          </w:p>
        </w:tc>
        <w:tc>
          <w:tcPr>
            <w:tcW w:w="0" w:type="auto"/>
            <w:shd w:val="clear" w:color="auto" w:fill="auto"/>
            <w:vAlign w:val="center"/>
          </w:tcPr>
          <w:p w14:paraId="64A88EEE" w14:textId="77777777" w:rsidR="008D6614" w:rsidRDefault="008D6614">
            <w:pPr>
              <w:rPr>
                <w:rFonts w:ascii="宋体"/>
              </w:rPr>
            </w:pPr>
          </w:p>
        </w:tc>
        <w:tc>
          <w:tcPr>
            <w:tcW w:w="0" w:type="auto"/>
            <w:shd w:val="clear" w:color="auto" w:fill="auto"/>
            <w:vAlign w:val="center"/>
          </w:tcPr>
          <w:p w14:paraId="64A88EEF" w14:textId="77777777" w:rsidR="008D6614" w:rsidRDefault="008D6614">
            <w:pPr>
              <w:rPr>
                <w:rFonts w:ascii="宋体"/>
              </w:rPr>
            </w:pPr>
          </w:p>
        </w:tc>
        <w:tc>
          <w:tcPr>
            <w:tcW w:w="0" w:type="auto"/>
            <w:shd w:val="clear" w:color="auto" w:fill="auto"/>
            <w:vAlign w:val="center"/>
          </w:tcPr>
          <w:p w14:paraId="64A88EF0" w14:textId="77777777" w:rsidR="008D6614" w:rsidRDefault="008D6614">
            <w:pPr>
              <w:rPr>
                <w:rFonts w:ascii="宋体"/>
              </w:rPr>
            </w:pPr>
          </w:p>
        </w:tc>
        <w:tc>
          <w:tcPr>
            <w:tcW w:w="0" w:type="auto"/>
            <w:shd w:val="clear" w:color="auto" w:fill="auto"/>
            <w:vAlign w:val="center"/>
          </w:tcPr>
          <w:p w14:paraId="64A88EF1" w14:textId="77777777" w:rsidR="008D6614" w:rsidRDefault="008D6614">
            <w:pPr>
              <w:rPr>
                <w:rFonts w:ascii="宋体"/>
              </w:rPr>
            </w:pPr>
          </w:p>
        </w:tc>
      </w:tr>
      <w:tr w:rsidR="008D6614" w14:paraId="64A88EFD" w14:textId="77777777">
        <w:trPr>
          <w:jc w:val="center"/>
          <w:hidden/>
        </w:trPr>
        <w:tc>
          <w:tcPr>
            <w:tcW w:w="0" w:type="auto"/>
            <w:gridSpan w:val="3"/>
            <w:shd w:val="clear" w:color="auto" w:fill="auto"/>
            <w:vAlign w:val="center"/>
          </w:tcPr>
          <w:p w14:paraId="64A88EF3" w14:textId="77777777" w:rsidR="008D6614" w:rsidRDefault="008D6614">
            <w:pPr>
              <w:rPr>
                <w:rFonts w:ascii="宋体"/>
                <w:vanish/>
              </w:rPr>
            </w:pPr>
          </w:p>
        </w:tc>
        <w:tc>
          <w:tcPr>
            <w:tcW w:w="0" w:type="auto"/>
            <w:gridSpan w:val="3"/>
            <w:shd w:val="clear" w:color="auto" w:fill="auto"/>
            <w:vAlign w:val="center"/>
          </w:tcPr>
          <w:p w14:paraId="64A88EF4" w14:textId="77777777" w:rsidR="008D6614" w:rsidRDefault="008D6614">
            <w:pPr>
              <w:rPr>
                <w:rFonts w:ascii="宋体"/>
                <w:vanish/>
              </w:rPr>
            </w:pPr>
          </w:p>
        </w:tc>
        <w:tc>
          <w:tcPr>
            <w:tcW w:w="0" w:type="auto"/>
            <w:gridSpan w:val="3"/>
            <w:shd w:val="clear" w:color="auto" w:fill="auto"/>
            <w:vAlign w:val="center"/>
          </w:tcPr>
          <w:p w14:paraId="64A88EF5" w14:textId="77777777" w:rsidR="008D6614" w:rsidRDefault="008D6614">
            <w:pPr>
              <w:rPr>
                <w:rFonts w:ascii="宋体"/>
                <w:vanish/>
              </w:rPr>
            </w:pPr>
          </w:p>
        </w:tc>
        <w:tc>
          <w:tcPr>
            <w:tcW w:w="0" w:type="auto"/>
            <w:gridSpan w:val="3"/>
            <w:shd w:val="clear" w:color="auto" w:fill="auto"/>
            <w:vAlign w:val="center"/>
          </w:tcPr>
          <w:p w14:paraId="64A88EF6" w14:textId="77777777" w:rsidR="008D6614" w:rsidRDefault="008D6614">
            <w:pPr>
              <w:rPr>
                <w:rFonts w:ascii="宋体"/>
                <w:vanish/>
              </w:rPr>
            </w:pPr>
          </w:p>
        </w:tc>
        <w:tc>
          <w:tcPr>
            <w:tcW w:w="0" w:type="auto"/>
            <w:shd w:val="clear" w:color="auto" w:fill="auto"/>
            <w:vAlign w:val="center"/>
          </w:tcPr>
          <w:p w14:paraId="64A88EF7" w14:textId="77777777" w:rsidR="008D6614" w:rsidRDefault="008D6614">
            <w:pPr>
              <w:rPr>
                <w:rFonts w:ascii="宋体"/>
              </w:rPr>
            </w:pPr>
          </w:p>
        </w:tc>
        <w:tc>
          <w:tcPr>
            <w:tcW w:w="0" w:type="auto"/>
            <w:shd w:val="clear" w:color="auto" w:fill="auto"/>
            <w:vAlign w:val="center"/>
          </w:tcPr>
          <w:p w14:paraId="64A88EF8" w14:textId="77777777" w:rsidR="008D6614" w:rsidRDefault="008D6614">
            <w:pPr>
              <w:rPr>
                <w:rFonts w:ascii="宋体"/>
              </w:rPr>
            </w:pPr>
          </w:p>
        </w:tc>
        <w:tc>
          <w:tcPr>
            <w:tcW w:w="0" w:type="auto"/>
            <w:shd w:val="clear" w:color="auto" w:fill="auto"/>
            <w:vAlign w:val="center"/>
          </w:tcPr>
          <w:p w14:paraId="64A88EF9" w14:textId="77777777" w:rsidR="008D6614" w:rsidRDefault="008D6614">
            <w:pPr>
              <w:rPr>
                <w:rFonts w:ascii="宋体"/>
              </w:rPr>
            </w:pPr>
          </w:p>
        </w:tc>
        <w:tc>
          <w:tcPr>
            <w:tcW w:w="0" w:type="auto"/>
            <w:shd w:val="clear" w:color="auto" w:fill="auto"/>
            <w:vAlign w:val="center"/>
          </w:tcPr>
          <w:p w14:paraId="64A88EFA" w14:textId="77777777" w:rsidR="008D6614" w:rsidRDefault="008D6614">
            <w:pPr>
              <w:rPr>
                <w:rFonts w:ascii="宋体"/>
              </w:rPr>
            </w:pPr>
          </w:p>
        </w:tc>
        <w:tc>
          <w:tcPr>
            <w:tcW w:w="0" w:type="auto"/>
            <w:shd w:val="clear" w:color="auto" w:fill="auto"/>
            <w:vAlign w:val="center"/>
          </w:tcPr>
          <w:p w14:paraId="64A88EFB" w14:textId="77777777" w:rsidR="008D6614" w:rsidRDefault="008D6614">
            <w:pPr>
              <w:rPr>
                <w:rFonts w:ascii="宋体"/>
              </w:rPr>
            </w:pPr>
          </w:p>
        </w:tc>
        <w:tc>
          <w:tcPr>
            <w:tcW w:w="0" w:type="auto"/>
            <w:shd w:val="clear" w:color="auto" w:fill="auto"/>
            <w:vAlign w:val="center"/>
          </w:tcPr>
          <w:p w14:paraId="64A88EFC" w14:textId="77777777" w:rsidR="008D6614" w:rsidRDefault="008D6614">
            <w:pPr>
              <w:rPr>
                <w:rFonts w:ascii="宋体"/>
              </w:rPr>
            </w:pPr>
          </w:p>
        </w:tc>
      </w:tr>
      <w:tr w:rsidR="008D6614" w14:paraId="64A88F08" w14:textId="77777777">
        <w:trPr>
          <w:jc w:val="center"/>
          <w:hidden/>
        </w:trPr>
        <w:tc>
          <w:tcPr>
            <w:tcW w:w="0" w:type="auto"/>
            <w:gridSpan w:val="3"/>
            <w:shd w:val="clear" w:color="auto" w:fill="auto"/>
            <w:vAlign w:val="center"/>
          </w:tcPr>
          <w:p w14:paraId="64A88EFE" w14:textId="77777777" w:rsidR="008D6614" w:rsidRDefault="008D6614">
            <w:pPr>
              <w:rPr>
                <w:rFonts w:ascii="宋体"/>
                <w:vanish/>
              </w:rPr>
            </w:pPr>
          </w:p>
        </w:tc>
        <w:tc>
          <w:tcPr>
            <w:tcW w:w="0" w:type="auto"/>
            <w:gridSpan w:val="3"/>
            <w:shd w:val="clear" w:color="auto" w:fill="auto"/>
            <w:vAlign w:val="center"/>
          </w:tcPr>
          <w:p w14:paraId="64A88EFF" w14:textId="77777777" w:rsidR="008D6614" w:rsidRDefault="008D6614">
            <w:pPr>
              <w:rPr>
                <w:rFonts w:ascii="宋体"/>
                <w:vanish/>
              </w:rPr>
            </w:pPr>
          </w:p>
        </w:tc>
        <w:tc>
          <w:tcPr>
            <w:tcW w:w="0" w:type="auto"/>
            <w:gridSpan w:val="3"/>
            <w:shd w:val="clear" w:color="auto" w:fill="auto"/>
            <w:vAlign w:val="center"/>
          </w:tcPr>
          <w:p w14:paraId="64A88F00" w14:textId="77777777" w:rsidR="008D6614" w:rsidRDefault="008D6614">
            <w:pPr>
              <w:rPr>
                <w:rFonts w:ascii="宋体"/>
                <w:vanish/>
              </w:rPr>
            </w:pPr>
          </w:p>
        </w:tc>
        <w:tc>
          <w:tcPr>
            <w:tcW w:w="0" w:type="auto"/>
            <w:gridSpan w:val="3"/>
            <w:shd w:val="clear" w:color="auto" w:fill="auto"/>
            <w:vAlign w:val="center"/>
          </w:tcPr>
          <w:p w14:paraId="64A88F01" w14:textId="77777777" w:rsidR="008D6614" w:rsidRDefault="008D6614">
            <w:pPr>
              <w:rPr>
                <w:rFonts w:ascii="宋体"/>
                <w:vanish/>
              </w:rPr>
            </w:pPr>
          </w:p>
        </w:tc>
        <w:tc>
          <w:tcPr>
            <w:tcW w:w="0" w:type="auto"/>
            <w:shd w:val="clear" w:color="auto" w:fill="auto"/>
            <w:vAlign w:val="center"/>
          </w:tcPr>
          <w:p w14:paraId="64A88F02" w14:textId="77777777" w:rsidR="008D6614" w:rsidRDefault="008D6614">
            <w:pPr>
              <w:rPr>
                <w:rFonts w:ascii="宋体"/>
              </w:rPr>
            </w:pPr>
          </w:p>
        </w:tc>
        <w:tc>
          <w:tcPr>
            <w:tcW w:w="0" w:type="auto"/>
            <w:shd w:val="clear" w:color="auto" w:fill="auto"/>
            <w:vAlign w:val="center"/>
          </w:tcPr>
          <w:p w14:paraId="64A88F03" w14:textId="77777777" w:rsidR="008D6614" w:rsidRDefault="008D6614">
            <w:pPr>
              <w:rPr>
                <w:rFonts w:ascii="宋体"/>
              </w:rPr>
            </w:pPr>
          </w:p>
        </w:tc>
        <w:tc>
          <w:tcPr>
            <w:tcW w:w="0" w:type="auto"/>
            <w:shd w:val="clear" w:color="auto" w:fill="auto"/>
            <w:vAlign w:val="center"/>
          </w:tcPr>
          <w:p w14:paraId="64A88F04" w14:textId="77777777" w:rsidR="008D6614" w:rsidRDefault="008D6614">
            <w:pPr>
              <w:rPr>
                <w:rFonts w:ascii="宋体"/>
              </w:rPr>
            </w:pPr>
          </w:p>
        </w:tc>
        <w:tc>
          <w:tcPr>
            <w:tcW w:w="0" w:type="auto"/>
            <w:shd w:val="clear" w:color="auto" w:fill="auto"/>
            <w:vAlign w:val="center"/>
          </w:tcPr>
          <w:p w14:paraId="64A88F05" w14:textId="77777777" w:rsidR="008D6614" w:rsidRDefault="008D6614">
            <w:pPr>
              <w:rPr>
                <w:rFonts w:ascii="宋体"/>
              </w:rPr>
            </w:pPr>
          </w:p>
        </w:tc>
        <w:tc>
          <w:tcPr>
            <w:tcW w:w="0" w:type="auto"/>
            <w:shd w:val="clear" w:color="auto" w:fill="auto"/>
            <w:vAlign w:val="center"/>
          </w:tcPr>
          <w:p w14:paraId="64A88F06" w14:textId="77777777" w:rsidR="008D6614" w:rsidRDefault="008D6614">
            <w:pPr>
              <w:rPr>
                <w:rFonts w:ascii="宋体"/>
              </w:rPr>
            </w:pPr>
          </w:p>
        </w:tc>
        <w:tc>
          <w:tcPr>
            <w:tcW w:w="0" w:type="auto"/>
            <w:shd w:val="clear" w:color="auto" w:fill="auto"/>
            <w:vAlign w:val="center"/>
          </w:tcPr>
          <w:p w14:paraId="64A88F07" w14:textId="77777777" w:rsidR="008D6614" w:rsidRDefault="008D6614">
            <w:pPr>
              <w:rPr>
                <w:rFonts w:ascii="宋体"/>
              </w:rPr>
            </w:pPr>
          </w:p>
        </w:tc>
      </w:tr>
    </w:tbl>
    <w:p w14:paraId="64A88F09" w14:textId="77777777" w:rsidR="008D6614" w:rsidRDefault="008D6614">
      <w:pPr>
        <w:jc w:val="center"/>
      </w:pPr>
    </w:p>
    <w:p w14:paraId="64A88F0A" w14:textId="77777777" w:rsidR="008D6614" w:rsidRDefault="00866AF2">
      <w:pPr>
        <w:jc w:val="center"/>
      </w:pPr>
      <w:r>
        <w:rPr>
          <w:rFonts w:ascii="Arial" w:eastAsia="宋体" w:hAnsi="Arial" w:cs="Arial"/>
          <w:color w:val="000000"/>
          <w:sz w:val="18"/>
          <w:szCs w:val="18"/>
        </w:rPr>
        <w:t>The accompanying notes are an integral part of these condensed consolidated financial statements.</w:t>
      </w:r>
    </w:p>
    <w:p w14:paraId="64A88F0B" w14:textId="77777777" w:rsidR="008D6614" w:rsidRDefault="008D6614">
      <w:pPr>
        <w:jc w:val="center"/>
      </w:pPr>
    </w:p>
    <w:p w14:paraId="64A88F0C" w14:textId="77777777" w:rsidR="008D6614" w:rsidRDefault="00866AF2">
      <w:pPr>
        <w:jc w:val="center"/>
      </w:pPr>
      <w:r>
        <w:rPr>
          <w:rFonts w:ascii="Arial" w:eastAsia="宋体" w:hAnsi="Arial" w:cs="Arial"/>
          <w:color w:val="000000"/>
          <w:sz w:val="20"/>
          <w:szCs w:val="20"/>
        </w:rPr>
        <w:t>6</w:t>
      </w:r>
    </w:p>
    <w:p w14:paraId="64A88F0D" w14:textId="77777777" w:rsidR="008D6614" w:rsidRDefault="00866AF2">
      <w:r>
        <w:pict w14:anchorId="64A8B9E3">
          <v:rect id="_x0000_i1030" style="width:415.3pt;height:1.5pt" o:hralign="center" o:hrstd="t" o:hr="t" fillcolor="#a0a0a0" stroked="f"/>
        </w:pict>
      </w:r>
    </w:p>
    <w:p w14:paraId="64A88F0E" w14:textId="77777777" w:rsidR="008D6614" w:rsidRDefault="008D6614"/>
    <w:p w14:paraId="64A88F0F" w14:textId="77777777" w:rsidR="008D6614" w:rsidRDefault="00866AF2">
      <w:pPr>
        <w:jc w:val="center"/>
      </w:pPr>
      <w:r>
        <w:rPr>
          <w:rFonts w:ascii="Arial" w:eastAsia="宋体" w:hAnsi="Arial" w:cs="Arial"/>
          <w:b/>
          <w:bCs/>
          <w:color w:val="000000"/>
          <w:sz w:val="20"/>
          <w:szCs w:val="20"/>
        </w:rPr>
        <w:t xml:space="preserve">eBay Inc. </w:t>
      </w:r>
    </w:p>
    <w:p w14:paraId="64A88F10" w14:textId="77777777" w:rsidR="008D6614" w:rsidRDefault="00866AF2">
      <w:pPr>
        <w:spacing w:before="80"/>
        <w:jc w:val="center"/>
      </w:pPr>
      <w:r>
        <w:rPr>
          <w:rFonts w:ascii="Arial" w:eastAsia="宋体" w:hAnsi="Arial" w:cs="Arial"/>
          <w:b/>
          <w:bCs/>
          <w:color w:val="000000"/>
          <w:sz w:val="20"/>
          <w:szCs w:val="20"/>
        </w:rPr>
        <w:t xml:space="preserve">NOTES TO CONDENSED CONSOLIDATED FINANCIAL STATEMENTS </w:t>
      </w:r>
    </w:p>
    <w:p w14:paraId="64A88F11" w14:textId="77777777" w:rsidR="008D6614" w:rsidRDefault="00866AF2">
      <w:pPr>
        <w:jc w:val="center"/>
      </w:pPr>
      <w:r>
        <w:rPr>
          <w:rFonts w:ascii="Arial" w:eastAsia="宋体" w:hAnsi="Arial" w:cs="Arial"/>
          <w:b/>
          <w:bCs/>
          <w:color w:val="000000"/>
          <w:sz w:val="20"/>
          <w:szCs w:val="20"/>
        </w:rPr>
        <w:t>(Unaudited)</w:t>
      </w:r>
    </w:p>
    <w:p w14:paraId="64A88F12" w14:textId="77777777" w:rsidR="008D6614" w:rsidRDefault="00866AF2">
      <w:pPr>
        <w:jc w:val="both"/>
      </w:pPr>
      <w:r>
        <w:rPr>
          <w:rFonts w:ascii="Arial" w:eastAsia="宋体" w:hAnsi="Arial" w:cs="Arial"/>
          <w:b/>
          <w:bCs/>
          <w:color w:val="000000"/>
          <w:sz w:val="20"/>
          <w:szCs w:val="20"/>
        </w:rPr>
        <w:t xml:space="preserve">Note 1 — The Company and Summary of Significant Accounting Policies </w:t>
      </w:r>
    </w:p>
    <w:p w14:paraId="64A88F13" w14:textId="77777777" w:rsidR="008D6614" w:rsidRDefault="008D6614">
      <w:pPr>
        <w:jc w:val="both"/>
      </w:pPr>
    </w:p>
    <w:p w14:paraId="64A88F14" w14:textId="77777777" w:rsidR="008D6614" w:rsidRDefault="00866AF2">
      <w:pPr>
        <w:ind w:firstLine="270"/>
        <w:jc w:val="both"/>
      </w:pPr>
      <w:r>
        <w:rPr>
          <w:rFonts w:ascii="Arial" w:eastAsia="宋体" w:hAnsi="Arial" w:cs="Arial"/>
          <w:b/>
          <w:bCs/>
          <w:i/>
          <w:iCs/>
          <w:color w:val="000000"/>
          <w:sz w:val="20"/>
          <w:szCs w:val="20"/>
        </w:rPr>
        <w:t xml:space="preserve">The Company </w:t>
      </w:r>
    </w:p>
    <w:p w14:paraId="64A88F15" w14:textId="77777777" w:rsidR="008D6614" w:rsidRDefault="008D6614">
      <w:pPr>
        <w:jc w:val="both"/>
      </w:pPr>
    </w:p>
    <w:p w14:paraId="64A88F16" w14:textId="77777777" w:rsidR="008D6614" w:rsidRDefault="00866AF2">
      <w:pPr>
        <w:ind w:firstLine="540"/>
        <w:jc w:val="both"/>
      </w:pPr>
      <w:r>
        <w:rPr>
          <w:rFonts w:ascii="Arial" w:eastAsia="宋体" w:hAnsi="Arial" w:cs="Arial"/>
          <w:color w:val="000000"/>
          <w:sz w:val="20"/>
          <w:szCs w:val="20"/>
        </w:rPr>
        <w:t xml:space="preserve">eBay Inc. is a global commerce leader, which includes our Marketplace and Classifieds platforms. Founded in 1995 in San Jose, California, eBay is one of the world’s </w:t>
      </w:r>
      <w:r>
        <w:rPr>
          <w:rFonts w:ascii="Arial" w:eastAsia="宋体" w:hAnsi="Arial" w:cs="Arial"/>
          <w:color w:val="000000"/>
          <w:sz w:val="20"/>
          <w:szCs w:val="20"/>
        </w:rPr>
        <w:t>largest and most vibrant marketplaces for discovering great value and unique selection. Collectively, we connect millions of buyers and sellers around the world, empowering people and creating opportunity. Our technologies and services are designed to give</w:t>
      </w:r>
      <w:r>
        <w:rPr>
          <w:rFonts w:ascii="Arial" w:eastAsia="宋体" w:hAnsi="Arial" w:cs="Arial"/>
          <w:color w:val="000000"/>
          <w:sz w:val="20"/>
          <w:szCs w:val="20"/>
        </w:rPr>
        <w:t xml:space="preserve"> buyers choice and a breadth of relevant inventory and to enable sellers worldwide to organize and offer their inventory for sale, virtually anytime and anywhere. </w:t>
      </w:r>
    </w:p>
    <w:p w14:paraId="64A88F17" w14:textId="77777777" w:rsidR="008D6614" w:rsidRDefault="008D6614">
      <w:pPr>
        <w:ind w:firstLine="540"/>
        <w:jc w:val="both"/>
      </w:pPr>
    </w:p>
    <w:p w14:paraId="64A88F18" w14:textId="77777777" w:rsidR="008D6614" w:rsidRDefault="00866AF2">
      <w:pPr>
        <w:ind w:firstLine="540"/>
        <w:jc w:val="both"/>
      </w:pPr>
      <w:r>
        <w:rPr>
          <w:rFonts w:ascii="Arial" w:eastAsia="宋体" w:hAnsi="Arial" w:cs="Arial"/>
          <w:color w:val="000000"/>
          <w:sz w:val="20"/>
          <w:szCs w:val="20"/>
        </w:rPr>
        <w:t>When we refer to “we,” “our,” “us,” the “Company” or “eBay” in this Quarterly Report on For</w:t>
      </w:r>
      <w:r>
        <w:rPr>
          <w:rFonts w:ascii="Arial" w:eastAsia="宋体" w:hAnsi="Arial" w:cs="Arial"/>
          <w:color w:val="000000"/>
          <w:sz w:val="20"/>
          <w:szCs w:val="20"/>
        </w:rPr>
        <w:t>m 10-Q, we mean the current Delaware corporation (eBay Inc.) and its consolidated subsidiaries, unless otherwise expressly stated or the context otherwise requires.</w:t>
      </w:r>
    </w:p>
    <w:p w14:paraId="64A88F19" w14:textId="77777777" w:rsidR="008D6614" w:rsidRDefault="008D6614">
      <w:pPr>
        <w:ind w:firstLine="540"/>
        <w:jc w:val="both"/>
      </w:pPr>
    </w:p>
    <w:p w14:paraId="64A88F1A" w14:textId="77777777" w:rsidR="008D6614" w:rsidRDefault="00866AF2">
      <w:pPr>
        <w:ind w:firstLine="540"/>
        <w:jc w:val="both"/>
      </w:pPr>
      <w:r>
        <w:rPr>
          <w:rFonts w:ascii="Arial" w:eastAsia="宋体" w:hAnsi="Arial" w:cs="Arial"/>
          <w:color w:val="000000"/>
          <w:sz w:val="20"/>
          <w:szCs w:val="20"/>
        </w:rPr>
        <w:t>On February 13, 2020, we completed the previously announced sale of our StubHub business t</w:t>
      </w:r>
      <w:r>
        <w:rPr>
          <w:rFonts w:ascii="Arial" w:eastAsia="宋体" w:hAnsi="Arial" w:cs="Arial"/>
          <w:color w:val="000000"/>
          <w:sz w:val="20"/>
          <w:szCs w:val="20"/>
        </w:rPr>
        <w:t xml:space="preserve">o an affiliate of viagogo. Beginning in the first quarter of 2020, StubHub’s financial results for periods prior to the sale have been reflected in our condensed consolidated statement of income as discontinued operations. Additionally, the related assets </w:t>
      </w:r>
      <w:r>
        <w:rPr>
          <w:rFonts w:ascii="Arial" w:eastAsia="宋体" w:hAnsi="Arial" w:cs="Arial"/>
          <w:color w:val="000000"/>
          <w:sz w:val="20"/>
          <w:szCs w:val="20"/>
        </w:rPr>
        <w:t>and liabilities associated with the discontinued operations in the prior year are classified as discontinued operations in our condensed consolidated balance sheet. See “Note 4 – Discontinued Operations” for additional information.</w:t>
      </w:r>
    </w:p>
    <w:p w14:paraId="64A88F1B" w14:textId="77777777" w:rsidR="008D6614" w:rsidRDefault="008D6614">
      <w:pPr>
        <w:ind w:firstLine="540"/>
        <w:jc w:val="both"/>
      </w:pPr>
    </w:p>
    <w:p w14:paraId="64A88F1C" w14:textId="77777777" w:rsidR="008D6614" w:rsidRDefault="00866AF2">
      <w:pPr>
        <w:ind w:firstLine="540"/>
        <w:jc w:val="both"/>
      </w:pPr>
      <w:r>
        <w:rPr>
          <w:rFonts w:ascii="Arial" w:eastAsia="宋体" w:hAnsi="Arial" w:cs="Arial"/>
          <w:color w:val="000000"/>
          <w:sz w:val="20"/>
          <w:szCs w:val="20"/>
        </w:rPr>
        <w:t xml:space="preserve">We have two reportable </w:t>
      </w:r>
      <w:r>
        <w:rPr>
          <w:rFonts w:ascii="Arial" w:eastAsia="宋体" w:hAnsi="Arial" w:cs="Arial"/>
          <w:color w:val="000000"/>
          <w:sz w:val="20"/>
          <w:szCs w:val="20"/>
        </w:rPr>
        <w:t>segments to reflect the way management and our chief operating decision maker (“CODM”) review and assess performance of the business. During the first quarter of 2020, we classified the results of our previously reported StubHub segment as discontinued ope</w:t>
      </w:r>
      <w:r>
        <w:rPr>
          <w:rFonts w:ascii="Arial" w:eastAsia="宋体" w:hAnsi="Arial" w:cs="Arial"/>
          <w:color w:val="000000"/>
          <w:sz w:val="20"/>
          <w:szCs w:val="20"/>
        </w:rPr>
        <w:t xml:space="preserve">rations in our condensed consolidated statement of income for all prior periods presented. Our two reportable segments are Marketplace and Classifieds. Marketplace includes our online marketplace located at www.ebay.com, its localized counterparts and the </w:t>
      </w:r>
      <w:r>
        <w:rPr>
          <w:rFonts w:ascii="Arial" w:eastAsia="宋体" w:hAnsi="Arial" w:cs="Arial"/>
          <w:color w:val="000000"/>
          <w:sz w:val="20"/>
          <w:szCs w:val="20"/>
        </w:rPr>
        <w:t>eBay suite of mobile apps. Classifieds includes a collection of brands such as mobile.de, Kijiji, Gumtree, Marktplaats, eBay Kleinanzeigen and others. For further information on our segments, refer to “Note 6 – Segments”. Prior period segment information h</w:t>
      </w:r>
      <w:r>
        <w:rPr>
          <w:rFonts w:ascii="Arial" w:eastAsia="宋体" w:hAnsi="Arial" w:cs="Arial"/>
          <w:color w:val="000000"/>
          <w:sz w:val="20"/>
          <w:szCs w:val="20"/>
        </w:rPr>
        <w:t xml:space="preserve">as been reclassified to conform to the current period segment presentation. </w:t>
      </w:r>
    </w:p>
    <w:p w14:paraId="64A88F1D" w14:textId="77777777" w:rsidR="008D6614" w:rsidRDefault="008D6614">
      <w:pPr>
        <w:jc w:val="both"/>
      </w:pPr>
    </w:p>
    <w:p w14:paraId="64A88F1E" w14:textId="77777777" w:rsidR="008D6614" w:rsidRDefault="00866AF2">
      <w:pPr>
        <w:ind w:firstLine="270"/>
        <w:jc w:val="both"/>
      </w:pPr>
      <w:r>
        <w:rPr>
          <w:rFonts w:ascii="Arial" w:eastAsia="宋体" w:hAnsi="Arial" w:cs="Arial"/>
          <w:b/>
          <w:bCs/>
          <w:i/>
          <w:iCs/>
          <w:color w:val="000000"/>
          <w:sz w:val="20"/>
          <w:szCs w:val="20"/>
        </w:rPr>
        <w:t xml:space="preserve">Use of Estimates </w:t>
      </w:r>
    </w:p>
    <w:p w14:paraId="64A88F1F" w14:textId="77777777" w:rsidR="008D6614" w:rsidRDefault="008D6614">
      <w:pPr>
        <w:jc w:val="both"/>
      </w:pPr>
    </w:p>
    <w:p w14:paraId="64A88F20" w14:textId="77777777" w:rsidR="008D6614" w:rsidRDefault="00866AF2">
      <w:pPr>
        <w:ind w:firstLine="540"/>
        <w:jc w:val="both"/>
      </w:pPr>
      <w:r>
        <w:rPr>
          <w:rFonts w:ascii="Arial" w:eastAsia="宋体" w:hAnsi="Arial" w:cs="Arial"/>
          <w:color w:val="000000"/>
          <w:sz w:val="20"/>
          <w:szCs w:val="20"/>
        </w:rPr>
        <w:t>The preparation of condensed consolidated financial statements in conformity with U.S. generally accepted accounting principles (“GAAP”) requires management to</w:t>
      </w:r>
      <w:r>
        <w:rPr>
          <w:rFonts w:ascii="Arial" w:eastAsia="宋体" w:hAnsi="Arial" w:cs="Arial"/>
          <w:color w:val="000000"/>
          <w:sz w:val="20"/>
          <w:szCs w:val="20"/>
        </w:rPr>
        <w:t xml:space="preserve"> make estimates and assumptions that affect the reported amounts of assets and liabilities and disclosure of contingent assets and liabilities at the date of the condensed consolidated financial statements and the reported amounts of revenues and expenses </w:t>
      </w:r>
      <w:r>
        <w:rPr>
          <w:rFonts w:ascii="Arial" w:eastAsia="宋体" w:hAnsi="Arial" w:cs="Arial"/>
          <w:color w:val="000000"/>
          <w:sz w:val="20"/>
          <w:szCs w:val="20"/>
        </w:rPr>
        <w:t>during the reporting period. On an ongoing basis, we evaluate our estimates, including those related to provisions for transaction losses, legal contingencies, income taxes, revenue recognition, stock-based compensation, investments, goodwill and the recov</w:t>
      </w:r>
      <w:r>
        <w:rPr>
          <w:rFonts w:ascii="Arial" w:eastAsia="宋体" w:hAnsi="Arial" w:cs="Arial"/>
          <w:color w:val="000000"/>
          <w:sz w:val="20"/>
          <w:szCs w:val="20"/>
        </w:rPr>
        <w:t xml:space="preserve">erability of intangible assets. We base our estimates on historical experience and on various other assumptions that we believe to be reasonable under the circumstances. Actual results could differ from those estimates. </w:t>
      </w:r>
    </w:p>
    <w:p w14:paraId="64A88F21" w14:textId="77777777" w:rsidR="008D6614" w:rsidRDefault="008D6614">
      <w:pPr>
        <w:jc w:val="both"/>
      </w:pPr>
    </w:p>
    <w:p w14:paraId="64A88F22" w14:textId="77777777" w:rsidR="008D6614" w:rsidRDefault="00866AF2">
      <w:pPr>
        <w:ind w:firstLine="270"/>
        <w:jc w:val="both"/>
      </w:pPr>
      <w:r>
        <w:rPr>
          <w:rFonts w:ascii="Arial" w:eastAsia="宋体" w:hAnsi="Arial" w:cs="Arial"/>
          <w:b/>
          <w:bCs/>
          <w:i/>
          <w:iCs/>
          <w:color w:val="000000"/>
          <w:sz w:val="20"/>
          <w:szCs w:val="20"/>
        </w:rPr>
        <w:t>Principles of Consolidation and Ba</w:t>
      </w:r>
      <w:r>
        <w:rPr>
          <w:rFonts w:ascii="Arial" w:eastAsia="宋体" w:hAnsi="Arial" w:cs="Arial"/>
          <w:b/>
          <w:bCs/>
          <w:i/>
          <w:iCs/>
          <w:color w:val="000000"/>
          <w:sz w:val="20"/>
          <w:szCs w:val="20"/>
        </w:rPr>
        <w:t xml:space="preserve">sis of Presentation </w:t>
      </w:r>
    </w:p>
    <w:p w14:paraId="64A88F23" w14:textId="77777777" w:rsidR="008D6614" w:rsidRDefault="008D6614">
      <w:pPr>
        <w:jc w:val="both"/>
      </w:pPr>
    </w:p>
    <w:p w14:paraId="64A88F24" w14:textId="77777777" w:rsidR="008D6614" w:rsidRDefault="00866AF2">
      <w:pPr>
        <w:ind w:firstLine="540"/>
        <w:jc w:val="both"/>
      </w:pPr>
      <w:r>
        <w:rPr>
          <w:rFonts w:ascii="Arial" w:eastAsia="宋体" w:hAnsi="Arial" w:cs="Arial"/>
          <w:color w:val="000000"/>
          <w:sz w:val="20"/>
          <w:szCs w:val="20"/>
        </w:rPr>
        <w:t>The accompanying condensed financial statements are consolidated and include the financial statements of eBay Inc., our wholly and majority-owned subsidiaries and variable interest entities (“VIE”) where we are the primary beneficiary</w:t>
      </w:r>
      <w:r>
        <w:rPr>
          <w:rFonts w:ascii="Arial" w:eastAsia="宋体" w:hAnsi="Arial" w:cs="Arial"/>
          <w:color w:val="000000"/>
          <w:sz w:val="20"/>
          <w:szCs w:val="20"/>
        </w:rPr>
        <w:t>. All intercompany balances and transactions have been eliminated in consolidation. Minority interests are recorded as a noncontrolling interest. A qualitative approach is applied to assess the consolidation requirement for VIEs. Investments in entities wh</w:t>
      </w:r>
      <w:r>
        <w:rPr>
          <w:rFonts w:ascii="Arial" w:eastAsia="宋体" w:hAnsi="Arial" w:cs="Arial"/>
          <w:color w:val="000000"/>
          <w:sz w:val="20"/>
          <w:szCs w:val="20"/>
        </w:rPr>
        <w:t>ere we hold at least a 20% ownership interest and have the ability to exercise significant influence, but not control, over the investee are accounted for using the equity method of accounting. For such investments, our share of the investees’ results of o</w:t>
      </w:r>
      <w:r>
        <w:rPr>
          <w:rFonts w:ascii="Arial" w:eastAsia="宋体" w:hAnsi="Arial" w:cs="Arial"/>
          <w:color w:val="000000"/>
          <w:sz w:val="20"/>
          <w:szCs w:val="20"/>
        </w:rPr>
        <w:t>perations is included in interest and other, net and our investment balance is included in long-term investments. Investments in entities where we hold less than a 20% ownership interest are generally accounted for as equity investments to be measured at f</w:t>
      </w:r>
      <w:r>
        <w:rPr>
          <w:rFonts w:ascii="Arial" w:eastAsia="宋体" w:hAnsi="Arial" w:cs="Arial"/>
          <w:color w:val="000000"/>
          <w:sz w:val="20"/>
          <w:szCs w:val="20"/>
        </w:rPr>
        <w:t xml:space="preserve">air value or, under an </w:t>
      </w:r>
    </w:p>
    <w:p w14:paraId="64A88F25" w14:textId="77777777" w:rsidR="008D6614" w:rsidRDefault="008D6614">
      <w:pPr>
        <w:jc w:val="center"/>
      </w:pPr>
    </w:p>
    <w:p w14:paraId="64A88F26" w14:textId="77777777" w:rsidR="008D6614" w:rsidRDefault="00866AF2">
      <w:pPr>
        <w:jc w:val="center"/>
      </w:pPr>
      <w:r>
        <w:rPr>
          <w:rFonts w:ascii="Arial" w:eastAsia="宋体" w:hAnsi="Arial" w:cs="Arial"/>
          <w:color w:val="000000"/>
          <w:sz w:val="20"/>
          <w:szCs w:val="20"/>
        </w:rPr>
        <w:t>7</w:t>
      </w:r>
    </w:p>
    <w:p w14:paraId="64A88F27" w14:textId="77777777" w:rsidR="008D6614" w:rsidRDefault="00866AF2">
      <w:r>
        <w:pict w14:anchorId="64A8B9E4">
          <v:rect id="_x0000_i1031" style="width:415.3pt;height:1.5pt" o:hralign="center" o:hrstd="t" o:hr="t" fillcolor="#a0a0a0" stroked="f"/>
        </w:pict>
      </w:r>
    </w:p>
    <w:p w14:paraId="64A88F28" w14:textId="77777777" w:rsidR="008D6614" w:rsidRDefault="008D6614">
      <w:pPr>
        <w:jc w:val="center"/>
      </w:pPr>
    </w:p>
    <w:p w14:paraId="64A88F29" w14:textId="77777777" w:rsidR="008D6614" w:rsidRDefault="00866AF2">
      <w:pPr>
        <w:jc w:val="center"/>
      </w:pPr>
      <w:r>
        <w:rPr>
          <w:rFonts w:ascii="Arial" w:eastAsia="宋体" w:hAnsi="Arial" w:cs="Arial"/>
          <w:b/>
          <w:bCs/>
          <w:color w:val="000000"/>
          <w:sz w:val="20"/>
          <w:szCs w:val="20"/>
        </w:rPr>
        <w:t>eBay Inc.</w:t>
      </w:r>
    </w:p>
    <w:p w14:paraId="64A88F2A"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8F2B" w14:textId="77777777" w:rsidR="008D6614" w:rsidRDefault="00866AF2">
      <w:pPr>
        <w:jc w:val="both"/>
      </w:pPr>
      <w:r>
        <w:rPr>
          <w:rFonts w:ascii="Arial" w:eastAsia="宋体" w:hAnsi="Arial" w:cs="Arial"/>
          <w:color w:val="000000"/>
          <w:sz w:val="20"/>
          <w:szCs w:val="20"/>
        </w:rPr>
        <w:t>election, at cost if it does not have readily determinable fair value, in which case the carrying value would be adjusted upon the occurrence of an obs</w:t>
      </w:r>
      <w:r>
        <w:rPr>
          <w:rFonts w:ascii="Arial" w:eastAsia="宋体" w:hAnsi="Arial" w:cs="Arial"/>
          <w:color w:val="000000"/>
          <w:sz w:val="20"/>
          <w:szCs w:val="20"/>
        </w:rPr>
        <w:t xml:space="preserve">ervable price change in an orderly transaction for identical or similar instruments or impairment. </w:t>
      </w:r>
    </w:p>
    <w:p w14:paraId="64A88F2C" w14:textId="77777777" w:rsidR="008D6614" w:rsidRDefault="008D6614">
      <w:pPr>
        <w:ind w:firstLine="540"/>
        <w:jc w:val="both"/>
      </w:pPr>
    </w:p>
    <w:p w14:paraId="64A88F2D" w14:textId="77777777" w:rsidR="008D6614" w:rsidRDefault="00866AF2">
      <w:pPr>
        <w:ind w:firstLine="540"/>
        <w:jc w:val="both"/>
      </w:pPr>
      <w:r>
        <w:rPr>
          <w:rFonts w:ascii="Arial" w:eastAsia="宋体" w:hAnsi="Arial" w:cs="Arial"/>
          <w:color w:val="000000"/>
          <w:sz w:val="20"/>
          <w:szCs w:val="20"/>
        </w:rPr>
        <w:t>These condensed consolidated financial statements and accompanying notes should be read in conjunction with the audited consolidated financial statements a</w:t>
      </w:r>
      <w:r>
        <w:rPr>
          <w:rFonts w:ascii="Arial" w:eastAsia="宋体" w:hAnsi="Arial" w:cs="Arial"/>
          <w:color w:val="000000"/>
          <w:sz w:val="20"/>
          <w:szCs w:val="20"/>
        </w:rPr>
        <w:t>nd accompanying notes included in our Annual Report on Form 10-K for the year ended December 31, 2019. We have evaluated all subsequent events through the date these condensed consolidated financial statements were issued. In the opinion of management, the</w:t>
      </w:r>
      <w:r>
        <w:rPr>
          <w:rFonts w:ascii="Arial" w:eastAsia="宋体" w:hAnsi="Arial" w:cs="Arial"/>
          <w:color w:val="000000"/>
          <w:sz w:val="20"/>
          <w:szCs w:val="20"/>
        </w:rPr>
        <w:t>se condensed consolidated financial statements reflect all adjustments, consisting only of normal recurring adjustments, which are necessary for the fair statement of the condensed consolidated financial position, results of operations and cash flows for t</w:t>
      </w:r>
      <w:r>
        <w:rPr>
          <w:rFonts w:ascii="Arial" w:eastAsia="宋体" w:hAnsi="Arial" w:cs="Arial"/>
          <w:color w:val="000000"/>
          <w:sz w:val="20"/>
          <w:szCs w:val="20"/>
        </w:rPr>
        <w:t xml:space="preserve">hese interim periods. </w:t>
      </w:r>
    </w:p>
    <w:p w14:paraId="64A88F2E" w14:textId="77777777" w:rsidR="008D6614" w:rsidRDefault="008D6614">
      <w:pPr>
        <w:ind w:firstLine="540"/>
        <w:jc w:val="both"/>
      </w:pPr>
    </w:p>
    <w:p w14:paraId="64A88F2F" w14:textId="77777777" w:rsidR="008D6614" w:rsidRDefault="00866AF2">
      <w:pPr>
        <w:ind w:firstLine="270"/>
        <w:jc w:val="both"/>
      </w:pPr>
      <w:r>
        <w:rPr>
          <w:rFonts w:ascii="Arial" w:eastAsia="宋体" w:hAnsi="Arial" w:cs="Arial"/>
          <w:b/>
          <w:bCs/>
          <w:i/>
          <w:iCs/>
          <w:color w:val="000000"/>
          <w:sz w:val="20"/>
          <w:szCs w:val="20"/>
        </w:rPr>
        <w:t>Significant Accounting Policies</w:t>
      </w:r>
    </w:p>
    <w:p w14:paraId="64A88F30" w14:textId="77777777" w:rsidR="008D6614" w:rsidRDefault="008D6614">
      <w:pPr>
        <w:ind w:firstLine="540"/>
        <w:jc w:val="both"/>
      </w:pPr>
    </w:p>
    <w:p w14:paraId="64A88F31" w14:textId="77777777" w:rsidR="008D6614" w:rsidRDefault="00866AF2">
      <w:pPr>
        <w:ind w:firstLine="540"/>
        <w:jc w:val="both"/>
      </w:pPr>
      <w:r>
        <w:rPr>
          <w:rFonts w:ascii="Arial" w:eastAsia="宋体" w:hAnsi="Arial" w:cs="Arial"/>
          <w:color w:val="000000"/>
          <w:sz w:val="20"/>
          <w:szCs w:val="20"/>
        </w:rPr>
        <w:t>Notwithstanding the addition of policies below for allowance for credit losses, the</w:t>
      </w:r>
      <w:r>
        <w:rPr>
          <w:rFonts w:ascii="Arial" w:eastAsia="宋体" w:hAnsi="Arial" w:cs="Arial"/>
          <w:color w:val="000000"/>
          <w:sz w:val="20"/>
          <w:szCs w:val="20"/>
          <w:shd w:val="clear" w:color="auto" w:fill="FFFFFF"/>
        </w:rPr>
        <w:t xml:space="preserve">re were no significant changes to our significant accounting policies disclosed in “Note 1 – The Company and Summary of Significant Accounting Policies” of our Annual Report on Form 10-K for the year ended December 31, 2019. </w:t>
      </w:r>
    </w:p>
    <w:p w14:paraId="64A88F32" w14:textId="77777777" w:rsidR="008D6614" w:rsidRDefault="008D6614">
      <w:pPr>
        <w:ind w:firstLine="540"/>
        <w:jc w:val="both"/>
      </w:pPr>
    </w:p>
    <w:p w14:paraId="64A88F33" w14:textId="77777777" w:rsidR="008D6614" w:rsidRDefault="00866AF2">
      <w:pPr>
        <w:ind w:firstLine="270"/>
        <w:jc w:val="both"/>
      </w:pPr>
      <w:r>
        <w:rPr>
          <w:rFonts w:ascii="Arial" w:eastAsia="宋体" w:hAnsi="Arial" w:cs="Arial"/>
          <w:b/>
          <w:bCs/>
          <w:i/>
          <w:iCs/>
          <w:color w:val="000000"/>
          <w:sz w:val="20"/>
          <w:szCs w:val="20"/>
        </w:rPr>
        <w:t>Credit losses – Financial ass</w:t>
      </w:r>
      <w:r>
        <w:rPr>
          <w:rFonts w:ascii="Arial" w:eastAsia="宋体" w:hAnsi="Arial" w:cs="Arial"/>
          <w:b/>
          <w:bCs/>
          <w:i/>
          <w:iCs/>
          <w:color w:val="000000"/>
          <w:sz w:val="20"/>
          <w:szCs w:val="20"/>
        </w:rPr>
        <w:t>ets measured at amortized cost</w:t>
      </w:r>
    </w:p>
    <w:p w14:paraId="64A88F34" w14:textId="77777777" w:rsidR="008D6614" w:rsidRDefault="008D6614">
      <w:pPr>
        <w:ind w:firstLine="270"/>
        <w:jc w:val="both"/>
      </w:pPr>
    </w:p>
    <w:p w14:paraId="64A88F35" w14:textId="77777777" w:rsidR="008D6614" w:rsidRDefault="00866AF2">
      <w:pPr>
        <w:ind w:firstLine="540"/>
        <w:jc w:val="both"/>
      </w:pPr>
      <w:r>
        <w:rPr>
          <w:rFonts w:ascii="Arial" w:eastAsia="宋体" w:hAnsi="Arial" w:cs="Arial"/>
          <w:color w:val="000000"/>
          <w:sz w:val="20"/>
          <w:szCs w:val="20"/>
        </w:rPr>
        <w:t xml:space="preserve">We are exposed to credit losses </w:t>
      </w:r>
      <w:r>
        <w:rPr>
          <w:rFonts w:ascii="Arial" w:eastAsia="宋体" w:hAnsi="Arial" w:cs="Arial"/>
          <w:color w:val="222222"/>
          <w:sz w:val="20"/>
          <w:szCs w:val="20"/>
        </w:rPr>
        <w:t>primarily through our receivables from sellers or advertisers on our Marketplace and Classifieds platforms, respectively. We develop estimates to reflect the risk of credit loss which are base</w:t>
      </w:r>
      <w:r>
        <w:rPr>
          <w:rFonts w:ascii="Arial" w:eastAsia="宋体" w:hAnsi="Arial" w:cs="Arial"/>
          <w:color w:val="222222"/>
          <w:sz w:val="20"/>
          <w:szCs w:val="20"/>
        </w:rPr>
        <w:t>d on historical loss trends adjusted for asset specific attributes, current conditions and reasonable and supportable forecasts of the economic conditions that will exist through the contractual life of the financial asset. Our receivables are recovered ov</w:t>
      </w:r>
      <w:r>
        <w:rPr>
          <w:rFonts w:ascii="Arial" w:eastAsia="宋体" w:hAnsi="Arial" w:cs="Arial"/>
          <w:color w:val="222222"/>
          <w:sz w:val="20"/>
          <w:szCs w:val="20"/>
        </w:rPr>
        <w:t>er a period of 0-180 days, therefore, forecasted changes to economic conditions are not expected to have a significant effect on the estimate of the allowance for doubtful accounts, except in extraordinary circumstances. We write off the asset when it is n</w:t>
      </w:r>
      <w:r>
        <w:rPr>
          <w:rFonts w:ascii="Arial" w:eastAsia="宋体" w:hAnsi="Arial" w:cs="Arial"/>
          <w:color w:val="222222"/>
          <w:sz w:val="20"/>
          <w:szCs w:val="20"/>
        </w:rPr>
        <w:t xml:space="preserve">o longer deemed collectible or when it goes past due </w:t>
      </w:r>
      <w:r>
        <w:rPr>
          <w:rFonts w:ascii="Arial" w:eastAsia="宋体" w:hAnsi="Arial" w:cs="Arial"/>
          <w:color w:val="000000"/>
          <w:sz w:val="20"/>
          <w:szCs w:val="20"/>
        </w:rPr>
        <w:t xml:space="preserve">180 days whichever is earlier, </w:t>
      </w:r>
      <w:r>
        <w:rPr>
          <w:rFonts w:ascii="Arial" w:eastAsia="宋体" w:hAnsi="Arial" w:cs="Arial"/>
          <w:color w:val="222222"/>
          <w:sz w:val="20"/>
          <w:szCs w:val="20"/>
        </w:rPr>
        <w:t>with certain limited</w:t>
      </w:r>
      <w:r>
        <w:rPr>
          <w:rFonts w:ascii="Arial" w:eastAsia="宋体" w:hAnsi="Arial" w:cs="Arial"/>
          <w:color w:val="222222"/>
        </w:rPr>
        <w:t xml:space="preserve"> </w:t>
      </w:r>
      <w:r>
        <w:rPr>
          <w:rFonts w:ascii="Arial" w:eastAsia="宋体" w:hAnsi="Arial" w:cs="Arial"/>
          <w:color w:val="222222"/>
          <w:sz w:val="20"/>
          <w:szCs w:val="20"/>
        </w:rPr>
        <w:t xml:space="preserve">exceptions. We monitor our ongoing credit exposure through an active review of collection </w:t>
      </w:r>
      <w:r>
        <w:rPr>
          <w:rFonts w:ascii="Arial" w:eastAsia="宋体" w:hAnsi="Arial" w:cs="Arial"/>
          <w:color w:val="000000"/>
          <w:sz w:val="20"/>
          <w:szCs w:val="20"/>
        </w:rPr>
        <w:t>trends. Our activities include monitoring the timeliness of p</w:t>
      </w:r>
      <w:r>
        <w:rPr>
          <w:rFonts w:ascii="Arial" w:eastAsia="宋体" w:hAnsi="Arial" w:cs="Arial"/>
          <w:color w:val="000000"/>
          <w:sz w:val="20"/>
          <w:szCs w:val="20"/>
        </w:rPr>
        <w:t>ayment collection, managing dispute resolution and performing timely account reconciliations. We may employ collection agencies to pur</w:t>
      </w:r>
      <w:r>
        <w:rPr>
          <w:rFonts w:ascii="Arial" w:eastAsia="宋体" w:hAnsi="Arial" w:cs="Arial"/>
          <w:color w:val="222222"/>
          <w:sz w:val="20"/>
          <w:szCs w:val="20"/>
        </w:rPr>
        <w:t>sue recovery of defaulted receivables.</w:t>
      </w:r>
      <w:r>
        <w:rPr>
          <w:rFonts w:ascii="Arial" w:eastAsia="宋体" w:hAnsi="Arial" w:cs="Arial"/>
          <w:color w:val="000000"/>
          <w:sz w:val="20"/>
          <w:szCs w:val="20"/>
        </w:rPr>
        <w:t xml:space="preserve"> At March 31, 2020, we reported allowances for doubtful accounts of $127 million ref</w:t>
      </w:r>
      <w:r>
        <w:rPr>
          <w:rFonts w:ascii="Arial" w:eastAsia="宋体" w:hAnsi="Arial" w:cs="Arial"/>
          <w:color w:val="000000"/>
          <w:sz w:val="20"/>
          <w:szCs w:val="20"/>
        </w:rPr>
        <w:t xml:space="preserve">lecting an increase of $27 million, net of write-offs of $32 million for the three months ended March 31, 2020. </w:t>
      </w:r>
    </w:p>
    <w:p w14:paraId="64A88F36" w14:textId="77777777" w:rsidR="008D6614" w:rsidRDefault="008D6614">
      <w:pPr>
        <w:ind w:firstLine="540"/>
        <w:jc w:val="both"/>
      </w:pPr>
    </w:p>
    <w:p w14:paraId="64A88F37" w14:textId="77777777" w:rsidR="008D6614" w:rsidRDefault="00866AF2">
      <w:pPr>
        <w:ind w:firstLine="540"/>
        <w:jc w:val="both"/>
      </w:pPr>
      <w:r>
        <w:rPr>
          <w:rFonts w:ascii="Arial" w:eastAsia="宋体" w:hAnsi="Arial" w:cs="Arial"/>
          <w:color w:val="222222"/>
          <w:sz w:val="20"/>
          <w:szCs w:val="20"/>
        </w:rPr>
        <w:t>We are also exposed to credit losses from customer accounts and funds receivable balances held by third party financial institutions. These ba</w:t>
      </w:r>
      <w:r>
        <w:rPr>
          <w:rFonts w:ascii="Arial" w:eastAsia="宋体" w:hAnsi="Arial" w:cs="Arial"/>
          <w:color w:val="222222"/>
          <w:sz w:val="20"/>
          <w:szCs w:val="20"/>
        </w:rPr>
        <w:t xml:space="preserve">lances are either held by financial institutions associated with payment intermediation activity and awaiting settlement, or are installment collections from financial institutions. We assess these balances for credit loss based on a review of the average </w:t>
      </w:r>
      <w:r>
        <w:rPr>
          <w:rFonts w:ascii="Arial" w:eastAsia="宋体" w:hAnsi="Arial" w:cs="Arial"/>
          <w:color w:val="222222"/>
          <w:sz w:val="20"/>
          <w:szCs w:val="20"/>
        </w:rPr>
        <w:t>period for which the funds are held, credit ratings of the financial institutions and by assessing the probability of default and loss given default models. At March 31, 2020, we did not record any credit-related loss.</w:t>
      </w:r>
    </w:p>
    <w:p w14:paraId="64A88F38" w14:textId="77777777" w:rsidR="008D6614" w:rsidRDefault="008D6614">
      <w:pPr>
        <w:jc w:val="both"/>
      </w:pPr>
    </w:p>
    <w:p w14:paraId="64A88F39" w14:textId="77777777" w:rsidR="008D6614" w:rsidRDefault="00866AF2">
      <w:pPr>
        <w:ind w:firstLine="270"/>
        <w:jc w:val="both"/>
      </w:pPr>
      <w:r>
        <w:rPr>
          <w:rFonts w:ascii="Arial" w:eastAsia="宋体" w:hAnsi="Arial" w:cs="Arial"/>
          <w:b/>
          <w:bCs/>
          <w:i/>
          <w:iCs/>
          <w:color w:val="000000"/>
          <w:sz w:val="20"/>
          <w:szCs w:val="20"/>
        </w:rPr>
        <w:t>Credit losses – Available-for-sale d</w:t>
      </w:r>
      <w:r>
        <w:rPr>
          <w:rFonts w:ascii="Arial" w:eastAsia="宋体" w:hAnsi="Arial" w:cs="Arial"/>
          <w:b/>
          <w:bCs/>
          <w:i/>
          <w:iCs/>
          <w:color w:val="000000"/>
          <w:sz w:val="20"/>
          <w:szCs w:val="20"/>
        </w:rPr>
        <w:t xml:space="preserve">ebt securities </w:t>
      </w:r>
    </w:p>
    <w:p w14:paraId="64A88F3A" w14:textId="77777777" w:rsidR="008D6614" w:rsidRDefault="008D6614">
      <w:pPr>
        <w:ind w:firstLine="270"/>
        <w:jc w:val="both"/>
      </w:pPr>
    </w:p>
    <w:p w14:paraId="64A88F3B" w14:textId="77777777" w:rsidR="008D6614" w:rsidRDefault="00866AF2">
      <w:pPr>
        <w:ind w:firstLine="540"/>
      </w:pPr>
      <w:r>
        <w:rPr>
          <w:rFonts w:ascii="Arial" w:eastAsia="宋体" w:hAnsi="Arial" w:cs="Arial"/>
          <w:color w:val="222222"/>
          <w:sz w:val="20"/>
          <w:szCs w:val="20"/>
        </w:rPr>
        <w:t>We periodically assess our portfolio of debt investments for impairment. For debt securities in an unrealized loss position, this assessment first takes into account our intent to sell, or whether it is more likely than not that we will be</w:t>
      </w:r>
      <w:r>
        <w:rPr>
          <w:rFonts w:ascii="Arial" w:eastAsia="宋体" w:hAnsi="Arial" w:cs="Arial"/>
          <w:color w:val="222222"/>
          <w:sz w:val="20"/>
          <w:szCs w:val="20"/>
        </w:rPr>
        <w:t xml:space="preserve"> required to sell the security before recovery of its amortized cost basis. If either of these criteria are met, the debt security’s amortized cost basis is written down to fair value through interest and other, net. </w:t>
      </w:r>
    </w:p>
    <w:p w14:paraId="64A88F3C" w14:textId="77777777" w:rsidR="008D6614" w:rsidRDefault="008D6614"/>
    <w:p w14:paraId="64A88F3D" w14:textId="77777777" w:rsidR="008D6614" w:rsidRDefault="00866AF2">
      <w:pPr>
        <w:ind w:firstLine="540"/>
        <w:jc w:val="both"/>
      </w:pPr>
      <w:r>
        <w:rPr>
          <w:rFonts w:ascii="Arial" w:eastAsia="宋体" w:hAnsi="Arial" w:cs="Arial"/>
          <w:color w:val="222222"/>
          <w:sz w:val="20"/>
          <w:szCs w:val="20"/>
        </w:rPr>
        <w:t xml:space="preserve">For debt securities in an unrealized </w:t>
      </w:r>
      <w:r>
        <w:rPr>
          <w:rFonts w:ascii="Arial" w:eastAsia="宋体" w:hAnsi="Arial" w:cs="Arial"/>
          <w:color w:val="222222"/>
          <w:sz w:val="20"/>
          <w:szCs w:val="20"/>
        </w:rPr>
        <w:t>loss position that do not meet the aforementioned criteria, we assess whether the decline in fair value has resulted from credit losses or other factors. In making this assessment, we consider the extent to which fair value is less than amortized cost, any</w:t>
      </w:r>
      <w:r>
        <w:rPr>
          <w:rFonts w:ascii="Arial" w:eastAsia="宋体" w:hAnsi="Arial" w:cs="Arial"/>
          <w:color w:val="222222"/>
          <w:sz w:val="20"/>
          <w:szCs w:val="20"/>
        </w:rPr>
        <w:t xml:space="preserve"> changes to the rating of the security by a rating agency, and any adverse conditions specifically related to the security, among other factors. If this assessment indicates that a credit loss may exist, the present value of cash flows expected to be colle</w:t>
      </w:r>
      <w:r>
        <w:rPr>
          <w:rFonts w:ascii="Arial" w:eastAsia="宋体" w:hAnsi="Arial" w:cs="Arial"/>
          <w:color w:val="222222"/>
          <w:sz w:val="20"/>
          <w:szCs w:val="20"/>
        </w:rPr>
        <w:t>cted from the security are compared to the amortized cost basis of the security. If the present value of cash flows expected to be collected is less than the amortized cost basis, a credit loss exists and an allowance for credit losses will be recorded thr</w:t>
      </w:r>
      <w:r>
        <w:rPr>
          <w:rFonts w:ascii="Arial" w:eastAsia="宋体" w:hAnsi="Arial" w:cs="Arial"/>
          <w:color w:val="222222"/>
          <w:sz w:val="20"/>
          <w:szCs w:val="20"/>
        </w:rPr>
        <w:t>ough interest and other, net, limited by the amount that the fair value is less than the amortized cost basis. Any additional impairment not recorded through an allowance for credit losses is recognized in other comprehensive income.</w:t>
      </w:r>
    </w:p>
    <w:p w14:paraId="64A88F3E" w14:textId="77777777" w:rsidR="008D6614" w:rsidRDefault="008D6614">
      <w:pPr>
        <w:jc w:val="center"/>
      </w:pPr>
    </w:p>
    <w:p w14:paraId="64A88F3F" w14:textId="77777777" w:rsidR="008D6614" w:rsidRDefault="00866AF2">
      <w:pPr>
        <w:jc w:val="center"/>
      </w:pPr>
      <w:r>
        <w:rPr>
          <w:rFonts w:ascii="Arial" w:eastAsia="宋体" w:hAnsi="Arial" w:cs="Arial"/>
          <w:color w:val="000000"/>
          <w:sz w:val="20"/>
          <w:szCs w:val="20"/>
        </w:rPr>
        <w:t>8</w:t>
      </w:r>
    </w:p>
    <w:p w14:paraId="64A88F40" w14:textId="77777777" w:rsidR="008D6614" w:rsidRDefault="00866AF2">
      <w:r>
        <w:pict w14:anchorId="64A8B9E5">
          <v:rect id="_x0000_i1032" style="width:415.3pt;height:1.5pt" o:hralign="center" o:hrstd="t" o:hr="t" fillcolor="#a0a0a0" stroked="f"/>
        </w:pict>
      </w:r>
    </w:p>
    <w:p w14:paraId="64A88F41" w14:textId="77777777" w:rsidR="008D6614" w:rsidRDefault="008D6614">
      <w:pPr>
        <w:jc w:val="center"/>
      </w:pPr>
    </w:p>
    <w:p w14:paraId="64A88F42" w14:textId="77777777" w:rsidR="008D6614" w:rsidRDefault="00866AF2">
      <w:pPr>
        <w:jc w:val="center"/>
      </w:pPr>
      <w:r>
        <w:rPr>
          <w:rFonts w:ascii="Arial" w:eastAsia="宋体" w:hAnsi="Arial" w:cs="Arial"/>
          <w:b/>
          <w:bCs/>
          <w:color w:val="000000"/>
          <w:sz w:val="20"/>
          <w:szCs w:val="20"/>
        </w:rPr>
        <w:t>eBay Inc.</w:t>
      </w:r>
    </w:p>
    <w:p w14:paraId="64A88F43" w14:textId="77777777" w:rsidR="008D6614" w:rsidRDefault="00866AF2">
      <w:pPr>
        <w:spacing w:after="240"/>
        <w:jc w:val="center"/>
      </w:pPr>
      <w:r>
        <w:rPr>
          <w:rFonts w:ascii="Arial" w:eastAsia="宋体" w:hAnsi="Arial" w:cs="Arial"/>
          <w:b/>
          <w:bCs/>
          <w:color w:val="000000"/>
          <w:sz w:val="20"/>
          <w:szCs w:val="20"/>
        </w:rPr>
        <w:t xml:space="preserve">NOTES </w:t>
      </w:r>
      <w:r>
        <w:rPr>
          <w:rFonts w:ascii="Arial" w:eastAsia="宋体" w:hAnsi="Arial" w:cs="Arial"/>
          <w:b/>
          <w:bCs/>
          <w:color w:val="000000"/>
          <w:sz w:val="20"/>
          <w:szCs w:val="20"/>
        </w:rPr>
        <w:t>TO CONDENSED CONSOLIDATED FINANCIAL STATEMENTS—(Continued)</w:t>
      </w:r>
    </w:p>
    <w:p w14:paraId="64A88F44" w14:textId="77777777" w:rsidR="008D6614" w:rsidRDefault="00866AF2">
      <w:pPr>
        <w:ind w:firstLine="540"/>
        <w:jc w:val="both"/>
      </w:pPr>
      <w:r>
        <w:rPr>
          <w:rFonts w:ascii="Arial" w:eastAsia="宋体" w:hAnsi="Arial" w:cs="Arial"/>
          <w:color w:val="222222"/>
          <w:sz w:val="20"/>
          <w:szCs w:val="20"/>
        </w:rPr>
        <w:t>Changes in the allowance for credit losses are recorded as provision for (or reversal of) credit loss expense. Losses are charged against the allowance when management believes the uncollectability</w:t>
      </w:r>
      <w:r>
        <w:rPr>
          <w:rFonts w:ascii="Arial" w:eastAsia="宋体" w:hAnsi="Arial" w:cs="Arial"/>
          <w:color w:val="222222"/>
          <w:sz w:val="20"/>
          <w:szCs w:val="20"/>
        </w:rPr>
        <w:t xml:space="preserve"> of an available-for-sale security is confirmed or when either of the criteria regarding intent or requirement to sell is met.</w:t>
      </w:r>
    </w:p>
    <w:p w14:paraId="64A88F45" w14:textId="77777777" w:rsidR="008D6614" w:rsidRDefault="008D6614">
      <w:pPr>
        <w:ind w:firstLine="270"/>
        <w:jc w:val="both"/>
      </w:pPr>
    </w:p>
    <w:p w14:paraId="64A88F46" w14:textId="77777777" w:rsidR="008D6614" w:rsidRDefault="00866AF2">
      <w:pPr>
        <w:ind w:firstLine="270"/>
        <w:jc w:val="both"/>
      </w:pPr>
      <w:r>
        <w:rPr>
          <w:rFonts w:ascii="Arial" w:eastAsia="宋体" w:hAnsi="Arial" w:cs="Arial"/>
          <w:b/>
          <w:bCs/>
          <w:i/>
          <w:iCs/>
          <w:color w:val="000000"/>
          <w:sz w:val="20"/>
          <w:szCs w:val="20"/>
        </w:rPr>
        <w:t xml:space="preserve">Recently Adopted Accounting Pronouncements </w:t>
      </w:r>
    </w:p>
    <w:p w14:paraId="64A88F47" w14:textId="77777777" w:rsidR="008D6614" w:rsidRDefault="008D6614">
      <w:pPr>
        <w:ind w:firstLine="540"/>
        <w:jc w:val="both"/>
      </w:pPr>
    </w:p>
    <w:p w14:paraId="64A88F48" w14:textId="77777777" w:rsidR="008D6614" w:rsidRDefault="00866AF2">
      <w:pPr>
        <w:ind w:firstLine="540"/>
        <w:jc w:val="both"/>
      </w:pPr>
      <w:r>
        <w:rPr>
          <w:rFonts w:ascii="Arial" w:eastAsia="宋体" w:hAnsi="Arial" w:cs="Arial"/>
          <w:color w:val="000000"/>
          <w:sz w:val="20"/>
          <w:szCs w:val="20"/>
        </w:rPr>
        <w:t>In 2016, the Financial Accounting Standards Board (“FASB”) issued new guidance that requires credit losses on financial assets measured at amortized cost basis to be presented at the net amount expected to be collected, not based on incurred losses. Furthe</w:t>
      </w:r>
      <w:r>
        <w:rPr>
          <w:rFonts w:ascii="Arial" w:eastAsia="宋体" w:hAnsi="Arial" w:cs="Arial"/>
          <w:color w:val="000000"/>
          <w:sz w:val="20"/>
          <w:szCs w:val="20"/>
        </w:rPr>
        <w:t>r, credit losses on available-for-sale debt securities should be recorded through an allowance for credit losses limited to the amount by which fair value is below amortized cost. This standard impacts the Company’s accounting for allowances for doubtful a</w:t>
      </w:r>
      <w:r>
        <w:rPr>
          <w:rFonts w:ascii="Arial" w:eastAsia="宋体" w:hAnsi="Arial" w:cs="Arial"/>
          <w:color w:val="000000"/>
          <w:sz w:val="20"/>
          <w:szCs w:val="20"/>
        </w:rPr>
        <w:t>ccounts, available-for-sale securities and other assets subject to credit risk. In preparation for the adoption of this standard, we have updated our credit loss models as needed. The standard is effective for fiscal years, and interim periods within those</w:t>
      </w:r>
      <w:r>
        <w:rPr>
          <w:rFonts w:ascii="Arial" w:eastAsia="宋体" w:hAnsi="Arial" w:cs="Arial"/>
          <w:color w:val="000000"/>
          <w:sz w:val="20"/>
          <w:szCs w:val="20"/>
        </w:rPr>
        <w:t xml:space="preserve"> fiscal years, beginning after December 15, 2019. We adopted this guidance in the first quarter of 2020 with no material impact on our condensed consolidated financial statements. </w:t>
      </w:r>
    </w:p>
    <w:p w14:paraId="64A88F49" w14:textId="77777777" w:rsidR="008D6614" w:rsidRDefault="008D6614"/>
    <w:p w14:paraId="64A88F4A" w14:textId="77777777" w:rsidR="008D6614" w:rsidRDefault="00866AF2">
      <w:pPr>
        <w:ind w:firstLine="540"/>
        <w:jc w:val="both"/>
      </w:pPr>
      <w:r>
        <w:rPr>
          <w:rFonts w:ascii="Arial" w:eastAsia="宋体" w:hAnsi="Arial" w:cs="Arial"/>
          <w:color w:val="000000"/>
          <w:sz w:val="20"/>
          <w:szCs w:val="20"/>
        </w:rPr>
        <w:t>In 2017, the FASB issued new guidance to simplify the subsequent measureme</w:t>
      </w:r>
      <w:r>
        <w:rPr>
          <w:rFonts w:ascii="Arial" w:eastAsia="宋体" w:hAnsi="Arial" w:cs="Arial"/>
          <w:color w:val="000000"/>
          <w:sz w:val="20"/>
          <w:szCs w:val="20"/>
        </w:rPr>
        <w:t xml:space="preserve">nt of goodwill by removing the requirement to perform a hypothetical purchase price allocation to compute the implied fair value of goodwill to measure impairment. Instead, any goodwill impairment will equal the amount by which a reporting unit’s carrying </w:t>
      </w:r>
      <w:r>
        <w:rPr>
          <w:rFonts w:ascii="Arial" w:eastAsia="宋体" w:hAnsi="Arial" w:cs="Arial"/>
          <w:color w:val="000000"/>
          <w:sz w:val="20"/>
          <w:szCs w:val="20"/>
        </w:rPr>
        <w:t>value exceeds its fair value, not to exceed the carrying amount of goodwill. Further, the guidance eliminates the requirements for any reporting unit with a zero or negative carrying amount to perform a qualitative assessment and, if it fails that qualitat</w:t>
      </w:r>
      <w:r>
        <w:rPr>
          <w:rFonts w:ascii="Arial" w:eastAsia="宋体" w:hAnsi="Arial" w:cs="Arial"/>
          <w:color w:val="000000"/>
          <w:sz w:val="20"/>
          <w:szCs w:val="20"/>
        </w:rPr>
        <w:t>ive test, to perform Step 2 of the goodwill impairment test. This standard is effective for annual or any interim goodwill impairment test in fiscal years beginning after December 15, 2019. We adopted this guidance in the first quarter of 2020 with no mate</w:t>
      </w:r>
      <w:r>
        <w:rPr>
          <w:rFonts w:ascii="Arial" w:eastAsia="宋体" w:hAnsi="Arial" w:cs="Arial"/>
          <w:color w:val="000000"/>
          <w:sz w:val="20"/>
          <w:szCs w:val="20"/>
        </w:rPr>
        <w:t>rial impact on our condensed consolidated financial statements.</w:t>
      </w:r>
    </w:p>
    <w:p w14:paraId="64A88F4B" w14:textId="77777777" w:rsidR="008D6614" w:rsidRDefault="008D6614"/>
    <w:p w14:paraId="64A88F4C" w14:textId="77777777" w:rsidR="008D6614" w:rsidRDefault="00866AF2">
      <w:pPr>
        <w:ind w:firstLine="540"/>
        <w:jc w:val="both"/>
      </w:pPr>
      <w:r>
        <w:rPr>
          <w:rFonts w:ascii="Arial" w:eastAsia="宋体" w:hAnsi="Arial" w:cs="Arial"/>
          <w:color w:val="000000"/>
          <w:sz w:val="20"/>
          <w:szCs w:val="20"/>
        </w:rPr>
        <w:t>In 2018, the FASB issued new guidance on a customer's accounting for implementation, set-up, and other upfront costs incurred in a cloud computing arrangement that is hosted by the vendor (i.</w:t>
      </w:r>
      <w:r>
        <w:rPr>
          <w:rFonts w:ascii="Arial" w:eastAsia="宋体" w:hAnsi="Arial" w:cs="Arial"/>
          <w:color w:val="000000"/>
          <w:sz w:val="20"/>
          <w:szCs w:val="20"/>
        </w:rPr>
        <w:t>e., a service contract). Under the new guidance, customers will apply the same criteria for capitalizing implementation costs as they would for an arrangement that has a software license. This standard is effective for annual reporting periods beginning af</w:t>
      </w:r>
      <w:r>
        <w:rPr>
          <w:rFonts w:ascii="Arial" w:eastAsia="宋体" w:hAnsi="Arial" w:cs="Arial"/>
          <w:color w:val="000000"/>
          <w:sz w:val="20"/>
          <w:szCs w:val="20"/>
        </w:rPr>
        <w:t>ter December 15, 2019, including interim reporting periods within those fiscal years. We adopted this guidance prospectively in the first quarter of 2020 with no material impact on our condensed consolidated financial statements.</w:t>
      </w:r>
    </w:p>
    <w:p w14:paraId="64A88F4D" w14:textId="77777777" w:rsidR="008D6614" w:rsidRDefault="008D6614"/>
    <w:p w14:paraId="64A88F4E" w14:textId="77777777" w:rsidR="008D6614" w:rsidRDefault="00866AF2">
      <w:pPr>
        <w:ind w:firstLine="540"/>
        <w:jc w:val="both"/>
      </w:pPr>
      <w:r>
        <w:rPr>
          <w:rFonts w:ascii="Arial" w:eastAsia="宋体" w:hAnsi="Arial" w:cs="Arial"/>
          <w:color w:val="000000"/>
          <w:sz w:val="20"/>
          <w:szCs w:val="20"/>
        </w:rPr>
        <w:t xml:space="preserve">In 2018, the FASB issued </w:t>
      </w:r>
      <w:r>
        <w:rPr>
          <w:rFonts w:ascii="Arial" w:eastAsia="宋体" w:hAnsi="Arial" w:cs="Arial"/>
          <w:color w:val="000000"/>
          <w:sz w:val="20"/>
          <w:szCs w:val="20"/>
        </w:rPr>
        <w:t>new guidance to clarify the interaction between Collaborative Arrangements and Revenue from Contracts with Customers standards. The guidance (1) clarifies that certain transactions between collaborative arrangement participants should be accounted for unde</w:t>
      </w:r>
      <w:r>
        <w:rPr>
          <w:rFonts w:ascii="Arial" w:eastAsia="宋体" w:hAnsi="Arial" w:cs="Arial"/>
          <w:color w:val="000000"/>
          <w:sz w:val="20"/>
          <w:szCs w:val="20"/>
        </w:rPr>
        <w:t xml:space="preserve">r revenue guidance; (2) adds unit of account guidance to the collaborative arrangement guidance to align with the revenue standard; and (3) clarifies presentation guidance for transactions with a collaborative arrangement participant that is not accounted </w:t>
      </w:r>
      <w:r>
        <w:rPr>
          <w:rFonts w:ascii="Arial" w:eastAsia="宋体" w:hAnsi="Arial" w:cs="Arial"/>
          <w:color w:val="000000"/>
          <w:sz w:val="20"/>
          <w:szCs w:val="20"/>
        </w:rPr>
        <w:t xml:space="preserve">for under the revenue standard. The guidance is effective for annual reporting periods beginning after December 15, 2019, including interim reporting periods within those annual reporting periods. We adopted this guidance in the first quarter of 2020 with </w:t>
      </w:r>
      <w:r>
        <w:rPr>
          <w:rFonts w:ascii="Arial" w:eastAsia="宋体" w:hAnsi="Arial" w:cs="Arial"/>
          <w:color w:val="000000"/>
          <w:sz w:val="20"/>
          <w:szCs w:val="20"/>
        </w:rPr>
        <w:t>no material impact on our condensed consolidated financial statements.</w:t>
      </w:r>
    </w:p>
    <w:p w14:paraId="64A88F4F" w14:textId="77777777" w:rsidR="008D6614" w:rsidRDefault="008D6614">
      <w:pPr>
        <w:ind w:firstLine="540"/>
        <w:jc w:val="both"/>
      </w:pPr>
    </w:p>
    <w:p w14:paraId="64A88F50" w14:textId="77777777" w:rsidR="008D6614" w:rsidRDefault="00866AF2">
      <w:pPr>
        <w:ind w:firstLine="270"/>
        <w:jc w:val="both"/>
      </w:pPr>
      <w:r>
        <w:rPr>
          <w:rFonts w:ascii="Arial" w:eastAsia="宋体" w:hAnsi="Arial" w:cs="Arial"/>
          <w:b/>
          <w:bCs/>
          <w:i/>
          <w:iCs/>
          <w:color w:val="000000"/>
          <w:sz w:val="20"/>
          <w:szCs w:val="20"/>
        </w:rPr>
        <w:t>Recent Accounting Pronouncements Not Yet Adopted</w:t>
      </w:r>
    </w:p>
    <w:p w14:paraId="64A88F51" w14:textId="77777777" w:rsidR="008D6614" w:rsidRDefault="008D6614">
      <w:pPr>
        <w:ind w:firstLine="540"/>
        <w:jc w:val="both"/>
      </w:pPr>
    </w:p>
    <w:p w14:paraId="64A88F52" w14:textId="77777777" w:rsidR="008D6614" w:rsidRDefault="00866AF2">
      <w:pPr>
        <w:ind w:firstLine="540"/>
        <w:jc w:val="both"/>
      </w:pPr>
      <w:r>
        <w:rPr>
          <w:rFonts w:ascii="Arial" w:eastAsia="宋体" w:hAnsi="Arial" w:cs="Arial"/>
          <w:color w:val="000000"/>
          <w:sz w:val="20"/>
          <w:szCs w:val="20"/>
        </w:rPr>
        <w:t xml:space="preserve">In 2019, the FASB issued new guidance to simplify the accounting for income taxes by removing certain exceptions to the general </w:t>
      </w:r>
      <w:r>
        <w:rPr>
          <w:rFonts w:ascii="Arial" w:eastAsia="宋体" w:hAnsi="Arial" w:cs="Arial"/>
          <w:color w:val="000000"/>
          <w:sz w:val="20"/>
          <w:szCs w:val="20"/>
        </w:rPr>
        <w:t>principles and also simplification of areas such as franchise taxes, step-up in tax basis goodwill, separate entity financial statements and interim recognition of enactment of tax laws or rate changes. The standard will be effective for annual reporting p</w:t>
      </w:r>
      <w:r>
        <w:rPr>
          <w:rFonts w:ascii="Arial" w:eastAsia="宋体" w:hAnsi="Arial" w:cs="Arial"/>
          <w:color w:val="000000"/>
          <w:sz w:val="20"/>
          <w:szCs w:val="20"/>
        </w:rPr>
        <w:t>eriods beginning after December 15, 2020, including interim reporting periods within those fiscal years. We are evaluating the impact of adopting this new accounting guidance on our condensed consolidated financial statements.</w:t>
      </w:r>
    </w:p>
    <w:p w14:paraId="64A88F53" w14:textId="77777777" w:rsidR="008D6614" w:rsidRDefault="008D6614">
      <w:pPr>
        <w:ind w:firstLine="540"/>
        <w:jc w:val="both"/>
      </w:pPr>
    </w:p>
    <w:p w14:paraId="64A88F54" w14:textId="77777777" w:rsidR="008D6614" w:rsidRDefault="00866AF2">
      <w:pPr>
        <w:ind w:firstLine="540"/>
        <w:jc w:val="both"/>
      </w:pPr>
      <w:r>
        <w:rPr>
          <w:rFonts w:ascii="Arial" w:eastAsia="宋体" w:hAnsi="Arial" w:cs="Arial"/>
          <w:color w:val="000000"/>
          <w:sz w:val="20"/>
          <w:szCs w:val="20"/>
        </w:rPr>
        <w:t>In 2019, the FASB issued new</w:t>
      </w:r>
      <w:r>
        <w:rPr>
          <w:rFonts w:ascii="Arial" w:eastAsia="宋体" w:hAnsi="Arial" w:cs="Arial"/>
          <w:color w:val="000000"/>
          <w:sz w:val="20"/>
          <w:szCs w:val="20"/>
        </w:rPr>
        <w:t xml:space="preserve"> guidance to decrease diversity in practice and increase comparability for the accounting of certain equity securities and investments under the equity method of accounting. The standard will be effective for fiscal years, and interim periods within those </w:t>
      </w:r>
      <w:r>
        <w:rPr>
          <w:rFonts w:ascii="Arial" w:eastAsia="宋体" w:hAnsi="Arial" w:cs="Arial"/>
          <w:color w:val="000000"/>
          <w:sz w:val="20"/>
          <w:szCs w:val="20"/>
        </w:rPr>
        <w:t>fiscal years, beginning after December 31, 2020. We are evaluating the impact of adopting this new guidance on our condensed consolidated financial statements.</w:t>
      </w:r>
    </w:p>
    <w:p w14:paraId="64A88F55" w14:textId="77777777" w:rsidR="008D6614" w:rsidRDefault="008D6614">
      <w:pPr>
        <w:ind w:firstLine="540"/>
        <w:jc w:val="both"/>
      </w:pPr>
    </w:p>
    <w:p w14:paraId="64A88F56" w14:textId="77777777" w:rsidR="008D6614" w:rsidRDefault="008D6614">
      <w:pPr>
        <w:jc w:val="center"/>
      </w:pPr>
    </w:p>
    <w:p w14:paraId="64A88F57" w14:textId="77777777" w:rsidR="008D6614" w:rsidRDefault="00866AF2">
      <w:pPr>
        <w:jc w:val="center"/>
      </w:pPr>
      <w:r>
        <w:rPr>
          <w:rFonts w:ascii="Arial" w:eastAsia="宋体" w:hAnsi="Arial" w:cs="Arial"/>
          <w:color w:val="000000"/>
          <w:sz w:val="20"/>
          <w:szCs w:val="20"/>
        </w:rPr>
        <w:t>9</w:t>
      </w:r>
    </w:p>
    <w:p w14:paraId="64A88F58" w14:textId="77777777" w:rsidR="008D6614" w:rsidRDefault="00866AF2">
      <w:r>
        <w:pict w14:anchorId="64A8B9E6">
          <v:rect id="_x0000_i1033" style="width:415.3pt;height:1.5pt" o:hralign="center" o:hrstd="t" o:hr="t" fillcolor="#a0a0a0" stroked="f"/>
        </w:pict>
      </w:r>
    </w:p>
    <w:p w14:paraId="64A88F59" w14:textId="77777777" w:rsidR="008D6614" w:rsidRDefault="008D6614">
      <w:pPr>
        <w:jc w:val="center"/>
      </w:pPr>
    </w:p>
    <w:p w14:paraId="64A88F5A" w14:textId="77777777" w:rsidR="008D6614" w:rsidRDefault="00866AF2">
      <w:pPr>
        <w:jc w:val="center"/>
      </w:pPr>
      <w:r>
        <w:rPr>
          <w:rFonts w:ascii="Arial" w:eastAsia="宋体" w:hAnsi="Arial" w:cs="Arial"/>
          <w:b/>
          <w:bCs/>
          <w:color w:val="000000"/>
          <w:sz w:val="20"/>
          <w:szCs w:val="20"/>
        </w:rPr>
        <w:t>eBay Inc.</w:t>
      </w:r>
    </w:p>
    <w:p w14:paraId="64A88F5B"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8F5C" w14:textId="77777777" w:rsidR="008D6614" w:rsidRDefault="00866AF2">
      <w:r>
        <w:rPr>
          <w:rFonts w:ascii="Arial" w:eastAsia="宋体" w:hAnsi="Arial" w:cs="Arial"/>
          <w:b/>
          <w:bCs/>
          <w:color w:val="000000"/>
          <w:sz w:val="20"/>
          <w:szCs w:val="20"/>
        </w:rPr>
        <w:t>Note 2 — Net I</w:t>
      </w:r>
      <w:r>
        <w:rPr>
          <w:rFonts w:ascii="Arial" w:eastAsia="宋体" w:hAnsi="Arial" w:cs="Arial"/>
          <w:b/>
          <w:bCs/>
          <w:color w:val="000000"/>
          <w:sz w:val="20"/>
          <w:szCs w:val="20"/>
        </w:rPr>
        <w:t>ncome Per Share</w:t>
      </w:r>
    </w:p>
    <w:p w14:paraId="64A88F5D" w14:textId="77777777" w:rsidR="008D6614" w:rsidRDefault="008D6614"/>
    <w:p w14:paraId="64A88F5E" w14:textId="77777777" w:rsidR="008D6614" w:rsidRDefault="00866AF2">
      <w:pPr>
        <w:ind w:firstLine="540"/>
        <w:jc w:val="both"/>
      </w:pPr>
      <w:r>
        <w:rPr>
          <w:rFonts w:ascii="Arial" w:eastAsia="宋体" w:hAnsi="Arial" w:cs="Arial"/>
          <w:color w:val="000000"/>
          <w:sz w:val="20"/>
          <w:szCs w:val="20"/>
        </w:rPr>
        <w:t>Basic net income per share is computed by dividing net income for the period by the weighted average number of common shares outstanding during the period. Diluted net income per share is computed by dividing net income for the period by t</w:t>
      </w:r>
      <w:r>
        <w:rPr>
          <w:rFonts w:ascii="Arial" w:eastAsia="宋体" w:hAnsi="Arial" w:cs="Arial"/>
          <w:color w:val="000000"/>
          <w:sz w:val="20"/>
          <w:szCs w:val="20"/>
        </w:rPr>
        <w:t xml:space="preserve">he weighted average number of shares of common stock and potentially dilutive common stock outstanding during the period. The dilutive effect of outstanding options and equity incentive awards is reflected in diluted net income per share by application of </w:t>
      </w:r>
      <w:r>
        <w:rPr>
          <w:rFonts w:ascii="Arial" w:eastAsia="宋体" w:hAnsi="Arial" w:cs="Arial"/>
          <w:color w:val="000000"/>
          <w:sz w:val="20"/>
          <w:szCs w:val="20"/>
        </w:rPr>
        <w:t>the treasury stock method. The calculation of diluted net income per share excludes all anti-dilutive common shares. The following table sets forth the computation of basic and diluted net income per share for the three months ended March 31, 2020 and 2019</w:t>
      </w:r>
      <w:r>
        <w:rPr>
          <w:rFonts w:ascii="Arial" w:eastAsia="宋体" w:hAnsi="Arial" w:cs="Arial"/>
          <w:color w:val="000000"/>
          <w:sz w:val="20"/>
          <w:szCs w:val="20"/>
        </w:rPr>
        <w:t xml:space="preserve"> (in millions, except per share amounts): </w:t>
      </w:r>
    </w:p>
    <w:tbl>
      <w:tblPr>
        <w:tblW w:w="4993" w:type="pct"/>
        <w:tblCellMar>
          <w:top w:w="15" w:type="dxa"/>
          <w:left w:w="15" w:type="dxa"/>
          <w:bottom w:w="15" w:type="dxa"/>
          <w:right w:w="15" w:type="dxa"/>
        </w:tblCellMar>
        <w:tblLook w:val="04A0" w:firstRow="1" w:lastRow="0" w:firstColumn="1" w:lastColumn="0" w:noHBand="0" w:noVBand="1"/>
      </w:tblPr>
      <w:tblGrid>
        <w:gridCol w:w="46"/>
        <w:gridCol w:w="5653"/>
        <w:gridCol w:w="47"/>
        <w:gridCol w:w="36"/>
        <w:gridCol w:w="36"/>
        <w:gridCol w:w="36"/>
        <w:gridCol w:w="36"/>
        <w:gridCol w:w="36"/>
        <w:gridCol w:w="36"/>
        <w:gridCol w:w="136"/>
        <w:gridCol w:w="797"/>
        <w:gridCol w:w="86"/>
        <w:gridCol w:w="36"/>
        <w:gridCol w:w="36"/>
        <w:gridCol w:w="36"/>
        <w:gridCol w:w="136"/>
        <w:gridCol w:w="797"/>
        <w:gridCol w:w="86"/>
        <w:gridCol w:w="36"/>
        <w:gridCol w:w="36"/>
        <w:gridCol w:w="36"/>
        <w:gridCol w:w="36"/>
        <w:gridCol w:w="36"/>
        <w:gridCol w:w="36"/>
      </w:tblGrid>
      <w:tr w:rsidR="008D6614" w14:paraId="64A88F71" w14:textId="77777777">
        <w:trPr>
          <w:gridAfter w:val="6"/>
        </w:trPr>
        <w:tc>
          <w:tcPr>
            <w:tcW w:w="50" w:type="pct"/>
            <w:shd w:val="clear" w:color="auto" w:fill="auto"/>
            <w:vAlign w:val="center"/>
          </w:tcPr>
          <w:p w14:paraId="64A88F5F" w14:textId="77777777" w:rsidR="008D6614" w:rsidRDefault="008D6614">
            <w:pPr>
              <w:rPr>
                <w:rFonts w:ascii="宋体"/>
              </w:rPr>
            </w:pPr>
          </w:p>
        </w:tc>
        <w:tc>
          <w:tcPr>
            <w:tcW w:w="3553" w:type="pct"/>
            <w:shd w:val="clear" w:color="auto" w:fill="auto"/>
            <w:vAlign w:val="center"/>
          </w:tcPr>
          <w:p w14:paraId="64A88F60" w14:textId="77777777" w:rsidR="008D6614" w:rsidRDefault="008D6614">
            <w:pPr>
              <w:rPr>
                <w:rFonts w:ascii="宋体"/>
              </w:rPr>
            </w:pPr>
          </w:p>
        </w:tc>
        <w:tc>
          <w:tcPr>
            <w:tcW w:w="50" w:type="pct"/>
            <w:shd w:val="clear" w:color="auto" w:fill="auto"/>
            <w:vAlign w:val="center"/>
          </w:tcPr>
          <w:p w14:paraId="64A88F61" w14:textId="77777777" w:rsidR="008D6614" w:rsidRDefault="008D6614">
            <w:pPr>
              <w:rPr>
                <w:rFonts w:ascii="宋体"/>
              </w:rPr>
            </w:pPr>
          </w:p>
        </w:tc>
        <w:tc>
          <w:tcPr>
            <w:tcW w:w="0" w:type="auto"/>
            <w:shd w:val="clear" w:color="auto" w:fill="auto"/>
            <w:vAlign w:val="center"/>
          </w:tcPr>
          <w:p w14:paraId="64A88F62" w14:textId="77777777" w:rsidR="008D6614" w:rsidRDefault="008D6614">
            <w:pPr>
              <w:rPr>
                <w:rFonts w:ascii="宋体"/>
                <w:vanish/>
              </w:rPr>
            </w:pPr>
          </w:p>
        </w:tc>
        <w:tc>
          <w:tcPr>
            <w:tcW w:w="0" w:type="auto"/>
            <w:shd w:val="clear" w:color="auto" w:fill="auto"/>
            <w:vAlign w:val="center"/>
          </w:tcPr>
          <w:p w14:paraId="64A88F63" w14:textId="77777777" w:rsidR="008D6614" w:rsidRDefault="008D6614">
            <w:pPr>
              <w:rPr>
                <w:rFonts w:ascii="宋体"/>
                <w:vanish/>
              </w:rPr>
            </w:pPr>
          </w:p>
        </w:tc>
        <w:tc>
          <w:tcPr>
            <w:tcW w:w="0" w:type="auto"/>
            <w:shd w:val="clear" w:color="auto" w:fill="auto"/>
            <w:vAlign w:val="center"/>
          </w:tcPr>
          <w:p w14:paraId="64A88F64" w14:textId="77777777" w:rsidR="008D6614" w:rsidRDefault="008D6614">
            <w:pPr>
              <w:rPr>
                <w:rFonts w:ascii="宋体"/>
                <w:vanish/>
              </w:rPr>
            </w:pPr>
          </w:p>
        </w:tc>
        <w:tc>
          <w:tcPr>
            <w:tcW w:w="5" w:type="pct"/>
            <w:shd w:val="clear" w:color="auto" w:fill="auto"/>
            <w:vAlign w:val="center"/>
          </w:tcPr>
          <w:p w14:paraId="64A88F65" w14:textId="77777777" w:rsidR="008D6614" w:rsidRDefault="008D6614">
            <w:pPr>
              <w:rPr>
                <w:rFonts w:ascii="宋体"/>
              </w:rPr>
            </w:pPr>
          </w:p>
        </w:tc>
        <w:tc>
          <w:tcPr>
            <w:tcW w:w="26" w:type="pct"/>
            <w:shd w:val="clear" w:color="auto" w:fill="auto"/>
            <w:vAlign w:val="center"/>
          </w:tcPr>
          <w:p w14:paraId="64A88F66" w14:textId="77777777" w:rsidR="008D6614" w:rsidRDefault="008D6614">
            <w:pPr>
              <w:rPr>
                <w:rFonts w:ascii="宋体"/>
              </w:rPr>
            </w:pPr>
          </w:p>
        </w:tc>
        <w:tc>
          <w:tcPr>
            <w:tcW w:w="5" w:type="pct"/>
            <w:shd w:val="clear" w:color="auto" w:fill="auto"/>
            <w:vAlign w:val="center"/>
          </w:tcPr>
          <w:p w14:paraId="64A88F67" w14:textId="77777777" w:rsidR="008D6614" w:rsidRDefault="008D6614">
            <w:pPr>
              <w:rPr>
                <w:rFonts w:ascii="宋体"/>
              </w:rPr>
            </w:pPr>
          </w:p>
        </w:tc>
        <w:tc>
          <w:tcPr>
            <w:tcW w:w="50" w:type="pct"/>
            <w:shd w:val="clear" w:color="auto" w:fill="auto"/>
            <w:vAlign w:val="center"/>
          </w:tcPr>
          <w:p w14:paraId="64A88F68" w14:textId="77777777" w:rsidR="008D6614" w:rsidRDefault="008D6614">
            <w:pPr>
              <w:rPr>
                <w:rFonts w:ascii="宋体"/>
              </w:rPr>
            </w:pPr>
          </w:p>
        </w:tc>
        <w:tc>
          <w:tcPr>
            <w:tcW w:w="536" w:type="pct"/>
            <w:shd w:val="clear" w:color="auto" w:fill="auto"/>
            <w:vAlign w:val="center"/>
          </w:tcPr>
          <w:p w14:paraId="64A88F69" w14:textId="77777777" w:rsidR="008D6614" w:rsidRDefault="008D6614">
            <w:pPr>
              <w:rPr>
                <w:rFonts w:ascii="宋体"/>
              </w:rPr>
            </w:pPr>
          </w:p>
        </w:tc>
        <w:tc>
          <w:tcPr>
            <w:tcW w:w="50" w:type="pct"/>
            <w:shd w:val="clear" w:color="auto" w:fill="auto"/>
            <w:vAlign w:val="center"/>
          </w:tcPr>
          <w:p w14:paraId="64A88F6A" w14:textId="77777777" w:rsidR="008D6614" w:rsidRDefault="008D6614">
            <w:pPr>
              <w:rPr>
                <w:rFonts w:ascii="宋体"/>
              </w:rPr>
            </w:pPr>
          </w:p>
        </w:tc>
        <w:tc>
          <w:tcPr>
            <w:tcW w:w="5" w:type="pct"/>
            <w:shd w:val="clear" w:color="auto" w:fill="auto"/>
            <w:vAlign w:val="center"/>
          </w:tcPr>
          <w:p w14:paraId="64A88F6B" w14:textId="77777777" w:rsidR="008D6614" w:rsidRDefault="008D6614">
            <w:pPr>
              <w:rPr>
                <w:rFonts w:ascii="宋体"/>
              </w:rPr>
            </w:pPr>
          </w:p>
        </w:tc>
        <w:tc>
          <w:tcPr>
            <w:tcW w:w="26" w:type="pct"/>
            <w:shd w:val="clear" w:color="auto" w:fill="auto"/>
            <w:vAlign w:val="center"/>
          </w:tcPr>
          <w:p w14:paraId="64A88F6C" w14:textId="77777777" w:rsidR="008D6614" w:rsidRDefault="008D6614">
            <w:pPr>
              <w:rPr>
                <w:rFonts w:ascii="宋体"/>
              </w:rPr>
            </w:pPr>
          </w:p>
        </w:tc>
        <w:tc>
          <w:tcPr>
            <w:tcW w:w="5" w:type="pct"/>
            <w:shd w:val="clear" w:color="auto" w:fill="auto"/>
            <w:vAlign w:val="center"/>
          </w:tcPr>
          <w:p w14:paraId="64A88F6D" w14:textId="77777777" w:rsidR="008D6614" w:rsidRDefault="008D6614">
            <w:pPr>
              <w:rPr>
                <w:rFonts w:ascii="宋体"/>
              </w:rPr>
            </w:pPr>
          </w:p>
        </w:tc>
        <w:tc>
          <w:tcPr>
            <w:tcW w:w="50" w:type="pct"/>
            <w:shd w:val="clear" w:color="auto" w:fill="auto"/>
            <w:vAlign w:val="center"/>
          </w:tcPr>
          <w:p w14:paraId="64A88F6E" w14:textId="77777777" w:rsidR="008D6614" w:rsidRDefault="008D6614">
            <w:pPr>
              <w:rPr>
                <w:rFonts w:ascii="宋体"/>
              </w:rPr>
            </w:pPr>
          </w:p>
        </w:tc>
        <w:tc>
          <w:tcPr>
            <w:tcW w:w="536" w:type="pct"/>
            <w:shd w:val="clear" w:color="auto" w:fill="auto"/>
            <w:vAlign w:val="center"/>
          </w:tcPr>
          <w:p w14:paraId="64A88F6F" w14:textId="77777777" w:rsidR="008D6614" w:rsidRDefault="008D6614">
            <w:pPr>
              <w:rPr>
                <w:rFonts w:ascii="宋体"/>
              </w:rPr>
            </w:pPr>
          </w:p>
        </w:tc>
        <w:tc>
          <w:tcPr>
            <w:tcW w:w="50" w:type="pct"/>
            <w:shd w:val="clear" w:color="auto" w:fill="auto"/>
            <w:vAlign w:val="center"/>
          </w:tcPr>
          <w:p w14:paraId="64A88F70" w14:textId="77777777" w:rsidR="008D6614" w:rsidRDefault="008D6614">
            <w:pPr>
              <w:rPr>
                <w:rFonts w:ascii="宋体"/>
              </w:rPr>
            </w:pPr>
          </w:p>
        </w:tc>
      </w:tr>
      <w:tr w:rsidR="008D6614" w14:paraId="64A88F7A" w14:textId="77777777">
        <w:tc>
          <w:tcPr>
            <w:tcW w:w="0" w:type="auto"/>
            <w:gridSpan w:val="3"/>
            <w:shd w:val="clear" w:color="auto" w:fill="auto"/>
            <w:tcMar>
              <w:top w:w="40" w:type="dxa"/>
              <w:left w:w="20" w:type="dxa"/>
              <w:bottom w:w="40" w:type="dxa"/>
              <w:right w:w="20" w:type="dxa"/>
            </w:tcMar>
            <w:vAlign w:val="bottom"/>
          </w:tcPr>
          <w:p w14:paraId="64A88F72"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8F73" w14:textId="77777777" w:rsidR="008D6614" w:rsidRDefault="008D6614">
            <w:pPr>
              <w:rPr>
                <w:rFonts w:ascii="宋体"/>
                <w:vanish/>
              </w:rPr>
            </w:pPr>
          </w:p>
        </w:tc>
        <w:tc>
          <w:tcPr>
            <w:tcW w:w="0" w:type="auto"/>
            <w:shd w:val="clear" w:color="auto" w:fill="auto"/>
            <w:vAlign w:val="center"/>
          </w:tcPr>
          <w:p w14:paraId="64A88F74" w14:textId="77777777" w:rsidR="008D6614" w:rsidRDefault="008D6614">
            <w:pPr>
              <w:rPr>
                <w:rFonts w:ascii="宋体"/>
                <w:vanish/>
              </w:rPr>
            </w:pPr>
          </w:p>
        </w:tc>
        <w:tc>
          <w:tcPr>
            <w:tcW w:w="0" w:type="auto"/>
            <w:shd w:val="clear" w:color="auto" w:fill="auto"/>
            <w:vAlign w:val="center"/>
          </w:tcPr>
          <w:p w14:paraId="64A88F75"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F76"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8F77"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vAlign w:val="center"/>
          </w:tcPr>
          <w:p w14:paraId="64A88F78" w14:textId="77777777" w:rsidR="008D6614" w:rsidRDefault="008D6614">
            <w:pPr>
              <w:rPr>
                <w:rFonts w:ascii="宋体"/>
                <w:vanish/>
              </w:rPr>
            </w:pPr>
          </w:p>
        </w:tc>
        <w:tc>
          <w:tcPr>
            <w:tcW w:w="0" w:type="auto"/>
            <w:gridSpan w:val="3"/>
            <w:shd w:val="clear" w:color="auto" w:fill="auto"/>
            <w:vAlign w:val="center"/>
          </w:tcPr>
          <w:p w14:paraId="64A88F79" w14:textId="77777777" w:rsidR="008D6614" w:rsidRDefault="008D6614">
            <w:pPr>
              <w:rPr>
                <w:rFonts w:ascii="宋体"/>
                <w:vanish/>
              </w:rPr>
            </w:pPr>
          </w:p>
        </w:tc>
      </w:tr>
      <w:tr w:rsidR="008D6614" w14:paraId="64A88F89" w14:textId="77777777">
        <w:tc>
          <w:tcPr>
            <w:tcW w:w="0" w:type="auto"/>
            <w:gridSpan w:val="3"/>
            <w:shd w:val="clear" w:color="auto" w:fill="auto"/>
            <w:tcMar>
              <w:top w:w="40" w:type="dxa"/>
              <w:left w:w="20" w:type="dxa"/>
              <w:bottom w:w="40" w:type="dxa"/>
              <w:right w:w="20" w:type="dxa"/>
            </w:tcMar>
            <w:vAlign w:val="bottom"/>
          </w:tcPr>
          <w:p w14:paraId="64A88F7B"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8F7C" w14:textId="77777777" w:rsidR="008D6614" w:rsidRDefault="008D6614">
            <w:pPr>
              <w:rPr>
                <w:rFonts w:ascii="宋体"/>
                <w:vanish/>
              </w:rPr>
            </w:pPr>
          </w:p>
        </w:tc>
        <w:tc>
          <w:tcPr>
            <w:tcW w:w="0" w:type="auto"/>
            <w:shd w:val="clear" w:color="auto" w:fill="auto"/>
            <w:vAlign w:val="center"/>
          </w:tcPr>
          <w:p w14:paraId="64A88F7D" w14:textId="77777777" w:rsidR="008D6614" w:rsidRDefault="008D6614">
            <w:pPr>
              <w:rPr>
                <w:rFonts w:ascii="宋体"/>
                <w:vanish/>
              </w:rPr>
            </w:pPr>
          </w:p>
        </w:tc>
        <w:tc>
          <w:tcPr>
            <w:tcW w:w="0" w:type="auto"/>
            <w:shd w:val="clear" w:color="auto" w:fill="auto"/>
            <w:vAlign w:val="center"/>
          </w:tcPr>
          <w:p w14:paraId="64A88F7E"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8F7F"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8F80"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64A88F81"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8F82"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8F83" w14:textId="77777777" w:rsidR="008D6614" w:rsidRDefault="008D6614">
            <w:pPr>
              <w:rPr>
                <w:rFonts w:ascii="宋体"/>
              </w:rPr>
            </w:pPr>
          </w:p>
        </w:tc>
        <w:tc>
          <w:tcPr>
            <w:tcW w:w="0" w:type="auto"/>
            <w:shd w:val="clear" w:color="auto" w:fill="auto"/>
            <w:vAlign w:val="center"/>
          </w:tcPr>
          <w:p w14:paraId="64A88F84" w14:textId="77777777" w:rsidR="008D6614" w:rsidRDefault="008D6614">
            <w:pPr>
              <w:rPr>
                <w:rFonts w:ascii="宋体"/>
              </w:rPr>
            </w:pPr>
          </w:p>
        </w:tc>
        <w:tc>
          <w:tcPr>
            <w:tcW w:w="0" w:type="auto"/>
            <w:shd w:val="clear" w:color="auto" w:fill="auto"/>
            <w:vAlign w:val="center"/>
          </w:tcPr>
          <w:p w14:paraId="64A88F85" w14:textId="77777777" w:rsidR="008D6614" w:rsidRDefault="008D6614">
            <w:pPr>
              <w:rPr>
                <w:rFonts w:ascii="宋体"/>
              </w:rPr>
            </w:pPr>
          </w:p>
        </w:tc>
        <w:tc>
          <w:tcPr>
            <w:tcW w:w="0" w:type="auto"/>
            <w:shd w:val="clear" w:color="auto" w:fill="auto"/>
            <w:vAlign w:val="center"/>
          </w:tcPr>
          <w:p w14:paraId="64A88F86" w14:textId="77777777" w:rsidR="008D6614" w:rsidRDefault="008D6614">
            <w:pPr>
              <w:rPr>
                <w:rFonts w:ascii="宋体"/>
              </w:rPr>
            </w:pPr>
          </w:p>
        </w:tc>
        <w:tc>
          <w:tcPr>
            <w:tcW w:w="0" w:type="auto"/>
            <w:shd w:val="clear" w:color="auto" w:fill="auto"/>
            <w:vAlign w:val="center"/>
          </w:tcPr>
          <w:p w14:paraId="64A88F87" w14:textId="77777777" w:rsidR="008D6614" w:rsidRDefault="008D6614">
            <w:pPr>
              <w:rPr>
                <w:rFonts w:ascii="宋体"/>
              </w:rPr>
            </w:pPr>
          </w:p>
        </w:tc>
        <w:tc>
          <w:tcPr>
            <w:tcW w:w="0" w:type="auto"/>
            <w:shd w:val="clear" w:color="auto" w:fill="auto"/>
            <w:vAlign w:val="center"/>
          </w:tcPr>
          <w:p w14:paraId="64A88F88" w14:textId="77777777" w:rsidR="008D6614" w:rsidRDefault="008D6614">
            <w:pPr>
              <w:rPr>
                <w:rFonts w:ascii="宋体"/>
              </w:rPr>
            </w:pPr>
          </w:p>
        </w:tc>
      </w:tr>
      <w:tr w:rsidR="008D6614" w14:paraId="64A88F98" w14:textId="77777777">
        <w:tc>
          <w:tcPr>
            <w:tcW w:w="0" w:type="auto"/>
            <w:gridSpan w:val="3"/>
            <w:shd w:val="clear" w:color="auto" w:fill="FFFFFF"/>
            <w:tcMar>
              <w:top w:w="40" w:type="dxa"/>
              <w:left w:w="20" w:type="dxa"/>
              <w:bottom w:w="40" w:type="dxa"/>
              <w:right w:w="20" w:type="dxa"/>
            </w:tcMar>
            <w:vAlign w:val="bottom"/>
          </w:tcPr>
          <w:p w14:paraId="64A88F8A" w14:textId="77777777" w:rsidR="008D6614" w:rsidRDefault="00866AF2">
            <w:pPr>
              <w:textAlignment w:val="bottom"/>
            </w:pPr>
            <w:r>
              <w:rPr>
                <w:rFonts w:ascii="Arial" w:eastAsia="宋体" w:hAnsi="Arial" w:cs="Arial"/>
                <w:color w:val="000000"/>
                <w:sz w:val="18"/>
                <w:szCs w:val="18"/>
              </w:rPr>
              <w:t>Numerator:</w:t>
            </w:r>
          </w:p>
        </w:tc>
        <w:tc>
          <w:tcPr>
            <w:tcW w:w="0" w:type="auto"/>
            <w:shd w:val="clear" w:color="auto" w:fill="auto"/>
            <w:vAlign w:val="center"/>
          </w:tcPr>
          <w:p w14:paraId="64A88F8B" w14:textId="77777777" w:rsidR="008D6614" w:rsidRDefault="008D6614">
            <w:pPr>
              <w:rPr>
                <w:rFonts w:ascii="宋体"/>
                <w:vanish/>
              </w:rPr>
            </w:pPr>
          </w:p>
        </w:tc>
        <w:tc>
          <w:tcPr>
            <w:tcW w:w="0" w:type="auto"/>
            <w:shd w:val="clear" w:color="auto" w:fill="auto"/>
            <w:vAlign w:val="center"/>
          </w:tcPr>
          <w:p w14:paraId="64A88F8C" w14:textId="77777777" w:rsidR="008D6614" w:rsidRDefault="008D6614">
            <w:pPr>
              <w:rPr>
                <w:rFonts w:ascii="宋体"/>
                <w:vanish/>
              </w:rPr>
            </w:pPr>
          </w:p>
        </w:tc>
        <w:tc>
          <w:tcPr>
            <w:tcW w:w="0" w:type="auto"/>
            <w:shd w:val="clear" w:color="auto" w:fill="auto"/>
            <w:vAlign w:val="center"/>
          </w:tcPr>
          <w:p w14:paraId="64A88F8D"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F8E"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F8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F90"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8F91" w14:textId="77777777" w:rsidR="008D6614" w:rsidRDefault="008D6614">
            <w:pPr>
              <w:rPr>
                <w:rFonts w:ascii="宋体"/>
              </w:rPr>
            </w:pPr>
          </w:p>
        </w:tc>
        <w:tc>
          <w:tcPr>
            <w:tcW w:w="0" w:type="auto"/>
            <w:shd w:val="clear" w:color="auto" w:fill="auto"/>
            <w:vAlign w:val="center"/>
          </w:tcPr>
          <w:p w14:paraId="64A88F92" w14:textId="77777777" w:rsidR="008D6614" w:rsidRDefault="008D6614">
            <w:pPr>
              <w:rPr>
                <w:rFonts w:ascii="宋体"/>
              </w:rPr>
            </w:pPr>
          </w:p>
        </w:tc>
        <w:tc>
          <w:tcPr>
            <w:tcW w:w="0" w:type="auto"/>
            <w:shd w:val="clear" w:color="auto" w:fill="auto"/>
            <w:vAlign w:val="center"/>
          </w:tcPr>
          <w:p w14:paraId="64A88F93" w14:textId="77777777" w:rsidR="008D6614" w:rsidRDefault="008D6614">
            <w:pPr>
              <w:rPr>
                <w:rFonts w:ascii="宋体"/>
              </w:rPr>
            </w:pPr>
          </w:p>
        </w:tc>
        <w:tc>
          <w:tcPr>
            <w:tcW w:w="0" w:type="auto"/>
            <w:shd w:val="clear" w:color="auto" w:fill="auto"/>
            <w:vAlign w:val="center"/>
          </w:tcPr>
          <w:p w14:paraId="64A88F94" w14:textId="77777777" w:rsidR="008D6614" w:rsidRDefault="008D6614">
            <w:pPr>
              <w:rPr>
                <w:rFonts w:ascii="宋体"/>
              </w:rPr>
            </w:pPr>
          </w:p>
        </w:tc>
        <w:tc>
          <w:tcPr>
            <w:tcW w:w="0" w:type="auto"/>
            <w:shd w:val="clear" w:color="auto" w:fill="auto"/>
            <w:vAlign w:val="center"/>
          </w:tcPr>
          <w:p w14:paraId="64A88F95" w14:textId="77777777" w:rsidR="008D6614" w:rsidRDefault="008D6614">
            <w:pPr>
              <w:rPr>
                <w:rFonts w:ascii="宋体"/>
              </w:rPr>
            </w:pPr>
          </w:p>
        </w:tc>
        <w:tc>
          <w:tcPr>
            <w:tcW w:w="0" w:type="auto"/>
            <w:shd w:val="clear" w:color="auto" w:fill="auto"/>
            <w:vAlign w:val="center"/>
          </w:tcPr>
          <w:p w14:paraId="64A88F96" w14:textId="77777777" w:rsidR="008D6614" w:rsidRDefault="008D6614">
            <w:pPr>
              <w:rPr>
                <w:rFonts w:ascii="宋体"/>
              </w:rPr>
            </w:pPr>
          </w:p>
        </w:tc>
        <w:tc>
          <w:tcPr>
            <w:tcW w:w="0" w:type="auto"/>
            <w:shd w:val="clear" w:color="auto" w:fill="auto"/>
            <w:vAlign w:val="center"/>
          </w:tcPr>
          <w:p w14:paraId="64A88F97" w14:textId="77777777" w:rsidR="008D6614" w:rsidRDefault="008D6614">
            <w:pPr>
              <w:rPr>
                <w:rFonts w:ascii="宋体"/>
              </w:rPr>
            </w:pPr>
          </w:p>
        </w:tc>
      </w:tr>
      <w:tr w:rsidR="008D6614" w14:paraId="64A88FAB" w14:textId="77777777">
        <w:tc>
          <w:tcPr>
            <w:tcW w:w="0" w:type="auto"/>
            <w:gridSpan w:val="3"/>
            <w:shd w:val="clear" w:color="auto" w:fill="E2E2E2"/>
            <w:tcMar>
              <w:top w:w="40" w:type="dxa"/>
              <w:left w:w="495" w:type="dxa"/>
              <w:bottom w:w="40" w:type="dxa"/>
              <w:right w:w="20" w:type="dxa"/>
            </w:tcMar>
            <w:vAlign w:val="bottom"/>
          </w:tcPr>
          <w:p w14:paraId="64A88F99" w14:textId="77777777" w:rsidR="008D6614" w:rsidRDefault="00866AF2">
            <w:pPr>
              <w:textAlignment w:val="bottom"/>
            </w:pPr>
            <w:r>
              <w:rPr>
                <w:rFonts w:ascii="Arial" w:eastAsia="宋体" w:hAnsi="Arial" w:cs="Arial"/>
                <w:color w:val="000000"/>
                <w:sz w:val="18"/>
                <w:szCs w:val="18"/>
              </w:rPr>
              <w:t>Income from continuing operations</w:t>
            </w:r>
          </w:p>
        </w:tc>
        <w:tc>
          <w:tcPr>
            <w:tcW w:w="0" w:type="auto"/>
            <w:shd w:val="clear" w:color="auto" w:fill="auto"/>
            <w:vAlign w:val="center"/>
          </w:tcPr>
          <w:p w14:paraId="64A88F9A" w14:textId="77777777" w:rsidR="008D6614" w:rsidRDefault="008D6614">
            <w:pPr>
              <w:rPr>
                <w:rFonts w:ascii="宋体"/>
                <w:vanish/>
              </w:rPr>
            </w:pPr>
          </w:p>
        </w:tc>
        <w:tc>
          <w:tcPr>
            <w:tcW w:w="0" w:type="auto"/>
            <w:shd w:val="clear" w:color="auto" w:fill="auto"/>
            <w:vAlign w:val="center"/>
          </w:tcPr>
          <w:p w14:paraId="64A88F9B" w14:textId="77777777" w:rsidR="008D6614" w:rsidRDefault="008D6614">
            <w:pPr>
              <w:rPr>
                <w:rFonts w:ascii="宋体"/>
                <w:vanish/>
              </w:rPr>
            </w:pPr>
          </w:p>
        </w:tc>
        <w:tc>
          <w:tcPr>
            <w:tcW w:w="0" w:type="auto"/>
            <w:shd w:val="clear" w:color="auto" w:fill="auto"/>
            <w:vAlign w:val="center"/>
          </w:tcPr>
          <w:p w14:paraId="64A88F9C"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F9D"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8F9E"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F9F" w14:textId="77777777" w:rsidR="008D6614" w:rsidRDefault="00866AF2">
            <w:pPr>
              <w:jc w:val="right"/>
              <w:textAlignment w:val="bottom"/>
            </w:pPr>
            <w:r>
              <w:rPr>
                <w:rFonts w:ascii="Arial" w:eastAsia="宋体" w:hAnsi="Arial" w:cs="Arial"/>
                <w:color w:val="000000"/>
                <w:sz w:val="18"/>
                <w:szCs w:val="18"/>
              </w:rPr>
              <w:t>485 </w:t>
            </w:r>
          </w:p>
        </w:tc>
        <w:tc>
          <w:tcPr>
            <w:tcW w:w="0" w:type="auto"/>
            <w:shd w:val="clear" w:color="auto" w:fill="E2E2E2"/>
            <w:tcMar>
              <w:top w:w="40" w:type="dxa"/>
              <w:bottom w:w="40" w:type="dxa"/>
              <w:right w:w="20" w:type="dxa"/>
            </w:tcMar>
            <w:vAlign w:val="bottom"/>
          </w:tcPr>
          <w:p w14:paraId="64A88FA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FA1"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8FA2"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8FA3" w14:textId="77777777" w:rsidR="008D6614" w:rsidRDefault="00866AF2">
            <w:pPr>
              <w:jc w:val="right"/>
              <w:textAlignment w:val="bottom"/>
            </w:pPr>
            <w:r>
              <w:rPr>
                <w:rFonts w:ascii="Arial" w:eastAsia="宋体" w:hAnsi="Arial" w:cs="Arial"/>
                <w:color w:val="000000"/>
                <w:sz w:val="18"/>
                <w:szCs w:val="18"/>
              </w:rPr>
              <w:t>516 </w:t>
            </w:r>
          </w:p>
        </w:tc>
        <w:tc>
          <w:tcPr>
            <w:tcW w:w="0" w:type="auto"/>
            <w:shd w:val="clear" w:color="auto" w:fill="E2E2E2"/>
            <w:tcMar>
              <w:top w:w="40" w:type="dxa"/>
              <w:bottom w:w="40" w:type="dxa"/>
              <w:right w:w="20" w:type="dxa"/>
            </w:tcMar>
            <w:vAlign w:val="bottom"/>
          </w:tcPr>
          <w:p w14:paraId="64A88FA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FA5" w14:textId="77777777" w:rsidR="008D6614" w:rsidRDefault="008D6614">
            <w:pPr>
              <w:rPr>
                <w:rFonts w:ascii="宋体"/>
              </w:rPr>
            </w:pPr>
          </w:p>
        </w:tc>
        <w:tc>
          <w:tcPr>
            <w:tcW w:w="0" w:type="auto"/>
            <w:shd w:val="clear" w:color="auto" w:fill="auto"/>
            <w:vAlign w:val="center"/>
          </w:tcPr>
          <w:p w14:paraId="64A88FA6" w14:textId="77777777" w:rsidR="008D6614" w:rsidRDefault="008D6614">
            <w:pPr>
              <w:rPr>
                <w:rFonts w:ascii="宋体"/>
              </w:rPr>
            </w:pPr>
          </w:p>
        </w:tc>
        <w:tc>
          <w:tcPr>
            <w:tcW w:w="0" w:type="auto"/>
            <w:shd w:val="clear" w:color="auto" w:fill="auto"/>
            <w:vAlign w:val="center"/>
          </w:tcPr>
          <w:p w14:paraId="64A88FA7" w14:textId="77777777" w:rsidR="008D6614" w:rsidRDefault="008D6614">
            <w:pPr>
              <w:rPr>
                <w:rFonts w:ascii="宋体"/>
              </w:rPr>
            </w:pPr>
          </w:p>
        </w:tc>
        <w:tc>
          <w:tcPr>
            <w:tcW w:w="0" w:type="auto"/>
            <w:shd w:val="clear" w:color="auto" w:fill="auto"/>
            <w:vAlign w:val="center"/>
          </w:tcPr>
          <w:p w14:paraId="64A88FA8" w14:textId="77777777" w:rsidR="008D6614" w:rsidRDefault="008D6614">
            <w:pPr>
              <w:rPr>
                <w:rFonts w:ascii="宋体"/>
              </w:rPr>
            </w:pPr>
          </w:p>
        </w:tc>
        <w:tc>
          <w:tcPr>
            <w:tcW w:w="0" w:type="auto"/>
            <w:shd w:val="clear" w:color="auto" w:fill="auto"/>
            <w:vAlign w:val="center"/>
          </w:tcPr>
          <w:p w14:paraId="64A88FA9" w14:textId="77777777" w:rsidR="008D6614" w:rsidRDefault="008D6614">
            <w:pPr>
              <w:rPr>
                <w:rFonts w:ascii="宋体"/>
              </w:rPr>
            </w:pPr>
          </w:p>
        </w:tc>
        <w:tc>
          <w:tcPr>
            <w:tcW w:w="0" w:type="auto"/>
            <w:shd w:val="clear" w:color="auto" w:fill="auto"/>
            <w:vAlign w:val="center"/>
          </w:tcPr>
          <w:p w14:paraId="64A88FAA" w14:textId="77777777" w:rsidR="008D6614" w:rsidRDefault="008D6614">
            <w:pPr>
              <w:rPr>
                <w:rFonts w:ascii="宋体"/>
              </w:rPr>
            </w:pPr>
          </w:p>
        </w:tc>
      </w:tr>
      <w:tr w:rsidR="008D6614" w14:paraId="64A88FBC" w14:textId="77777777">
        <w:tc>
          <w:tcPr>
            <w:tcW w:w="0" w:type="auto"/>
            <w:gridSpan w:val="3"/>
            <w:shd w:val="clear" w:color="auto" w:fill="FFFFFF"/>
            <w:tcMar>
              <w:top w:w="40" w:type="dxa"/>
              <w:left w:w="495" w:type="dxa"/>
              <w:bottom w:w="40" w:type="dxa"/>
              <w:right w:w="20" w:type="dxa"/>
            </w:tcMar>
            <w:vAlign w:val="bottom"/>
          </w:tcPr>
          <w:p w14:paraId="64A88FAC" w14:textId="77777777" w:rsidR="008D6614" w:rsidRDefault="00866AF2">
            <w:pPr>
              <w:textAlignment w:val="bottom"/>
            </w:pPr>
            <w:r>
              <w:rPr>
                <w:rFonts w:ascii="Arial" w:eastAsia="宋体" w:hAnsi="Arial" w:cs="Arial"/>
                <w:color w:val="000000"/>
                <w:sz w:val="18"/>
                <w:szCs w:val="18"/>
              </w:rPr>
              <w:t xml:space="preserve">Income </w:t>
            </w:r>
            <w:r>
              <w:rPr>
                <w:rFonts w:ascii="Arial" w:eastAsia="宋体" w:hAnsi="Arial" w:cs="Arial"/>
                <w:color w:val="000000"/>
                <w:sz w:val="18"/>
                <w:szCs w:val="18"/>
              </w:rPr>
              <w:t>from discontinued operations, net of income taxes</w:t>
            </w:r>
          </w:p>
        </w:tc>
        <w:tc>
          <w:tcPr>
            <w:tcW w:w="0" w:type="auto"/>
            <w:shd w:val="clear" w:color="auto" w:fill="auto"/>
            <w:vAlign w:val="center"/>
          </w:tcPr>
          <w:p w14:paraId="64A88FAD" w14:textId="77777777" w:rsidR="008D6614" w:rsidRDefault="008D6614">
            <w:pPr>
              <w:rPr>
                <w:rFonts w:ascii="宋体"/>
                <w:vanish/>
              </w:rPr>
            </w:pPr>
          </w:p>
        </w:tc>
        <w:tc>
          <w:tcPr>
            <w:tcW w:w="0" w:type="auto"/>
            <w:shd w:val="clear" w:color="auto" w:fill="auto"/>
            <w:vAlign w:val="center"/>
          </w:tcPr>
          <w:p w14:paraId="64A88FAE" w14:textId="77777777" w:rsidR="008D6614" w:rsidRDefault="008D6614">
            <w:pPr>
              <w:rPr>
                <w:rFonts w:ascii="宋体"/>
                <w:vanish/>
              </w:rPr>
            </w:pPr>
          </w:p>
        </w:tc>
        <w:tc>
          <w:tcPr>
            <w:tcW w:w="0" w:type="auto"/>
            <w:shd w:val="clear" w:color="auto" w:fill="auto"/>
            <w:vAlign w:val="center"/>
          </w:tcPr>
          <w:p w14:paraId="64A88FAF"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FB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FB1" w14:textId="77777777" w:rsidR="008D6614" w:rsidRDefault="00866AF2">
            <w:pPr>
              <w:jc w:val="right"/>
              <w:textAlignment w:val="bottom"/>
            </w:pPr>
            <w:r>
              <w:rPr>
                <w:rFonts w:ascii="Arial" w:eastAsia="宋体" w:hAnsi="Arial" w:cs="Arial"/>
                <w:color w:val="000000"/>
                <w:sz w:val="18"/>
                <w:szCs w:val="18"/>
              </w:rPr>
              <w:t>2,927 </w:t>
            </w:r>
          </w:p>
        </w:tc>
        <w:tc>
          <w:tcPr>
            <w:tcW w:w="0" w:type="auto"/>
            <w:shd w:val="clear" w:color="auto" w:fill="FFFFFF"/>
            <w:tcMar>
              <w:top w:w="40" w:type="dxa"/>
              <w:bottom w:w="40" w:type="dxa"/>
              <w:right w:w="20" w:type="dxa"/>
            </w:tcMar>
            <w:vAlign w:val="bottom"/>
          </w:tcPr>
          <w:p w14:paraId="64A88FB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FB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FB4"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8FB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FB6" w14:textId="77777777" w:rsidR="008D6614" w:rsidRDefault="008D6614">
            <w:pPr>
              <w:rPr>
                <w:rFonts w:ascii="宋体"/>
              </w:rPr>
            </w:pPr>
          </w:p>
        </w:tc>
        <w:tc>
          <w:tcPr>
            <w:tcW w:w="0" w:type="auto"/>
            <w:shd w:val="clear" w:color="auto" w:fill="auto"/>
            <w:vAlign w:val="center"/>
          </w:tcPr>
          <w:p w14:paraId="64A88FB7" w14:textId="77777777" w:rsidR="008D6614" w:rsidRDefault="008D6614">
            <w:pPr>
              <w:rPr>
                <w:rFonts w:ascii="宋体"/>
              </w:rPr>
            </w:pPr>
          </w:p>
        </w:tc>
        <w:tc>
          <w:tcPr>
            <w:tcW w:w="0" w:type="auto"/>
            <w:shd w:val="clear" w:color="auto" w:fill="auto"/>
            <w:vAlign w:val="center"/>
          </w:tcPr>
          <w:p w14:paraId="64A88FB8" w14:textId="77777777" w:rsidR="008D6614" w:rsidRDefault="008D6614">
            <w:pPr>
              <w:rPr>
                <w:rFonts w:ascii="宋体"/>
              </w:rPr>
            </w:pPr>
          </w:p>
        </w:tc>
        <w:tc>
          <w:tcPr>
            <w:tcW w:w="0" w:type="auto"/>
            <w:shd w:val="clear" w:color="auto" w:fill="auto"/>
            <w:vAlign w:val="center"/>
          </w:tcPr>
          <w:p w14:paraId="64A88FB9" w14:textId="77777777" w:rsidR="008D6614" w:rsidRDefault="008D6614">
            <w:pPr>
              <w:rPr>
                <w:rFonts w:ascii="宋体"/>
              </w:rPr>
            </w:pPr>
          </w:p>
        </w:tc>
        <w:tc>
          <w:tcPr>
            <w:tcW w:w="0" w:type="auto"/>
            <w:shd w:val="clear" w:color="auto" w:fill="auto"/>
            <w:vAlign w:val="center"/>
          </w:tcPr>
          <w:p w14:paraId="64A88FBA" w14:textId="77777777" w:rsidR="008D6614" w:rsidRDefault="008D6614">
            <w:pPr>
              <w:rPr>
                <w:rFonts w:ascii="宋体"/>
              </w:rPr>
            </w:pPr>
          </w:p>
        </w:tc>
        <w:tc>
          <w:tcPr>
            <w:tcW w:w="0" w:type="auto"/>
            <w:shd w:val="clear" w:color="auto" w:fill="auto"/>
            <w:vAlign w:val="center"/>
          </w:tcPr>
          <w:p w14:paraId="64A88FBB" w14:textId="77777777" w:rsidR="008D6614" w:rsidRDefault="008D6614">
            <w:pPr>
              <w:rPr>
                <w:rFonts w:ascii="宋体"/>
              </w:rPr>
            </w:pPr>
          </w:p>
        </w:tc>
      </w:tr>
      <w:tr w:rsidR="008D6614" w14:paraId="64A88FCF" w14:textId="77777777">
        <w:tc>
          <w:tcPr>
            <w:tcW w:w="0" w:type="auto"/>
            <w:gridSpan w:val="3"/>
            <w:shd w:val="clear" w:color="auto" w:fill="E2E2E2"/>
            <w:tcMar>
              <w:top w:w="40" w:type="dxa"/>
              <w:left w:w="20" w:type="dxa"/>
              <w:bottom w:w="40" w:type="dxa"/>
              <w:right w:w="20" w:type="dxa"/>
            </w:tcMar>
            <w:vAlign w:val="bottom"/>
          </w:tcPr>
          <w:p w14:paraId="64A88FBD" w14:textId="77777777" w:rsidR="008D6614" w:rsidRDefault="00866AF2">
            <w:pPr>
              <w:textAlignment w:val="bottom"/>
            </w:pPr>
            <w:r>
              <w:rPr>
                <w:rFonts w:ascii="Arial" w:eastAsia="宋体" w:hAnsi="Arial" w:cs="Arial"/>
                <w:color w:val="000000"/>
                <w:sz w:val="18"/>
                <w:szCs w:val="18"/>
              </w:rPr>
              <w:t>Net income</w:t>
            </w:r>
          </w:p>
        </w:tc>
        <w:tc>
          <w:tcPr>
            <w:tcW w:w="0" w:type="auto"/>
            <w:shd w:val="clear" w:color="auto" w:fill="auto"/>
            <w:vAlign w:val="center"/>
          </w:tcPr>
          <w:p w14:paraId="64A88FBE" w14:textId="77777777" w:rsidR="008D6614" w:rsidRDefault="008D6614">
            <w:pPr>
              <w:rPr>
                <w:rFonts w:ascii="宋体"/>
                <w:vanish/>
              </w:rPr>
            </w:pPr>
          </w:p>
        </w:tc>
        <w:tc>
          <w:tcPr>
            <w:tcW w:w="0" w:type="auto"/>
            <w:shd w:val="clear" w:color="auto" w:fill="auto"/>
            <w:vAlign w:val="center"/>
          </w:tcPr>
          <w:p w14:paraId="64A88FBF" w14:textId="77777777" w:rsidR="008D6614" w:rsidRDefault="008D6614">
            <w:pPr>
              <w:rPr>
                <w:rFonts w:ascii="宋体"/>
                <w:vanish/>
              </w:rPr>
            </w:pPr>
          </w:p>
        </w:tc>
        <w:tc>
          <w:tcPr>
            <w:tcW w:w="0" w:type="auto"/>
            <w:shd w:val="clear" w:color="auto" w:fill="auto"/>
            <w:vAlign w:val="center"/>
          </w:tcPr>
          <w:p w14:paraId="64A88FC0"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FC1"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8FC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8FC3" w14:textId="77777777" w:rsidR="008D6614" w:rsidRDefault="00866AF2">
            <w:pPr>
              <w:jc w:val="right"/>
              <w:textAlignment w:val="bottom"/>
            </w:pPr>
            <w:r>
              <w:rPr>
                <w:rFonts w:ascii="Arial" w:eastAsia="宋体" w:hAnsi="Arial" w:cs="Arial"/>
                <w:color w:val="000000"/>
                <w:sz w:val="18"/>
                <w:szCs w:val="18"/>
              </w:rPr>
              <w:t>3,412 </w:t>
            </w:r>
          </w:p>
        </w:tc>
        <w:tc>
          <w:tcPr>
            <w:tcW w:w="0" w:type="auto"/>
            <w:tcBorders>
              <w:top w:val="single" w:sz="8" w:space="0" w:color="000000"/>
            </w:tcBorders>
            <w:shd w:val="clear" w:color="auto" w:fill="E2E2E2"/>
            <w:tcMar>
              <w:top w:w="40" w:type="dxa"/>
              <w:bottom w:w="40" w:type="dxa"/>
              <w:right w:w="20" w:type="dxa"/>
            </w:tcMar>
            <w:vAlign w:val="bottom"/>
          </w:tcPr>
          <w:p w14:paraId="64A88FC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FC5"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8FC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8FC7" w14:textId="77777777" w:rsidR="008D6614" w:rsidRDefault="00866AF2">
            <w:pPr>
              <w:jc w:val="right"/>
              <w:textAlignment w:val="bottom"/>
            </w:pPr>
            <w:r>
              <w:rPr>
                <w:rFonts w:ascii="Arial" w:eastAsia="宋体" w:hAnsi="Arial" w:cs="Arial"/>
                <w:color w:val="000000"/>
                <w:sz w:val="18"/>
                <w:szCs w:val="18"/>
              </w:rPr>
              <w:t>518 </w:t>
            </w:r>
          </w:p>
        </w:tc>
        <w:tc>
          <w:tcPr>
            <w:tcW w:w="0" w:type="auto"/>
            <w:tcBorders>
              <w:top w:val="single" w:sz="8" w:space="0" w:color="000000"/>
            </w:tcBorders>
            <w:shd w:val="clear" w:color="auto" w:fill="E2E2E2"/>
            <w:tcMar>
              <w:top w:w="40" w:type="dxa"/>
              <w:bottom w:w="40" w:type="dxa"/>
              <w:right w:w="20" w:type="dxa"/>
            </w:tcMar>
            <w:vAlign w:val="bottom"/>
          </w:tcPr>
          <w:p w14:paraId="64A88FC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FC9" w14:textId="77777777" w:rsidR="008D6614" w:rsidRDefault="008D6614">
            <w:pPr>
              <w:rPr>
                <w:rFonts w:ascii="宋体"/>
              </w:rPr>
            </w:pPr>
          </w:p>
        </w:tc>
        <w:tc>
          <w:tcPr>
            <w:tcW w:w="0" w:type="auto"/>
            <w:shd w:val="clear" w:color="auto" w:fill="auto"/>
            <w:vAlign w:val="center"/>
          </w:tcPr>
          <w:p w14:paraId="64A88FCA" w14:textId="77777777" w:rsidR="008D6614" w:rsidRDefault="008D6614">
            <w:pPr>
              <w:rPr>
                <w:rFonts w:ascii="宋体"/>
              </w:rPr>
            </w:pPr>
          </w:p>
        </w:tc>
        <w:tc>
          <w:tcPr>
            <w:tcW w:w="0" w:type="auto"/>
            <w:shd w:val="clear" w:color="auto" w:fill="auto"/>
            <w:vAlign w:val="center"/>
          </w:tcPr>
          <w:p w14:paraId="64A88FCB" w14:textId="77777777" w:rsidR="008D6614" w:rsidRDefault="008D6614">
            <w:pPr>
              <w:rPr>
                <w:rFonts w:ascii="宋体"/>
              </w:rPr>
            </w:pPr>
          </w:p>
        </w:tc>
        <w:tc>
          <w:tcPr>
            <w:tcW w:w="0" w:type="auto"/>
            <w:shd w:val="clear" w:color="auto" w:fill="auto"/>
            <w:vAlign w:val="center"/>
          </w:tcPr>
          <w:p w14:paraId="64A88FCC" w14:textId="77777777" w:rsidR="008D6614" w:rsidRDefault="008D6614">
            <w:pPr>
              <w:rPr>
                <w:rFonts w:ascii="宋体"/>
              </w:rPr>
            </w:pPr>
          </w:p>
        </w:tc>
        <w:tc>
          <w:tcPr>
            <w:tcW w:w="0" w:type="auto"/>
            <w:shd w:val="clear" w:color="auto" w:fill="auto"/>
            <w:vAlign w:val="center"/>
          </w:tcPr>
          <w:p w14:paraId="64A88FCD" w14:textId="77777777" w:rsidR="008D6614" w:rsidRDefault="008D6614">
            <w:pPr>
              <w:rPr>
                <w:rFonts w:ascii="宋体"/>
              </w:rPr>
            </w:pPr>
          </w:p>
        </w:tc>
        <w:tc>
          <w:tcPr>
            <w:tcW w:w="0" w:type="auto"/>
            <w:shd w:val="clear" w:color="auto" w:fill="auto"/>
            <w:vAlign w:val="center"/>
          </w:tcPr>
          <w:p w14:paraId="64A88FCE" w14:textId="77777777" w:rsidR="008D6614" w:rsidRDefault="008D6614">
            <w:pPr>
              <w:rPr>
                <w:rFonts w:ascii="宋体"/>
              </w:rPr>
            </w:pPr>
          </w:p>
        </w:tc>
      </w:tr>
      <w:tr w:rsidR="008D6614" w14:paraId="64A88FDE" w14:textId="77777777">
        <w:tc>
          <w:tcPr>
            <w:tcW w:w="0" w:type="auto"/>
            <w:gridSpan w:val="3"/>
            <w:shd w:val="clear" w:color="auto" w:fill="FFFFFF"/>
            <w:tcMar>
              <w:top w:w="40" w:type="dxa"/>
              <w:left w:w="20" w:type="dxa"/>
              <w:bottom w:w="40" w:type="dxa"/>
              <w:right w:w="20" w:type="dxa"/>
            </w:tcMar>
            <w:vAlign w:val="bottom"/>
          </w:tcPr>
          <w:p w14:paraId="64A88FD0" w14:textId="77777777" w:rsidR="008D6614" w:rsidRDefault="00866AF2">
            <w:pPr>
              <w:textAlignment w:val="bottom"/>
            </w:pPr>
            <w:r>
              <w:rPr>
                <w:rFonts w:ascii="Arial" w:eastAsia="宋体" w:hAnsi="Arial" w:cs="Arial"/>
                <w:color w:val="000000"/>
                <w:sz w:val="18"/>
                <w:szCs w:val="18"/>
              </w:rPr>
              <w:t>Denominator:</w:t>
            </w:r>
          </w:p>
        </w:tc>
        <w:tc>
          <w:tcPr>
            <w:tcW w:w="0" w:type="auto"/>
            <w:shd w:val="clear" w:color="auto" w:fill="auto"/>
            <w:vAlign w:val="center"/>
          </w:tcPr>
          <w:p w14:paraId="64A88FD1" w14:textId="77777777" w:rsidR="008D6614" w:rsidRDefault="008D6614">
            <w:pPr>
              <w:rPr>
                <w:rFonts w:ascii="宋体"/>
                <w:vanish/>
              </w:rPr>
            </w:pPr>
          </w:p>
        </w:tc>
        <w:tc>
          <w:tcPr>
            <w:tcW w:w="0" w:type="auto"/>
            <w:shd w:val="clear" w:color="auto" w:fill="auto"/>
            <w:vAlign w:val="center"/>
          </w:tcPr>
          <w:p w14:paraId="64A88FD2" w14:textId="77777777" w:rsidR="008D6614" w:rsidRDefault="008D6614">
            <w:pPr>
              <w:rPr>
                <w:rFonts w:ascii="宋体"/>
                <w:vanish/>
              </w:rPr>
            </w:pPr>
          </w:p>
        </w:tc>
        <w:tc>
          <w:tcPr>
            <w:tcW w:w="0" w:type="auto"/>
            <w:shd w:val="clear" w:color="auto" w:fill="auto"/>
            <w:vAlign w:val="center"/>
          </w:tcPr>
          <w:p w14:paraId="64A88FD3"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FD4"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8FD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8FD6"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8FD7" w14:textId="77777777" w:rsidR="008D6614" w:rsidRDefault="008D6614">
            <w:pPr>
              <w:rPr>
                <w:rFonts w:ascii="宋体"/>
              </w:rPr>
            </w:pPr>
          </w:p>
        </w:tc>
        <w:tc>
          <w:tcPr>
            <w:tcW w:w="0" w:type="auto"/>
            <w:shd w:val="clear" w:color="auto" w:fill="auto"/>
            <w:vAlign w:val="center"/>
          </w:tcPr>
          <w:p w14:paraId="64A88FD8" w14:textId="77777777" w:rsidR="008D6614" w:rsidRDefault="008D6614">
            <w:pPr>
              <w:rPr>
                <w:rFonts w:ascii="宋体"/>
              </w:rPr>
            </w:pPr>
          </w:p>
        </w:tc>
        <w:tc>
          <w:tcPr>
            <w:tcW w:w="0" w:type="auto"/>
            <w:shd w:val="clear" w:color="auto" w:fill="auto"/>
            <w:vAlign w:val="center"/>
          </w:tcPr>
          <w:p w14:paraId="64A88FD9" w14:textId="77777777" w:rsidR="008D6614" w:rsidRDefault="008D6614">
            <w:pPr>
              <w:rPr>
                <w:rFonts w:ascii="宋体"/>
              </w:rPr>
            </w:pPr>
          </w:p>
        </w:tc>
        <w:tc>
          <w:tcPr>
            <w:tcW w:w="0" w:type="auto"/>
            <w:shd w:val="clear" w:color="auto" w:fill="auto"/>
            <w:vAlign w:val="center"/>
          </w:tcPr>
          <w:p w14:paraId="64A88FDA" w14:textId="77777777" w:rsidR="008D6614" w:rsidRDefault="008D6614">
            <w:pPr>
              <w:rPr>
                <w:rFonts w:ascii="宋体"/>
              </w:rPr>
            </w:pPr>
          </w:p>
        </w:tc>
        <w:tc>
          <w:tcPr>
            <w:tcW w:w="0" w:type="auto"/>
            <w:shd w:val="clear" w:color="auto" w:fill="auto"/>
            <w:vAlign w:val="center"/>
          </w:tcPr>
          <w:p w14:paraId="64A88FDB" w14:textId="77777777" w:rsidR="008D6614" w:rsidRDefault="008D6614">
            <w:pPr>
              <w:rPr>
                <w:rFonts w:ascii="宋体"/>
              </w:rPr>
            </w:pPr>
          </w:p>
        </w:tc>
        <w:tc>
          <w:tcPr>
            <w:tcW w:w="0" w:type="auto"/>
            <w:shd w:val="clear" w:color="auto" w:fill="auto"/>
            <w:vAlign w:val="center"/>
          </w:tcPr>
          <w:p w14:paraId="64A88FDC" w14:textId="77777777" w:rsidR="008D6614" w:rsidRDefault="008D6614">
            <w:pPr>
              <w:rPr>
                <w:rFonts w:ascii="宋体"/>
              </w:rPr>
            </w:pPr>
          </w:p>
        </w:tc>
        <w:tc>
          <w:tcPr>
            <w:tcW w:w="0" w:type="auto"/>
            <w:shd w:val="clear" w:color="auto" w:fill="auto"/>
            <w:vAlign w:val="center"/>
          </w:tcPr>
          <w:p w14:paraId="64A88FDD" w14:textId="77777777" w:rsidR="008D6614" w:rsidRDefault="008D6614">
            <w:pPr>
              <w:rPr>
                <w:rFonts w:ascii="宋体"/>
              </w:rPr>
            </w:pPr>
          </w:p>
        </w:tc>
      </w:tr>
      <w:tr w:rsidR="008D6614" w14:paraId="64A88FEF" w14:textId="77777777">
        <w:tc>
          <w:tcPr>
            <w:tcW w:w="0" w:type="auto"/>
            <w:gridSpan w:val="3"/>
            <w:shd w:val="clear" w:color="auto" w:fill="E2E2E2"/>
            <w:tcMar>
              <w:top w:w="40" w:type="dxa"/>
              <w:left w:w="495" w:type="dxa"/>
              <w:bottom w:w="40" w:type="dxa"/>
              <w:right w:w="20" w:type="dxa"/>
            </w:tcMar>
            <w:vAlign w:val="bottom"/>
          </w:tcPr>
          <w:p w14:paraId="64A88FDF" w14:textId="77777777" w:rsidR="008D6614" w:rsidRDefault="00866AF2">
            <w:pPr>
              <w:textAlignment w:val="bottom"/>
            </w:pPr>
            <w:r>
              <w:rPr>
                <w:rFonts w:ascii="Arial" w:eastAsia="宋体" w:hAnsi="Arial" w:cs="Arial"/>
                <w:color w:val="000000"/>
                <w:sz w:val="18"/>
                <w:szCs w:val="18"/>
              </w:rPr>
              <w:t>Weighted average shares of common stock - basic</w:t>
            </w:r>
          </w:p>
        </w:tc>
        <w:tc>
          <w:tcPr>
            <w:tcW w:w="0" w:type="auto"/>
            <w:shd w:val="clear" w:color="auto" w:fill="auto"/>
            <w:vAlign w:val="center"/>
          </w:tcPr>
          <w:p w14:paraId="64A88FE0" w14:textId="77777777" w:rsidR="008D6614" w:rsidRDefault="008D6614">
            <w:pPr>
              <w:rPr>
                <w:rFonts w:ascii="宋体"/>
                <w:vanish/>
              </w:rPr>
            </w:pPr>
          </w:p>
        </w:tc>
        <w:tc>
          <w:tcPr>
            <w:tcW w:w="0" w:type="auto"/>
            <w:shd w:val="clear" w:color="auto" w:fill="auto"/>
            <w:vAlign w:val="center"/>
          </w:tcPr>
          <w:p w14:paraId="64A88FE1" w14:textId="77777777" w:rsidR="008D6614" w:rsidRDefault="008D6614">
            <w:pPr>
              <w:rPr>
                <w:rFonts w:ascii="宋体"/>
                <w:vanish/>
              </w:rPr>
            </w:pPr>
          </w:p>
        </w:tc>
        <w:tc>
          <w:tcPr>
            <w:tcW w:w="0" w:type="auto"/>
            <w:shd w:val="clear" w:color="auto" w:fill="auto"/>
            <w:vAlign w:val="center"/>
          </w:tcPr>
          <w:p w14:paraId="64A88FE2"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8FE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FE4" w14:textId="77777777" w:rsidR="008D6614" w:rsidRDefault="00866AF2">
            <w:pPr>
              <w:jc w:val="right"/>
              <w:textAlignment w:val="bottom"/>
            </w:pPr>
            <w:r>
              <w:rPr>
                <w:rFonts w:ascii="Arial" w:eastAsia="宋体" w:hAnsi="Arial" w:cs="Arial"/>
                <w:color w:val="000000"/>
                <w:sz w:val="18"/>
                <w:szCs w:val="18"/>
              </w:rPr>
              <w:t>753 </w:t>
            </w:r>
          </w:p>
        </w:tc>
        <w:tc>
          <w:tcPr>
            <w:tcW w:w="0" w:type="auto"/>
            <w:shd w:val="clear" w:color="auto" w:fill="E2E2E2"/>
            <w:tcMar>
              <w:top w:w="40" w:type="dxa"/>
              <w:bottom w:w="40" w:type="dxa"/>
              <w:right w:w="20" w:type="dxa"/>
            </w:tcMar>
            <w:vAlign w:val="bottom"/>
          </w:tcPr>
          <w:p w14:paraId="64A88FE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8FE6"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8FE7" w14:textId="77777777" w:rsidR="008D6614" w:rsidRDefault="00866AF2">
            <w:pPr>
              <w:jc w:val="right"/>
              <w:textAlignment w:val="bottom"/>
            </w:pPr>
            <w:r>
              <w:rPr>
                <w:rFonts w:ascii="Arial" w:eastAsia="宋体" w:hAnsi="Arial" w:cs="Arial"/>
                <w:color w:val="000000"/>
                <w:sz w:val="18"/>
                <w:szCs w:val="18"/>
              </w:rPr>
              <w:t>900 </w:t>
            </w:r>
          </w:p>
        </w:tc>
        <w:tc>
          <w:tcPr>
            <w:tcW w:w="0" w:type="auto"/>
            <w:shd w:val="clear" w:color="auto" w:fill="E2E2E2"/>
            <w:tcMar>
              <w:top w:w="40" w:type="dxa"/>
              <w:bottom w:w="40" w:type="dxa"/>
              <w:right w:w="20" w:type="dxa"/>
            </w:tcMar>
            <w:vAlign w:val="bottom"/>
          </w:tcPr>
          <w:p w14:paraId="64A88FE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FE9" w14:textId="77777777" w:rsidR="008D6614" w:rsidRDefault="008D6614">
            <w:pPr>
              <w:rPr>
                <w:rFonts w:ascii="宋体"/>
              </w:rPr>
            </w:pPr>
          </w:p>
        </w:tc>
        <w:tc>
          <w:tcPr>
            <w:tcW w:w="0" w:type="auto"/>
            <w:shd w:val="clear" w:color="auto" w:fill="auto"/>
            <w:vAlign w:val="center"/>
          </w:tcPr>
          <w:p w14:paraId="64A88FEA" w14:textId="77777777" w:rsidR="008D6614" w:rsidRDefault="008D6614">
            <w:pPr>
              <w:rPr>
                <w:rFonts w:ascii="宋体"/>
              </w:rPr>
            </w:pPr>
          </w:p>
        </w:tc>
        <w:tc>
          <w:tcPr>
            <w:tcW w:w="0" w:type="auto"/>
            <w:shd w:val="clear" w:color="auto" w:fill="auto"/>
            <w:vAlign w:val="center"/>
          </w:tcPr>
          <w:p w14:paraId="64A88FEB" w14:textId="77777777" w:rsidR="008D6614" w:rsidRDefault="008D6614">
            <w:pPr>
              <w:rPr>
                <w:rFonts w:ascii="宋体"/>
              </w:rPr>
            </w:pPr>
          </w:p>
        </w:tc>
        <w:tc>
          <w:tcPr>
            <w:tcW w:w="0" w:type="auto"/>
            <w:shd w:val="clear" w:color="auto" w:fill="auto"/>
            <w:vAlign w:val="center"/>
          </w:tcPr>
          <w:p w14:paraId="64A88FEC" w14:textId="77777777" w:rsidR="008D6614" w:rsidRDefault="008D6614">
            <w:pPr>
              <w:rPr>
                <w:rFonts w:ascii="宋体"/>
              </w:rPr>
            </w:pPr>
          </w:p>
        </w:tc>
        <w:tc>
          <w:tcPr>
            <w:tcW w:w="0" w:type="auto"/>
            <w:shd w:val="clear" w:color="auto" w:fill="auto"/>
            <w:vAlign w:val="center"/>
          </w:tcPr>
          <w:p w14:paraId="64A88FED" w14:textId="77777777" w:rsidR="008D6614" w:rsidRDefault="008D6614">
            <w:pPr>
              <w:rPr>
                <w:rFonts w:ascii="宋体"/>
              </w:rPr>
            </w:pPr>
          </w:p>
        </w:tc>
        <w:tc>
          <w:tcPr>
            <w:tcW w:w="0" w:type="auto"/>
            <w:shd w:val="clear" w:color="auto" w:fill="auto"/>
            <w:vAlign w:val="center"/>
          </w:tcPr>
          <w:p w14:paraId="64A88FEE" w14:textId="77777777" w:rsidR="008D6614" w:rsidRDefault="008D6614">
            <w:pPr>
              <w:rPr>
                <w:rFonts w:ascii="宋体"/>
              </w:rPr>
            </w:pPr>
          </w:p>
        </w:tc>
      </w:tr>
      <w:tr w:rsidR="008D6614" w14:paraId="64A89000" w14:textId="77777777">
        <w:tc>
          <w:tcPr>
            <w:tcW w:w="0" w:type="auto"/>
            <w:gridSpan w:val="3"/>
            <w:shd w:val="clear" w:color="auto" w:fill="FFFFFF"/>
            <w:tcMar>
              <w:top w:w="40" w:type="dxa"/>
              <w:left w:w="855" w:type="dxa"/>
              <w:bottom w:w="40" w:type="dxa"/>
              <w:right w:w="20" w:type="dxa"/>
            </w:tcMar>
            <w:vAlign w:val="bottom"/>
          </w:tcPr>
          <w:p w14:paraId="64A88FF0" w14:textId="77777777" w:rsidR="008D6614" w:rsidRDefault="00866AF2">
            <w:pPr>
              <w:textAlignment w:val="bottom"/>
            </w:pPr>
            <w:r>
              <w:rPr>
                <w:rFonts w:ascii="Arial" w:eastAsia="宋体" w:hAnsi="Arial" w:cs="Arial"/>
                <w:color w:val="000000"/>
                <w:sz w:val="18"/>
                <w:szCs w:val="18"/>
              </w:rPr>
              <w:t>Dilutive effect of equity incentive awards</w:t>
            </w:r>
          </w:p>
        </w:tc>
        <w:tc>
          <w:tcPr>
            <w:tcW w:w="0" w:type="auto"/>
            <w:shd w:val="clear" w:color="auto" w:fill="auto"/>
            <w:vAlign w:val="center"/>
          </w:tcPr>
          <w:p w14:paraId="64A88FF1" w14:textId="77777777" w:rsidR="008D6614" w:rsidRDefault="008D6614">
            <w:pPr>
              <w:rPr>
                <w:rFonts w:ascii="宋体"/>
                <w:vanish/>
              </w:rPr>
            </w:pPr>
          </w:p>
        </w:tc>
        <w:tc>
          <w:tcPr>
            <w:tcW w:w="0" w:type="auto"/>
            <w:shd w:val="clear" w:color="auto" w:fill="auto"/>
            <w:vAlign w:val="center"/>
          </w:tcPr>
          <w:p w14:paraId="64A88FF2" w14:textId="77777777" w:rsidR="008D6614" w:rsidRDefault="008D6614">
            <w:pPr>
              <w:rPr>
                <w:rFonts w:ascii="宋体"/>
                <w:vanish/>
              </w:rPr>
            </w:pPr>
          </w:p>
        </w:tc>
        <w:tc>
          <w:tcPr>
            <w:tcW w:w="0" w:type="auto"/>
            <w:shd w:val="clear" w:color="auto" w:fill="auto"/>
            <w:vAlign w:val="center"/>
          </w:tcPr>
          <w:p w14:paraId="64A88FF3"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8FF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FF5" w14:textId="77777777" w:rsidR="008D6614" w:rsidRDefault="00866AF2">
            <w:pPr>
              <w:jc w:val="right"/>
              <w:textAlignment w:val="bottom"/>
            </w:pPr>
            <w:r>
              <w:rPr>
                <w:rFonts w:ascii="Arial" w:eastAsia="宋体" w:hAnsi="Arial" w:cs="Arial"/>
                <w:color w:val="000000"/>
                <w:sz w:val="18"/>
                <w:szCs w:val="18"/>
              </w:rPr>
              <w:t>4 </w:t>
            </w:r>
          </w:p>
        </w:tc>
        <w:tc>
          <w:tcPr>
            <w:tcW w:w="0" w:type="auto"/>
            <w:shd w:val="clear" w:color="auto" w:fill="FFFFFF"/>
            <w:tcMar>
              <w:top w:w="40" w:type="dxa"/>
              <w:bottom w:w="40" w:type="dxa"/>
              <w:right w:w="20" w:type="dxa"/>
            </w:tcMar>
            <w:vAlign w:val="bottom"/>
          </w:tcPr>
          <w:p w14:paraId="64A88FF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8FF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8FF8" w14:textId="77777777" w:rsidR="008D6614" w:rsidRDefault="00866AF2">
            <w:pPr>
              <w:jc w:val="right"/>
              <w:textAlignment w:val="bottom"/>
            </w:pPr>
            <w:r>
              <w:rPr>
                <w:rFonts w:ascii="Arial" w:eastAsia="宋体" w:hAnsi="Arial" w:cs="Arial"/>
                <w:color w:val="000000"/>
                <w:sz w:val="18"/>
                <w:szCs w:val="18"/>
              </w:rPr>
              <w:t>8 </w:t>
            </w:r>
          </w:p>
        </w:tc>
        <w:tc>
          <w:tcPr>
            <w:tcW w:w="0" w:type="auto"/>
            <w:shd w:val="clear" w:color="auto" w:fill="FFFFFF"/>
            <w:tcMar>
              <w:top w:w="40" w:type="dxa"/>
              <w:bottom w:w="40" w:type="dxa"/>
              <w:right w:w="20" w:type="dxa"/>
            </w:tcMar>
            <w:vAlign w:val="bottom"/>
          </w:tcPr>
          <w:p w14:paraId="64A88FF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8FFA" w14:textId="77777777" w:rsidR="008D6614" w:rsidRDefault="008D6614">
            <w:pPr>
              <w:rPr>
                <w:rFonts w:ascii="宋体"/>
              </w:rPr>
            </w:pPr>
          </w:p>
        </w:tc>
        <w:tc>
          <w:tcPr>
            <w:tcW w:w="0" w:type="auto"/>
            <w:shd w:val="clear" w:color="auto" w:fill="auto"/>
            <w:vAlign w:val="center"/>
          </w:tcPr>
          <w:p w14:paraId="64A88FFB" w14:textId="77777777" w:rsidR="008D6614" w:rsidRDefault="008D6614">
            <w:pPr>
              <w:rPr>
                <w:rFonts w:ascii="宋体"/>
              </w:rPr>
            </w:pPr>
          </w:p>
        </w:tc>
        <w:tc>
          <w:tcPr>
            <w:tcW w:w="0" w:type="auto"/>
            <w:shd w:val="clear" w:color="auto" w:fill="auto"/>
            <w:vAlign w:val="center"/>
          </w:tcPr>
          <w:p w14:paraId="64A88FFC" w14:textId="77777777" w:rsidR="008D6614" w:rsidRDefault="008D6614">
            <w:pPr>
              <w:rPr>
                <w:rFonts w:ascii="宋体"/>
              </w:rPr>
            </w:pPr>
          </w:p>
        </w:tc>
        <w:tc>
          <w:tcPr>
            <w:tcW w:w="0" w:type="auto"/>
            <w:shd w:val="clear" w:color="auto" w:fill="auto"/>
            <w:vAlign w:val="center"/>
          </w:tcPr>
          <w:p w14:paraId="64A88FFD" w14:textId="77777777" w:rsidR="008D6614" w:rsidRDefault="008D6614">
            <w:pPr>
              <w:rPr>
                <w:rFonts w:ascii="宋体"/>
              </w:rPr>
            </w:pPr>
          </w:p>
        </w:tc>
        <w:tc>
          <w:tcPr>
            <w:tcW w:w="0" w:type="auto"/>
            <w:shd w:val="clear" w:color="auto" w:fill="auto"/>
            <w:vAlign w:val="center"/>
          </w:tcPr>
          <w:p w14:paraId="64A88FFE" w14:textId="77777777" w:rsidR="008D6614" w:rsidRDefault="008D6614">
            <w:pPr>
              <w:rPr>
                <w:rFonts w:ascii="宋体"/>
              </w:rPr>
            </w:pPr>
          </w:p>
        </w:tc>
        <w:tc>
          <w:tcPr>
            <w:tcW w:w="0" w:type="auto"/>
            <w:shd w:val="clear" w:color="auto" w:fill="auto"/>
            <w:vAlign w:val="center"/>
          </w:tcPr>
          <w:p w14:paraId="64A88FFF" w14:textId="77777777" w:rsidR="008D6614" w:rsidRDefault="008D6614">
            <w:pPr>
              <w:rPr>
                <w:rFonts w:ascii="宋体"/>
              </w:rPr>
            </w:pPr>
          </w:p>
        </w:tc>
      </w:tr>
      <w:tr w:rsidR="008D6614" w14:paraId="64A89011" w14:textId="77777777">
        <w:tc>
          <w:tcPr>
            <w:tcW w:w="0" w:type="auto"/>
            <w:gridSpan w:val="3"/>
            <w:shd w:val="clear" w:color="auto" w:fill="E2E2E2"/>
            <w:tcMar>
              <w:top w:w="40" w:type="dxa"/>
              <w:left w:w="495" w:type="dxa"/>
              <w:bottom w:w="40" w:type="dxa"/>
              <w:right w:w="20" w:type="dxa"/>
            </w:tcMar>
            <w:vAlign w:val="bottom"/>
          </w:tcPr>
          <w:p w14:paraId="64A89001" w14:textId="77777777" w:rsidR="008D6614" w:rsidRDefault="00866AF2">
            <w:pPr>
              <w:textAlignment w:val="bottom"/>
            </w:pPr>
            <w:r>
              <w:rPr>
                <w:rFonts w:ascii="Arial" w:eastAsia="宋体" w:hAnsi="Arial" w:cs="Arial"/>
                <w:color w:val="000000"/>
                <w:sz w:val="18"/>
                <w:szCs w:val="18"/>
              </w:rPr>
              <w:t>Weighted average shares of common stock - diluted</w:t>
            </w:r>
          </w:p>
        </w:tc>
        <w:tc>
          <w:tcPr>
            <w:tcW w:w="0" w:type="auto"/>
            <w:shd w:val="clear" w:color="auto" w:fill="auto"/>
            <w:vAlign w:val="center"/>
          </w:tcPr>
          <w:p w14:paraId="64A89002" w14:textId="77777777" w:rsidR="008D6614" w:rsidRDefault="008D6614">
            <w:pPr>
              <w:rPr>
                <w:rFonts w:ascii="宋体"/>
                <w:vanish/>
              </w:rPr>
            </w:pPr>
          </w:p>
        </w:tc>
        <w:tc>
          <w:tcPr>
            <w:tcW w:w="0" w:type="auto"/>
            <w:shd w:val="clear" w:color="auto" w:fill="auto"/>
            <w:vAlign w:val="center"/>
          </w:tcPr>
          <w:p w14:paraId="64A89003" w14:textId="77777777" w:rsidR="008D6614" w:rsidRDefault="008D6614">
            <w:pPr>
              <w:rPr>
                <w:rFonts w:ascii="宋体"/>
                <w:vanish/>
              </w:rPr>
            </w:pPr>
          </w:p>
        </w:tc>
        <w:tc>
          <w:tcPr>
            <w:tcW w:w="0" w:type="auto"/>
            <w:shd w:val="clear" w:color="auto" w:fill="auto"/>
            <w:vAlign w:val="center"/>
          </w:tcPr>
          <w:p w14:paraId="64A89004"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005"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9006" w14:textId="77777777" w:rsidR="008D6614" w:rsidRDefault="00866AF2">
            <w:pPr>
              <w:jc w:val="right"/>
              <w:textAlignment w:val="bottom"/>
            </w:pPr>
            <w:r>
              <w:rPr>
                <w:rFonts w:ascii="Arial" w:eastAsia="宋体" w:hAnsi="Arial" w:cs="Arial"/>
                <w:color w:val="000000"/>
                <w:sz w:val="18"/>
                <w:szCs w:val="18"/>
              </w:rPr>
              <w:t>757 </w:t>
            </w:r>
          </w:p>
        </w:tc>
        <w:tc>
          <w:tcPr>
            <w:tcW w:w="0" w:type="auto"/>
            <w:tcBorders>
              <w:top w:val="single" w:sz="8" w:space="0" w:color="000000"/>
            </w:tcBorders>
            <w:shd w:val="clear" w:color="auto" w:fill="E2E2E2"/>
            <w:tcMar>
              <w:top w:w="40" w:type="dxa"/>
              <w:bottom w:w="40" w:type="dxa"/>
              <w:right w:w="20" w:type="dxa"/>
            </w:tcMar>
            <w:vAlign w:val="bottom"/>
          </w:tcPr>
          <w:p w14:paraId="64A8900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008"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9009" w14:textId="77777777" w:rsidR="008D6614" w:rsidRDefault="00866AF2">
            <w:pPr>
              <w:jc w:val="right"/>
              <w:textAlignment w:val="bottom"/>
            </w:pPr>
            <w:r>
              <w:rPr>
                <w:rFonts w:ascii="Arial" w:eastAsia="宋体" w:hAnsi="Arial" w:cs="Arial"/>
                <w:color w:val="000000"/>
                <w:sz w:val="18"/>
                <w:szCs w:val="18"/>
              </w:rPr>
              <w:t>908 </w:t>
            </w:r>
          </w:p>
        </w:tc>
        <w:tc>
          <w:tcPr>
            <w:tcW w:w="0" w:type="auto"/>
            <w:tcBorders>
              <w:top w:val="single" w:sz="8" w:space="0" w:color="000000"/>
            </w:tcBorders>
            <w:shd w:val="clear" w:color="auto" w:fill="E2E2E2"/>
            <w:tcMar>
              <w:top w:w="40" w:type="dxa"/>
              <w:bottom w:w="40" w:type="dxa"/>
              <w:right w:w="20" w:type="dxa"/>
            </w:tcMar>
            <w:vAlign w:val="bottom"/>
          </w:tcPr>
          <w:p w14:paraId="64A8900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00B" w14:textId="77777777" w:rsidR="008D6614" w:rsidRDefault="008D6614">
            <w:pPr>
              <w:rPr>
                <w:rFonts w:ascii="宋体"/>
              </w:rPr>
            </w:pPr>
          </w:p>
        </w:tc>
        <w:tc>
          <w:tcPr>
            <w:tcW w:w="0" w:type="auto"/>
            <w:shd w:val="clear" w:color="auto" w:fill="auto"/>
            <w:vAlign w:val="center"/>
          </w:tcPr>
          <w:p w14:paraId="64A8900C" w14:textId="77777777" w:rsidR="008D6614" w:rsidRDefault="008D6614">
            <w:pPr>
              <w:rPr>
                <w:rFonts w:ascii="宋体"/>
              </w:rPr>
            </w:pPr>
          </w:p>
        </w:tc>
        <w:tc>
          <w:tcPr>
            <w:tcW w:w="0" w:type="auto"/>
            <w:shd w:val="clear" w:color="auto" w:fill="auto"/>
            <w:vAlign w:val="center"/>
          </w:tcPr>
          <w:p w14:paraId="64A8900D" w14:textId="77777777" w:rsidR="008D6614" w:rsidRDefault="008D6614">
            <w:pPr>
              <w:rPr>
                <w:rFonts w:ascii="宋体"/>
              </w:rPr>
            </w:pPr>
          </w:p>
        </w:tc>
        <w:tc>
          <w:tcPr>
            <w:tcW w:w="0" w:type="auto"/>
            <w:shd w:val="clear" w:color="auto" w:fill="auto"/>
            <w:vAlign w:val="center"/>
          </w:tcPr>
          <w:p w14:paraId="64A8900E" w14:textId="77777777" w:rsidR="008D6614" w:rsidRDefault="008D6614">
            <w:pPr>
              <w:rPr>
                <w:rFonts w:ascii="宋体"/>
              </w:rPr>
            </w:pPr>
          </w:p>
        </w:tc>
        <w:tc>
          <w:tcPr>
            <w:tcW w:w="0" w:type="auto"/>
            <w:shd w:val="clear" w:color="auto" w:fill="auto"/>
            <w:vAlign w:val="center"/>
          </w:tcPr>
          <w:p w14:paraId="64A8900F" w14:textId="77777777" w:rsidR="008D6614" w:rsidRDefault="008D6614">
            <w:pPr>
              <w:rPr>
                <w:rFonts w:ascii="宋体"/>
              </w:rPr>
            </w:pPr>
          </w:p>
        </w:tc>
        <w:tc>
          <w:tcPr>
            <w:tcW w:w="0" w:type="auto"/>
            <w:shd w:val="clear" w:color="auto" w:fill="auto"/>
            <w:vAlign w:val="center"/>
          </w:tcPr>
          <w:p w14:paraId="64A89010" w14:textId="77777777" w:rsidR="008D6614" w:rsidRDefault="008D6614">
            <w:pPr>
              <w:rPr>
                <w:rFonts w:ascii="宋体"/>
              </w:rPr>
            </w:pPr>
          </w:p>
        </w:tc>
      </w:tr>
      <w:tr w:rsidR="008D6614" w14:paraId="64A89020" w14:textId="77777777">
        <w:trPr>
          <w:trHeight w:val="300"/>
        </w:trPr>
        <w:tc>
          <w:tcPr>
            <w:tcW w:w="0" w:type="auto"/>
            <w:gridSpan w:val="3"/>
            <w:shd w:val="clear" w:color="auto" w:fill="FFFFFF"/>
            <w:tcMar>
              <w:left w:w="20" w:type="dxa"/>
              <w:right w:w="20" w:type="dxa"/>
            </w:tcMar>
            <w:vAlign w:val="bottom"/>
          </w:tcPr>
          <w:p w14:paraId="64A89012" w14:textId="77777777" w:rsidR="008D6614" w:rsidRDefault="008D6614">
            <w:pPr>
              <w:rPr>
                <w:rFonts w:ascii="宋体"/>
              </w:rPr>
            </w:pPr>
          </w:p>
        </w:tc>
        <w:tc>
          <w:tcPr>
            <w:tcW w:w="0" w:type="auto"/>
            <w:shd w:val="clear" w:color="auto" w:fill="auto"/>
            <w:vAlign w:val="center"/>
          </w:tcPr>
          <w:p w14:paraId="64A89013" w14:textId="77777777" w:rsidR="008D6614" w:rsidRDefault="008D6614">
            <w:pPr>
              <w:rPr>
                <w:rFonts w:ascii="宋体"/>
                <w:vanish/>
              </w:rPr>
            </w:pPr>
          </w:p>
        </w:tc>
        <w:tc>
          <w:tcPr>
            <w:tcW w:w="0" w:type="auto"/>
            <w:shd w:val="clear" w:color="auto" w:fill="auto"/>
            <w:vAlign w:val="center"/>
          </w:tcPr>
          <w:p w14:paraId="64A89014" w14:textId="77777777" w:rsidR="008D6614" w:rsidRDefault="008D6614">
            <w:pPr>
              <w:rPr>
                <w:rFonts w:ascii="宋体"/>
                <w:vanish/>
              </w:rPr>
            </w:pPr>
          </w:p>
        </w:tc>
        <w:tc>
          <w:tcPr>
            <w:tcW w:w="0" w:type="auto"/>
            <w:shd w:val="clear" w:color="auto" w:fill="auto"/>
            <w:vAlign w:val="center"/>
          </w:tcPr>
          <w:p w14:paraId="64A89015"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016"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901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018"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9019" w14:textId="77777777" w:rsidR="008D6614" w:rsidRDefault="008D6614">
            <w:pPr>
              <w:rPr>
                <w:rFonts w:ascii="宋体"/>
              </w:rPr>
            </w:pPr>
          </w:p>
        </w:tc>
        <w:tc>
          <w:tcPr>
            <w:tcW w:w="0" w:type="auto"/>
            <w:shd w:val="clear" w:color="auto" w:fill="auto"/>
            <w:vAlign w:val="center"/>
          </w:tcPr>
          <w:p w14:paraId="64A8901A" w14:textId="77777777" w:rsidR="008D6614" w:rsidRDefault="008D6614">
            <w:pPr>
              <w:rPr>
                <w:rFonts w:ascii="宋体"/>
              </w:rPr>
            </w:pPr>
          </w:p>
        </w:tc>
        <w:tc>
          <w:tcPr>
            <w:tcW w:w="0" w:type="auto"/>
            <w:shd w:val="clear" w:color="auto" w:fill="auto"/>
            <w:vAlign w:val="center"/>
          </w:tcPr>
          <w:p w14:paraId="64A8901B" w14:textId="77777777" w:rsidR="008D6614" w:rsidRDefault="008D6614">
            <w:pPr>
              <w:rPr>
                <w:rFonts w:ascii="宋体"/>
              </w:rPr>
            </w:pPr>
          </w:p>
        </w:tc>
        <w:tc>
          <w:tcPr>
            <w:tcW w:w="0" w:type="auto"/>
            <w:shd w:val="clear" w:color="auto" w:fill="auto"/>
            <w:vAlign w:val="center"/>
          </w:tcPr>
          <w:p w14:paraId="64A8901C" w14:textId="77777777" w:rsidR="008D6614" w:rsidRDefault="008D6614">
            <w:pPr>
              <w:rPr>
                <w:rFonts w:ascii="宋体"/>
              </w:rPr>
            </w:pPr>
          </w:p>
        </w:tc>
        <w:tc>
          <w:tcPr>
            <w:tcW w:w="0" w:type="auto"/>
            <w:shd w:val="clear" w:color="auto" w:fill="auto"/>
            <w:vAlign w:val="center"/>
          </w:tcPr>
          <w:p w14:paraId="64A8901D" w14:textId="77777777" w:rsidR="008D6614" w:rsidRDefault="008D6614">
            <w:pPr>
              <w:rPr>
                <w:rFonts w:ascii="宋体"/>
              </w:rPr>
            </w:pPr>
          </w:p>
        </w:tc>
        <w:tc>
          <w:tcPr>
            <w:tcW w:w="0" w:type="auto"/>
            <w:shd w:val="clear" w:color="auto" w:fill="auto"/>
            <w:vAlign w:val="center"/>
          </w:tcPr>
          <w:p w14:paraId="64A8901E" w14:textId="77777777" w:rsidR="008D6614" w:rsidRDefault="008D6614">
            <w:pPr>
              <w:rPr>
                <w:rFonts w:ascii="宋体"/>
              </w:rPr>
            </w:pPr>
          </w:p>
        </w:tc>
        <w:tc>
          <w:tcPr>
            <w:tcW w:w="0" w:type="auto"/>
            <w:shd w:val="clear" w:color="auto" w:fill="auto"/>
            <w:vAlign w:val="center"/>
          </w:tcPr>
          <w:p w14:paraId="64A8901F" w14:textId="77777777" w:rsidR="008D6614" w:rsidRDefault="008D6614">
            <w:pPr>
              <w:rPr>
                <w:rFonts w:ascii="宋体"/>
              </w:rPr>
            </w:pPr>
          </w:p>
        </w:tc>
      </w:tr>
      <w:tr w:rsidR="008D6614" w14:paraId="64A8902F" w14:textId="77777777">
        <w:trPr>
          <w:hidden/>
        </w:trPr>
        <w:tc>
          <w:tcPr>
            <w:tcW w:w="0" w:type="auto"/>
            <w:gridSpan w:val="3"/>
            <w:shd w:val="clear" w:color="auto" w:fill="auto"/>
            <w:vAlign w:val="center"/>
          </w:tcPr>
          <w:p w14:paraId="64A89021" w14:textId="77777777" w:rsidR="008D6614" w:rsidRDefault="008D6614">
            <w:pPr>
              <w:rPr>
                <w:rFonts w:ascii="宋体"/>
                <w:vanish/>
              </w:rPr>
            </w:pPr>
          </w:p>
        </w:tc>
        <w:tc>
          <w:tcPr>
            <w:tcW w:w="0" w:type="auto"/>
            <w:shd w:val="clear" w:color="auto" w:fill="auto"/>
            <w:vAlign w:val="center"/>
          </w:tcPr>
          <w:p w14:paraId="64A89022" w14:textId="77777777" w:rsidR="008D6614" w:rsidRDefault="008D6614">
            <w:pPr>
              <w:rPr>
                <w:rFonts w:ascii="宋体"/>
                <w:vanish/>
              </w:rPr>
            </w:pPr>
          </w:p>
        </w:tc>
        <w:tc>
          <w:tcPr>
            <w:tcW w:w="0" w:type="auto"/>
            <w:shd w:val="clear" w:color="auto" w:fill="auto"/>
            <w:vAlign w:val="center"/>
          </w:tcPr>
          <w:p w14:paraId="64A89023" w14:textId="77777777" w:rsidR="008D6614" w:rsidRDefault="008D6614">
            <w:pPr>
              <w:rPr>
                <w:rFonts w:ascii="宋体"/>
                <w:vanish/>
              </w:rPr>
            </w:pPr>
          </w:p>
        </w:tc>
        <w:tc>
          <w:tcPr>
            <w:tcW w:w="0" w:type="auto"/>
            <w:shd w:val="clear" w:color="auto" w:fill="auto"/>
            <w:vAlign w:val="center"/>
          </w:tcPr>
          <w:p w14:paraId="64A89024" w14:textId="77777777" w:rsidR="008D6614" w:rsidRDefault="008D6614">
            <w:pPr>
              <w:rPr>
                <w:rFonts w:ascii="宋体"/>
                <w:vanish/>
              </w:rPr>
            </w:pPr>
          </w:p>
        </w:tc>
        <w:tc>
          <w:tcPr>
            <w:tcW w:w="0" w:type="auto"/>
            <w:gridSpan w:val="3"/>
            <w:shd w:val="clear" w:color="auto" w:fill="auto"/>
            <w:vAlign w:val="center"/>
          </w:tcPr>
          <w:p w14:paraId="64A89025" w14:textId="77777777" w:rsidR="008D6614" w:rsidRDefault="008D6614">
            <w:pPr>
              <w:rPr>
                <w:rFonts w:ascii="宋体"/>
                <w:vanish/>
              </w:rPr>
            </w:pPr>
          </w:p>
        </w:tc>
        <w:tc>
          <w:tcPr>
            <w:tcW w:w="0" w:type="auto"/>
            <w:gridSpan w:val="3"/>
            <w:shd w:val="clear" w:color="auto" w:fill="auto"/>
            <w:vAlign w:val="center"/>
          </w:tcPr>
          <w:p w14:paraId="64A89026" w14:textId="77777777" w:rsidR="008D6614" w:rsidRDefault="008D6614">
            <w:pPr>
              <w:rPr>
                <w:rFonts w:ascii="宋体"/>
                <w:vanish/>
              </w:rPr>
            </w:pPr>
          </w:p>
        </w:tc>
        <w:tc>
          <w:tcPr>
            <w:tcW w:w="0" w:type="auto"/>
            <w:gridSpan w:val="3"/>
            <w:shd w:val="clear" w:color="auto" w:fill="auto"/>
            <w:vAlign w:val="center"/>
          </w:tcPr>
          <w:p w14:paraId="64A89027" w14:textId="77777777" w:rsidR="008D6614" w:rsidRDefault="008D6614">
            <w:pPr>
              <w:rPr>
                <w:rFonts w:ascii="宋体"/>
                <w:vanish/>
              </w:rPr>
            </w:pPr>
          </w:p>
        </w:tc>
        <w:tc>
          <w:tcPr>
            <w:tcW w:w="0" w:type="auto"/>
            <w:gridSpan w:val="3"/>
            <w:shd w:val="clear" w:color="auto" w:fill="auto"/>
            <w:vAlign w:val="center"/>
          </w:tcPr>
          <w:p w14:paraId="64A89028" w14:textId="77777777" w:rsidR="008D6614" w:rsidRDefault="008D6614">
            <w:pPr>
              <w:rPr>
                <w:rFonts w:ascii="宋体"/>
                <w:vanish/>
              </w:rPr>
            </w:pPr>
          </w:p>
        </w:tc>
        <w:tc>
          <w:tcPr>
            <w:tcW w:w="0" w:type="auto"/>
            <w:shd w:val="clear" w:color="auto" w:fill="auto"/>
            <w:vAlign w:val="center"/>
          </w:tcPr>
          <w:p w14:paraId="64A89029" w14:textId="77777777" w:rsidR="008D6614" w:rsidRDefault="008D6614">
            <w:pPr>
              <w:rPr>
                <w:rFonts w:ascii="宋体"/>
              </w:rPr>
            </w:pPr>
          </w:p>
        </w:tc>
        <w:tc>
          <w:tcPr>
            <w:tcW w:w="0" w:type="auto"/>
            <w:shd w:val="clear" w:color="auto" w:fill="auto"/>
            <w:vAlign w:val="center"/>
          </w:tcPr>
          <w:p w14:paraId="64A8902A" w14:textId="77777777" w:rsidR="008D6614" w:rsidRDefault="008D6614">
            <w:pPr>
              <w:rPr>
                <w:rFonts w:ascii="宋体"/>
              </w:rPr>
            </w:pPr>
          </w:p>
        </w:tc>
        <w:tc>
          <w:tcPr>
            <w:tcW w:w="0" w:type="auto"/>
            <w:shd w:val="clear" w:color="auto" w:fill="auto"/>
            <w:vAlign w:val="center"/>
          </w:tcPr>
          <w:p w14:paraId="64A8902B" w14:textId="77777777" w:rsidR="008D6614" w:rsidRDefault="008D6614">
            <w:pPr>
              <w:rPr>
                <w:rFonts w:ascii="宋体"/>
              </w:rPr>
            </w:pPr>
          </w:p>
        </w:tc>
        <w:tc>
          <w:tcPr>
            <w:tcW w:w="0" w:type="auto"/>
            <w:shd w:val="clear" w:color="auto" w:fill="auto"/>
            <w:vAlign w:val="center"/>
          </w:tcPr>
          <w:p w14:paraId="64A8902C" w14:textId="77777777" w:rsidR="008D6614" w:rsidRDefault="008D6614">
            <w:pPr>
              <w:rPr>
                <w:rFonts w:ascii="宋体"/>
              </w:rPr>
            </w:pPr>
          </w:p>
        </w:tc>
        <w:tc>
          <w:tcPr>
            <w:tcW w:w="0" w:type="auto"/>
            <w:shd w:val="clear" w:color="auto" w:fill="auto"/>
            <w:vAlign w:val="center"/>
          </w:tcPr>
          <w:p w14:paraId="64A8902D" w14:textId="77777777" w:rsidR="008D6614" w:rsidRDefault="008D6614">
            <w:pPr>
              <w:rPr>
                <w:rFonts w:ascii="宋体"/>
              </w:rPr>
            </w:pPr>
          </w:p>
        </w:tc>
        <w:tc>
          <w:tcPr>
            <w:tcW w:w="0" w:type="auto"/>
            <w:shd w:val="clear" w:color="auto" w:fill="auto"/>
            <w:vAlign w:val="center"/>
          </w:tcPr>
          <w:p w14:paraId="64A8902E" w14:textId="77777777" w:rsidR="008D6614" w:rsidRDefault="008D6614">
            <w:pPr>
              <w:rPr>
                <w:rFonts w:ascii="宋体"/>
              </w:rPr>
            </w:pPr>
          </w:p>
        </w:tc>
      </w:tr>
      <w:tr w:rsidR="008D6614" w14:paraId="64A8903E" w14:textId="77777777">
        <w:tc>
          <w:tcPr>
            <w:tcW w:w="0" w:type="auto"/>
            <w:gridSpan w:val="3"/>
            <w:shd w:val="clear" w:color="auto" w:fill="E2E2E2"/>
            <w:tcMar>
              <w:top w:w="40" w:type="dxa"/>
              <w:left w:w="20" w:type="dxa"/>
              <w:bottom w:w="40" w:type="dxa"/>
              <w:right w:w="20" w:type="dxa"/>
            </w:tcMar>
            <w:vAlign w:val="bottom"/>
          </w:tcPr>
          <w:p w14:paraId="64A89030" w14:textId="77777777" w:rsidR="008D6614" w:rsidRDefault="00866AF2">
            <w:pPr>
              <w:textAlignment w:val="bottom"/>
            </w:pPr>
            <w:r>
              <w:rPr>
                <w:rFonts w:ascii="Arial" w:eastAsia="宋体" w:hAnsi="Arial" w:cs="Arial"/>
                <w:color w:val="000000"/>
                <w:sz w:val="18"/>
                <w:szCs w:val="18"/>
              </w:rPr>
              <w:t>Income per share - basic:</w:t>
            </w:r>
          </w:p>
        </w:tc>
        <w:tc>
          <w:tcPr>
            <w:tcW w:w="0" w:type="auto"/>
            <w:shd w:val="clear" w:color="auto" w:fill="auto"/>
            <w:vAlign w:val="center"/>
          </w:tcPr>
          <w:p w14:paraId="64A89031" w14:textId="77777777" w:rsidR="008D6614" w:rsidRDefault="008D6614">
            <w:pPr>
              <w:rPr>
                <w:rFonts w:ascii="宋体"/>
                <w:vanish/>
              </w:rPr>
            </w:pPr>
          </w:p>
        </w:tc>
        <w:tc>
          <w:tcPr>
            <w:tcW w:w="0" w:type="auto"/>
            <w:shd w:val="clear" w:color="auto" w:fill="auto"/>
            <w:vAlign w:val="center"/>
          </w:tcPr>
          <w:p w14:paraId="64A89032" w14:textId="77777777" w:rsidR="008D6614" w:rsidRDefault="008D6614">
            <w:pPr>
              <w:rPr>
                <w:rFonts w:ascii="宋体"/>
                <w:vanish/>
              </w:rPr>
            </w:pPr>
          </w:p>
        </w:tc>
        <w:tc>
          <w:tcPr>
            <w:tcW w:w="0" w:type="auto"/>
            <w:shd w:val="clear" w:color="auto" w:fill="auto"/>
            <w:vAlign w:val="center"/>
          </w:tcPr>
          <w:p w14:paraId="64A89033"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03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03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03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037" w14:textId="77777777" w:rsidR="008D6614" w:rsidRDefault="008D6614">
            <w:pPr>
              <w:rPr>
                <w:rFonts w:ascii="宋体"/>
              </w:rPr>
            </w:pPr>
          </w:p>
        </w:tc>
        <w:tc>
          <w:tcPr>
            <w:tcW w:w="0" w:type="auto"/>
            <w:shd w:val="clear" w:color="auto" w:fill="auto"/>
            <w:vAlign w:val="center"/>
          </w:tcPr>
          <w:p w14:paraId="64A89038" w14:textId="77777777" w:rsidR="008D6614" w:rsidRDefault="008D6614">
            <w:pPr>
              <w:rPr>
                <w:rFonts w:ascii="宋体"/>
              </w:rPr>
            </w:pPr>
          </w:p>
        </w:tc>
        <w:tc>
          <w:tcPr>
            <w:tcW w:w="0" w:type="auto"/>
            <w:shd w:val="clear" w:color="auto" w:fill="auto"/>
            <w:vAlign w:val="center"/>
          </w:tcPr>
          <w:p w14:paraId="64A89039" w14:textId="77777777" w:rsidR="008D6614" w:rsidRDefault="008D6614">
            <w:pPr>
              <w:rPr>
                <w:rFonts w:ascii="宋体"/>
              </w:rPr>
            </w:pPr>
          </w:p>
        </w:tc>
        <w:tc>
          <w:tcPr>
            <w:tcW w:w="0" w:type="auto"/>
            <w:shd w:val="clear" w:color="auto" w:fill="auto"/>
            <w:vAlign w:val="center"/>
          </w:tcPr>
          <w:p w14:paraId="64A8903A" w14:textId="77777777" w:rsidR="008D6614" w:rsidRDefault="008D6614">
            <w:pPr>
              <w:rPr>
                <w:rFonts w:ascii="宋体"/>
              </w:rPr>
            </w:pPr>
          </w:p>
        </w:tc>
        <w:tc>
          <w:tcPr>
            <w:tcW w:w="0" w:type="auto"/>
            <w:shd w:val="clear" w:color="auto" w:fill="auto"/>
            <w:vAlign w:val="center"/>
          </w:tcPr>
          <w:p w14:paraId="64A8903B" w14:textId="77777777" w:rsidR="008D6614" w:rsidRDefault="008D6614">
            <w:pPr>
              <w:rPr>
                <w:rFonts w:ascii="宋体"/>
              </w:rPr>
            </w:pPr>
          </w:p>
        </w:tc>
        <w:tc>
          <w:tcPr>
            <w:tcW w:w="0" w:type="auto"/>
            <w:shd w:val="clear" w:color="auto" w:fill="auto"/>
            <w:vAlign w:val="center"/>
          </w:tcPr>
          <w:p w14:paraId="64A8903C" w14:textId="77777777" w:rsidR="008D6614" w:rsidRDefault="008D6614">
            <w:pPr>
              <w:rPr>
                <w:rFonts w:ascii="宋体"/>
              </w:rPr>
            </w:pPr>
          </w:p>
        </w:tc>
        <w:tc>
          <w:tcPr>
            <w:tcW w:w="0" w:type="auto"/>
            <w:shd w:val="clear" w:color="auto" w:fill="auto"/>
            <w:vAlign w:val="center"/>
          </w:tcPr>
          <w:p w14:paraId="64A8903D" w14:textId="77777777" w:rsidR="008D6614" w:rsidRDefault="008D6614">
            <w:pPr>
              <w:rPr>
                <w:rFonts w:ascii="宋体"/>
              </w:rPr>
            </w:pPr>
          </w:p>
        </w:tc>
      </w:tr>
      <w:tr w:rsidR="008D6614" w14:paraId="64A89051" w14:textId="77777777">
        <w:tc>
          <w:tcPr>
            <w:tcW w:w="0" w:type="auto"/>
            <w:gridSpan w:val="3"/>
            <w:shd w:val="clear" w:color="auto" w:fill="FFFFFF"/>
            <w:tcMar>
              <w:top w:w="40" w:type="dxa"/>
              <w:left w:w="495" w:type="dxa"/>
              <w:bottom w:w="40" w:type="dxa"/>
              <w:right w:w="20" w:type="dxa"/>
            </w:tcMar>
            <w:vAlign w:val="bottom"/>
          </w:tcPr>
          <w:p w14:paraId="64A8903F" w14:textId="77777777" w:rsidR="008D6614" w:rsidRDefault="00866AF2">
            <w:pPr>
              <w:textAlignment w:val="bottom"/>
            </w:pPr>
            <w:r>
              <w:rPr>
                <w:rFonts w:ascii="Arial" w:eastAsia="宋体" w:hAnsi="Arial" w:cs="Arial"/>
                <w:color w:val="000000"/>
                <w:sz w:val="18"/>
                <w:szCs w:val="18"/>
              </w:rPr>
              <w:t>Continuing operations</w:t>
            </w:r>
          </w:p>
        </w:tc>
        <w:tc>
          <w:tcPr>
            <w:tcW w:w="0" w:type="auto"/>
            <w:shd w:val="clear" w:color="auto" w:fill="auto"/>
            <w:vAlign w:val="center"/>
          </w:tcPr>
          <w:p w14:paraId="64A89040" w14:textId="77777777" w:rsidR="008D6614" w:rsidRDefault="008D6614">
            <w:pPr>
              <w:rPr>
                <w:rFonts w:ascii="宋体"/>
                <w:vanish/>
              </w:rPr>
            </w:pPr>
          </w:p>
        </w:tc>
        <w:tc>
          <w:tcPr>
            <w:tcW w:w="0" w:type="auto"/>
            <w:shd w:val="clear" w:color="auto" w:fill="auto"/>
            <w:vAlign w:val="center"/>
          </w:tcPr>
          <w:p w14:paraId="64A89041" w14:textId="77777777" w:rsidR="008D6614" w:rsidRDefault="008D6614">
            <w:pPr>
              <w:rPr>
                <w:rFonts w:ascii="宋体"/>
                <w:vanish/>
              </w:rPr>
            </w:pPr>
          </w:p>
        </w:tc>
        <w:tc>
          <w:tcPr>
            <w:tcW w:w="0" w:type="auto"/>
            <w:shd w:val="clear" w:color="auto" w:fill="auto"/>
            <w:vAlign w:val="center"/>
          </w:tcPr>
          <w:p w14:paraId="64A89042"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043"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044"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045" w14:textId="77777777" w:rsidR="008D6614" w:rsidRDefault="00866AF2">
            <w:pPr>
              <w:jc w:val="right"/>
              <w:textAlignment w:val="bottom"/>
            </w:pPr>
            <w:r>
              <w:rPr>
                <w:rFonts w:ascii="Arial" w:eastAsia="宋体" w:hAnsi="Arial" w:cs="Arial"/>
                <w:color w:val="000000"/>
                <w:sz w:val="18"/>
                <w:szCs w:val="18"/>
              </w:rPr>
              <w:t>0.64 </w:t>
            </w:r>
          </w:p>
        </w:tc>
        <w:tc>
          <w:tcPr>
            <w:tcW w:w="0" w:type="auto"/>
            <w:shd w:val="clear" w:color="auto" w:fill="FFFFFF"/>
            <w:tcMar>
              <w:top w:w="40" w:type="dxa"/>
              <w:bottom w:w="40" w:type="dxa"/>
              <w:right w:w="20" w:type="dxa"/>
            </w:tcMar>
            <w:vAlign w:val="bottom"/>
          </w:tcPr>
          <w:p w14:paraId="64A8904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047"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048"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049" w14:textId="77777777" w:rsidR="008D6614" w:rsidRDefault="00866AF2">
            <w:pPr>
              <w:jc w:val="right"/>
              <w:textAlignment w:val="bottom"/>
            </w:pPr>
            <w:r>
              <w:rPr>
                <w:rFonts w:ascii="Arial" w:eastAsia="宋体" w:hAnsi="Arial" w:cs="Arial"/>
                <w:color w:val="000000"/>
                <w:sz w:val="18"/>
                <w:szCs w:val="18"/>
              </w:rPr>
              <w:t>0.58 </w:t>
            </w:r>
          </w:p>
        </w:tc>
        <w:tc>
          <w:tcPr>
            <w:tcW w:w="0" w:type="auto"/>
            <w:shd w:val="clear" w:color="auto" w:fill="FFFFFF"/>
            <w:tcMar>
              <w:top w:w="40" w:type="dxa"/>
              <w:bottom w:w="40" w:type="dxa"/>
              <w:right w:w="20" w:type="dxa"/>
            </w:tcMar>
            <w:vAlign w:val="bottom"/>
          </w:tcPr>
          <w:p w14:paraId="64A8904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04B" w14:textId="77777777" w:rsidR="008D6614" w:rsidRDefault="008D6614">
            <w:pPr>
              <w:rPr>
                <w:rFonts w:ascii="宋体"/>
              </w:rPr>
            </w:pPr>
          </w:p>
        </w:tc>
        <w:tc>
          <w:tcPr>
            <w:tcW w:w="0" w:type="auto"/>
            <w:shd w:val="clear" w:color="auto" w:fill="auto"/>
            <w:vAlign w:val="center"/>
          </w:tcPr>
          <w:p w14:paraId="64A8904C" w14:textId="77777777" w:rsidR="008D6614" w:rsidRDefault="008D6614">
            <w:pPr>
              <w:rPr>
                <w:rFonts w:ascii="宋体"/>
              </w:rPr>
            </w:pPr>
          </w:p>
        </w:tc>
        <w:tc>
          <w:tcPr>
            <w:tcW w:w="0" w:type="auto"/>
            <w:shd w:val="clear" w:color="auto" w:fill="auto"/>
            <w:vAlign w:val="center"/>
          </w:tcPr>
          <w:p w14:paraId="64A8904D" w14:textId="77777777" w:rsidR="008D6614" w:rsidRDefault="008D6614">
            <w:pPr>
              <w:rPr>
                <w:rFonts w:ascii="宋体"/>
              </w:rPr>
            </w:pPr>
          </w:p>
        </w:tc>
        <w:tc>
          <w:tcPr>
            <w:tcW w:w="0" w:type="auto"/>
            <w:shd w:val="clear" w:color="auto" w:fill="auto"/>
            <w:vAlign w:val="center"/>
          </w:tcPr>
          <w:p w14:paraId="64A8904E" w14:textId="77777777" w:rsidR="008D6614" w:rsidRDefault="008D6614">
            <w:pPr>
              <w:rPr>
                <w:rFonts w:ascii="宋体"/>
              </w:rPr>
            </w:pPr>
          </w:p>
        </w:tc>
        <w:tc>
          <w:tcPr>
            <w:tcW w:w="0" w:type="auto"/>
            <w:shd w:val="clear" w:color="auto" w:fill="auto"/>
            <w:vAlign w:val="center"/>
          </w:tcPr>
          <w:p w14:paraId="64A8904F" w14:textId="77777777" w:rsidR="008D6614" w:rsidRDefault="008D6614">
            <w:pPr>
              <w:rPr>
                <w:rFonts w:ascii="宋体"/>
              </w:rPr>
            </w:pPr>
          </w:p>
        </w:tc>
        <w:tc>
          <w:tcPr>
            <w:tcW w:w="0" w:type="auto"/>
            <w:shd w:val="clear" w:color="auto" w:fill="auto"/>
            <w:vAlign w:val="center"/>
          </w:tcPr>
          <w:p w14:paraId="64A89050" w14:textId="77777777" w:rsidR="008D6614" w:rsidRDefault="008D6614">
            <w:pPr>
              <w:rPr>
                <w:rFonts w:ascii="宋体"/>
              </w:rPr>
            </w:pPr>
          </w:p>
        </w:tc>
      </w:tr>
      <w:tr w:rsidR="008D6614" w14:paraId="64A89062" w14:textId="77777777">
        <w:tc>
          <w:tcPr>
            <w:tcW w:w="0" w:type="auto"/>
            <w:gridSpan w:val="3"/>
            <w:shd w:val="clear" w:color="auto" w:fill="E2E2E2"/>
            <w:tcMar>
              <w:top w:w="40" w:type="dxa"/>
              <w:left w:w="495" w:type="dxa"/>
              <w:bottom w:w="40" w:type="dxa"/>
              <w:right w:w="20" w:type="dxa"/>
            </w:tcMar>
            <w:vAlign w:val="bottom"/>
          </w:tcPr>
          <w:p w14:paraId="64A89052" w14:textId="77777777" w:rsidR="008D6614" w:rsidRDefault="00866AF2">
            <w:pPr>
              <w:textAlignment w:val="bottom"/>
            </w:pPr>
            <w:r>
              <w:rPr>
                <w:rFonts w:ascii="Arial" w:eastAsia="宋体" w:hAnsi="Arial" w:cs="Arial"/>
                <w:color w:val="000000"/>
                <w:sz w:val="18"/>
                <w:szCs w:val="18"/>
              </w:rPr>
              <w:t>Discont</w:t>
            </w:r>
            <w:r>
              <w:rPr>
                <w:rFonts w:ascii="Arial" w:eastAsia="宋体" w:hAnsi="Arial" w:cs="Arial"/>
                <w:color w:val="000000"/>
                <w:sz w:val="18"/>
                <w:szCs w:val="18"/>
              </w:rPr>
              <w:t>inued operations</w:t>
            </w:r>
          </w:p>
        </w:tc>
        <w:tc>
          <w:tcPr>
            <w:tcW w:w="0" w:type="auto"/>
            <w:shd w:val="clear" w:color="auto" w:fill="auto"/>
            <w:vAlign w:val="center"/>
          </w:tcPr>
          <w:p w14:paraId="64A89053" w14:textId="77777777" w:rsidR="008D6614" w:rsidRDefault="008D6614">
            <w:pPr>
              <w:rPr>
                <w:rFonts w:ascii="宋体"/>
                <w:vanish/>
              </w:rPr>
            </w:pPr>
          </w:p>
        </w:tc>
        <w:tc>
          <w:tcPr>
            <w:tcW w:w="0" w:type="auto"/>
            <w:shd w:val="clear" w:color="auto" w:fill="auto"/>
            <w:vAlign w:val="center"/>
          </w:tcPr>
          <w:p w14:paraId="64A89054" w14:textId="77777777" w:rsidR="008D6614" w:rsidRDefault="008D6614">
            <w:pPr>
              <w:rPr>
                <w:rFonts w:ascii="宋体"/>
                <w:vanish/>
              </w:rPr>
            </w:pPr>
          </w:p>
        </w:tc>
        <w:tc>
          <w:tcPr>
            <w:tcW w:w="0" w:type="auto"/>
            <w:shd w:val="clear" w:color="auto" w:fill="auto"/>
            <w:vAlign w:val="center"/>
          </w:tcPr>
          <w:p w14:paraId="64A89055"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056"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057" w14:textId="77777777" w:rsidR="008D6614" w:rsidRDefault="00866AF2">
            <w:pPr>
              <w:jc w:val="right"/>
              <w:textAlignment w:val="bottom"/>
            </w:pPr>
            <w:r>
              <w:rPr>
                <w:rFonts w:ascii="Arial" w:eastAsia="宋体" w:hAnsi="Arial" w:cs="Arial"/>
                <w:color w:val="000000"/>
                <w:sz w:val="18"/>
                <w:szCs w:val="18"/>
              </w:rPr>
              <w:t>3.89 </w:t>
            </w:r>
          </w:p>
        </w:tc>
        <w:tc>
          <w:tcPr>
            <w:tcW w:w="0" w:type="auto"/>
            <w:shd w:val="clear" w:color="auto" w:fill="E2E2E2"/>
            <w:tcMar>
              <w:top w:w="40" w:type="dxa"/>
              <w:bottom w:w="40" w:type="dxa"/>
              <w:right w:w="20" w:type="dxa"/>
            </w:tcMar>
            <w:vAlign w:val="bottom"/>
          </w:tcPr>
          <w:p w14:paraId="64A8905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05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05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905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05C" w14:textId="77777777" w:rsidR="008D6614" w:rsidRDefault="008D6614">
            <w:pPr>
              <w:rPr>
                <w:rFonts w:ascii="宋体"/>
              </w:rPr>
            </w:pPr>
          </w:p>
        </w:tc>
        <w:tc>
          <w:tcPr>
            <w:tcW w:w="0" w:type="auto"/>
            <w:shd w:val="clear" w:color="auto" w:fill="auto"/>
            <w:vAlign w:val="center"/>
          </w:tcPr>
          <w:p w14:paraId="64A8905D" w14:textId="77777777" w:rsidR="008D6614" w:rsidRDefault="008D6614">
            <w:pPr>
              <w:rPr>
                <w:rFonts w:ascii="宋体"/>
              </w:rPr>
            </w:pPr>
          </w:p>
        </w:tc>
        <w:tc>
          <w:tcPr>
            <w:tcW w:w="0" w:type="auto"/>
            <w:shd w:val="clear" w:color="auto" w:fill="auto"/>
            <w:vAlign w:val="center"/>
          </w:tcPr>
          <w:p w14:paraId="64A8905E" w14:textId="77777777" w:rsidR="008D6614" w:rsidRDefault="008D6614">
            <w:pPr>
              <w:rPr>
                <w:rFonts w:ascii="宋体"/>
              </w:rPr>
            </w:pPr>
          </w:p>
        </w:tc>
        <w:tc>
          <w:tcPr>
            <w:tcW w:w="0" w:type="auto"/>
            <w:shd w:val="clear" w:color="auto" w:fill="auto"/>
            <w:vAlign w:val="center"/>
          </w:tcPr>
          <w:p w14:paraId="64A8905F" w14:textId="77777777" w:rsidR="008D6614" w:rsidRDefault="008D6614">
            <w:pPr>
              <w:rPr>
                <w:rFonts w:ascii="宋体"/>
              </w:rPr>
            </w:pPr>
          </w:p>
        </w:tc>
        <w:tc>
          <w:tcPr>
            <w:tcW w:w="0" w:type="auto"/>
            <w:shd w:val="clear" w:color="auto" w:fill="auto"/>
            <w:vAlign w:val="center"/>
          </w:tcPr>
          <w:p w14:paraId="64A89060" w14:textId="77777777" w:rsidR="008D6614" w:rsidRDefault="008D6614">
            <w:pPr>
              <w:rPr>
                <w:rFonts w:ascii="宋体"/>
              </w:rPr>
            </w:pPr>
          </w:p>
        </w:tc>
        <w:tc>
          <w:tcPr>
            <w:tcW w:w="0" w:type="auto"/>
            <w:shd w:val="clear" w:color="auto" w:fill="auto"/>
            <w:vAlign w:val="center"/>
          </w:tcPr>
          <w:p w14:paraId="64A89061" w14:textId="77777777" w:rsidR="008D6614" w:rsidRDefault="008D6614">
            <w:pPr>
              <w:rPr>
                <w:rFonts w:ascii="宋体"/>
              </w:rPr>
            </w:pPr>
          </w:p>
        </w:tc>
      </w:tr>
      <w:tr w:rsidR="008D6614" w14:paraId="64A89075" w14:textId="77777777">
        <w:tc>
          <w:tcPr>
            <w:tcW w:w="0" w:type="auto"/>
            <w:gridSpan w:val="3"/>
            <w:shd w:val="clear" w:color="auto" w:fill="FFFFFF"/>
            <w:tcMar>
              <w:top w:w="40" w:type="dxa"/>
              <w:left w:w="20" w:type="dxa"/>
              <w:bottom w:w="40" w:type="dxa"/>
              <w:right w:w="20" w:type="dxa"/>
            </w:tcMar>
            <w:vAlign w:val="bottom"/>
          </w:tcPr>
          <w:p w14:paraId="64A89063" w14:textId="77777777" w:rsidR="008D6614" w:rsidRDefault="00866AF2">
            <w:pPr>
              <w:textAlignment w:val="bottom"/>
            </w:pPr>
            <w:r>
              <w:rPr>
                <w:rFonts w:ascii="Arial" w:eastAsia="宋体" w:hAnsi="Arial" w:cs="Arial"/>
                <w:color w:val="000000"/>
                <w:sz w:val="18"/>
                <w:szCs w:val="18"/>
              </w:rPr>
              <w:t>Net income per share - basic</w:t>
            </w:r>
          </w:p>
        </w:tc>
        <w:tc>
          <w:tcPr>
            <w:tcW w:w="0" w:type="auto"/>
            <w:shd w:val="clear" w:color="auto" w:fill="auto"/>
            <w:vAlign w:val="center"/>
          </w:tcPr>
          <w:p w14:paraId="64A89064" w14:textId="77777777" w:rsidR="008D6614" w:rsidRDefault="008D6614">
            <w:pPr>
              <w:rPr>
                <w:rFonts w:ascii="宋体"/>
                <w:vanish/>
              </w:rPr>
            </w:pPr>
          </w:p>
        </w:tc>
        <w:tc>
          <w:tcPr>
            <w:tcW w:w="0" w:type="auto"/>
            <w:shd w:val="clear" w:color="auto" w:fill="auto"/>
            <w:vAlign w:val="center"/>
          </w:tcPr>
          <w:p w14:paraId="64A89065" w14:textId="77777777" w:rsidR="008D6614" w:rsidRDefault="008D6614">
            <w:pPr>
              <w:rPr>
                <w:rFonts w:ascii="宋体"/>
                <w:vanish/>
              </w:rPr>
            </w:pPr>
          </w:p>
        </w:tc>
        <w:tc>
          <w:tcPr>
            <w:tcW w:w="0" w:type="auto"/>
            <w:shd w:val="clear" w:color="auto" w:fill="auto"/>
            <w:vAlign w:val="center"/>
          </w:tcPr>
          <w:p w14:paraId="64A89066"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067"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06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069" w14:textId="77777777" w:rsidR="008D6614" w:rsidRDefault="00866AF2">
            <w:pPr>
              <w:jc w:val="right"/>
              <w:textAlignment w:val="bottom"/>
            </w:pPr>
            <w:r>
              <w:rPr>
                <w:rFonts w:ascii="Arial" w:eastAsia="宋体" w:hAnsi="Arial" w:cs="Arial"/>
                <w:color w:val="000000"/>
                <w:sz w:val="18"/>
                <w:szCs w:val="18"/>
              </w:rPr>
              <w:t>4.53 </w:t>
            </w:r>
          </w:p>
        </w:tc>
        <w:tc>
          <w:tcPr>
            <w:tcW w:w="0" w:type="auto"/>
            <w:tcBorders>
              <w:top w:val="single" w:sz="8" w:space="0" w:color="000000"/>
            </w:tcBorders>
            <w:shd w:val="clear" w:color="auto" w:fill="FFFFFF"/>
            <w:tcMar>
              <w:top w:w="40" w:type="dxa"/>
              <w:bottom w:w="40" w:type="dxa"/>
              <w:right w:w="20" w:type="dxa"/>
            </w:tcMar>
            <w:vAlign w:val="bottom"/>
          </w:tcPr>
          <w:p w14:paraId="64A8906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06B"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06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06D" w14:textId="77777777" w:rsidR="008D6614" w:rsidRDefault="00866AF2">
            <w:pPr>
              <w:jc w:val="right"/>
              <w:textAlignment w:val="bottom"/>
            </w:pPr>
            <w:r>
              <w:rPr>
                <w:rFonts w:ascii="Arial" w:eastAsia="宋体" w:hAnsi="Arial" w:cs="Arial"/>
                <w:color w:val="000000"/>
                <w:sz w:val="18"/>
                <w:szCs w:val="18"/>
              </w:rPr>
              <w:t>0.58 </w:t>
            </w:r>
          </w:p>
        </w:tc>
        <w:tc>
          <w:tcPr>
            <w:tcW w:w="0" w:type="auto"/>
            <w:tcBorders>
              <w:top w:val="single" w:sz="8" w:space="0" w:color="000000"/>
            </w:tcBorders>
            <w:shd w:val="clear" w:color="auto" w:fill="FFFFFF"/>
            <w:tcMar>
              <w:top w:w="40" w:type="dxa"/>
              <w:bottom w:w="40" w:type="dxa"/>
              <w:right w:w="20" w:type="dxa"/>
            </w:tcMar>
            <w:vAlign w:val="bottom"/>
          </w:tcPr>
          <w:p w14:paraId="64A8906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06F" w14:textId="77777777" w:rsidR="008D6614" w:rsidRDefault="008D6614">
            <w:pPr>
              <w:rPr>
                <w:rFonts w:ascii="宋体"/>
              </w:rPr>
            </w:pPr>
          </w:p>
        </w:tc>
        <w:tc>
          <w:tcPr>
            <w:tcW w:w="0" w:type="auto"/>
            <w:shd w:val="clear" w:color="auto" w:fill="auto"/>
            <w:vAlign w:val="center"/>
          </w:tcPr>
          <w:p w14:paraId="64A89070" w14:textId="77777777" w:rsidR="008D6614" w:rsidRDefault="008D6614">
            <w:pPr>
              <w:rPr>
                <w:rFonts w:ascii="宋体"/>
              </w:rPr>
            </w:pPr>
          </w:p>
        </w:tc>
        <w:tc>
          <w:tcPr>
            <w:tcW w:w="0" w:type="auto"/>
            <w:shd w:val="clear" w:color="auto" w:fill="auto"/>
            <w:vAlign w:val="center"/>
          </w:tcPr>
          <w:p w14:paraId="64A89071" w14:textId="77777777" w:rsidR="008D6614" w:rsidRDefault="008D6614">
            <w:pPr>
              <w:rPr>
                <w:rFonts w:ascii="宋体"/>
              </w:rPr>
            </w:pPr>
          </w:p>
        </w:tc>
        <w:tc>
          <w:tcPr>
            <w:tcW w:w="0" w:type="auto"/>
            <w:shd w:val="clear" w:color="auto" w:fill="auto"/>
            <w:vAlign w:val="center"/>
          </w:tcPr>
          <w:p w14:paraId="64A89072" w14:textId="77777777" w:rsidR="008D6614" w:rsidRDefault="008D6614">
            <w:pPr>
              <w:rPr>
                <w:rFonts w:ascii="宋体"/>
              </w:rPr>
            </w:pPr>
          </w:p>
        </w:tc>
        <w:tc>
          <w:tcPr>
            <w:tcW w:w="0" w:type="auto"/>
            <w:shd w:val="clear" w:color="auto" w:fill="auto"/>
            <w:vAlign w:val="center"/>
          </w:tcPr>
          <w:p w14:paraId="64A89073" w14:textId="77777777" w:rsidR="008D6614" w:rsidRDefault="008D6614">
            <w:pPr>
              <w:rPr>
                <w:rFonts w:ascii="宋体"/>
              </w:rPr>
            </w:pPr>
          </w:p>
        </w:tc>
        <w:tc>
          <w:tcPr>
            <w:tcW w:w="0" w:type="auto"/>
            <w:shd w:val="clear" w:color="auto" w:fill="auto"/>
            <w:vAlign w:val="center"/>
          </w:tcPr>
          <w:p w14:paraId="64A89074" w14:textId="77777777" w:rsidR="008D6614" w:rsidRDefault="008D6614">
            <w:pPr>
              <w:rPr>
                <w:rFonts w:ascii="宋体"/>
              </w:rPr>
            </w:pPr>
          </w:p>
        </w:tc>
      </w:tr>
      <w:tr w:rsidR="008D6614" w14:paraId="64A89084" w14:textId="77777777">
        <w:tc>
          <w:tcPr>
            <w:tcW w:w="0" w:type="auto"/>
            <w:gridSpan w:val="3"/>
            <w:shd w:val="clear" w:color="auto" w:fill="E2E2E2"/>
            <w:tcMar>
              <w:top w:w="40" w:type="dxa"/>
              <w:left w:w="20" w:type="dxa"/>
              <w:bottom w:w="40" w:type="dxa"/>
              <w:right w:w="20" w:type="dxa"/>
            </w:tcMar>
            <w:vAlign w:val="bottom"/>
          </w:tcPr>
          <w:p w14:paraId="64A89076" w14:textId="77777777" w:rsidR="008D6614" w:rsidRDefault="00866AF2">
            <w:pPr>
              <w:textAlignment w:val="bottom"/>
            </w:pPr>
            <w:r>
              <w:rPr>
                <w:rFonts w:ascii="Arial" w:eastAsia="宋体" w:hAnsi="Arial" w:cs="Arial"/>
                <w:color w:val="000000"/>
                <w:sz w:val="18"/>
                <w:szCs w:val="18"/>
              </w:rPr>
              <w:t>Income per share - diluted:</w:t>
            </w:r>
          </w:p>
        </w:tc>
        <w:tc>
          <w:tcPr>
            <w:tcW w:w="0" w:type="auto"/>
            <w:shd w:val="clear" w:color="auto" w:fill="auto"/>
            <w:vAlign w:val="center"/>
          </w:tcPr>
          <w:p w14:paraId="64A89077" w14:textId="77777777" w:rsidR="008D6614" w:rsidRDefault="008D6614">
            <w:pPr>
              <w:rPr>
                <w:rFonts w:ascii="宋体"/>
                <w:vanish/>
              </w:rPr>
            </w:pPr>
          </w:p>
        </w:tc>
        <w:tc>
          <w:tcPr>
            <w:tcW w:w="0" w:type="auto"/>
            <w:shd w:val="clear" w:color="auto" w:fill="auto"/>
            <w:vAlign w:val="center"/>
          </w:tcPr>
          <w:p w14:paraId="64A89078" w14:textId="77777777" w:rsidR="008D6614" w:rsidRDefault="008D6614">
            <w:pPr>
              <w:rPr>
                <w:rFonts w:ascii="宋体"/>
                <w:vanish/>
              </w:rPr>
            </w:pPr>
          </w:p>
        </w:tc>
        <w:tc>
          <w:tcPr>
            <w:tcW w:w="0" w:type="auto"/>
            <w:shd w:val="clear" w:color="auto" w:fill="auto"/>
            <w:vAlign w:val="center"/>
          </w:tcPr>
          <w:p w14:paraId="64A89079"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07A"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907B"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07C"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907D" w14:textId="77777777" w:rsidR="008D6614" w:rsidRDefault="008D6614">
            <w:pPr>
              <w:rPr>
                <w:rFonts w:ascii="宋体"/>
              </w:rPr>
            </w:pPr>
          </w:p>
        </w:tc>
        <w:tc>
          <w:tcPr>
            <w:tcW w:w="0" w:type="auto"/>
            <w:shd w:val="clear" w:color="auto" w:fill="auto"/>
            <w:vAlign w:val="center"/>
          </w:tcPr>
          <w:p w14:paraId="64A8907E" w14:textId="77777777" w:rsidR="008D6614" w:rsidRDefault="008D6614">
            <w:pPr>
              <w:rPr>
                <w:rFonts w:ascii="宋体"/>
              </w:rPr>
            </w:pPr>
          </w:p>
        </w:tc>
        <w:tc>
          <w:tcPr>
            <w:tcW w:w="0" w:type="auto"/>
            <w:shd w:val="clear" w:color="auto" w:fill="auto"/>
            <w:vAlign w:val="center"/>
          </w:tcPr>
          <w:p w14:paraId="64A8907F" w14:textId="77777777" w:rsidR="008D6614" w:rsidRDefault="008D6614">
            <w:pPr>
              <w:rPr>
                <w:rFonts w:ascii="宋体"/>
              </w:rPr>
            </w:pPr>
          </w:p>
        </w:tc>
        <w:tc>
          <w:tcPr>
            <w:tcW w:w="0" w:type="auto"/>
            <w:shd w:val="clear" w:color="auto" w:fill="auto"/>
            <w:vAlign w:val="center"/>
          </w:tcPr>
          <w:p w14:paraId="64A89080" w14:textId="77777777" w:rsidR="008D6614" w:rsidRDefault="008D6614">
            <w:pPr>
              <w:rPr>
                <w:rFonts w:ascii="宋体"/>
              </w:rPr>
            </w:pPr>
          </w:p>
        </w:tc>
        <w:tc>
          <w:tcPr>
            <w:tcW w:w="0" w:type="auto"/>
            <w:shd w:val="clear" w:color="auto" w:fill="auto"/>
            <w:vAlign w:val="center"/>
          </w:tcPr>
          <w:p w14:paraId="64A89081" w14:textId="77777777" w:rsidR="008D6614" w:rsidRDefault="008D6614">
            <w:pPr>
              <w:rPr>
                <w:rFonts w:ascii="宋体"/>
              </w:rPr>
            </w:pPr>
          </w:p>
        </w:tc>
        <w:tc>
          <w:tcPr>
            <w:tcW w:w="0" w:type="auto"/>
            <w:shd w:val="clear" w:color="auto" w:fill="auto"/>
            <w:vAlign w:val="center"/>
          </w:tcPr>
          <w:p w14:paraId="64A89082" w14:textId="77777777" w:rsidR="008D6614" w:rsidRDefault="008D6614">
            <w:pPr>
              <w:rPr>
                <w:rFonts w:ascii="宋体"/>
              </w:rPr>
            </w:pPr>
          </w:p>
        </w:tc>
        <w:tc>
          <w:tcPr>
            <w:tcW w:w="0" w:type="auto"/>
            <w:shd w:val="clear" w:color="auto" w:fill="auto"/>
            <w:vAlign w:val="center"/>
          </w:tcPr>
          <w:p w14:paraId="64A89083" w14:textId="77777777" w:rsidR="008D6614" w:rsidRDefault="008D6614">
            <w:pPr>
              <w:rPr>
                <w:rFonts w:ascii="宋体"/>
              </w:rPr>
            </w:pPr>
          </w:p>
        </w:tc>
      </w:tr>
      <w:tr w:rsidR="008D6614" w14:paraId="64A89097" w14:textId="77777777">
        <w:tc>
          <w:tcPr>
            <w:tcW w:w="0" w:type="auto"/>
            <w:gridSpan w:val="3"/>
            <w:shd w:val="clear" w:color="auto" w:fill="FFFFFF"/>
            <w:tcMar>
              <w:top w:w="40" w:type="dxa"/>
              <w:left w:w="495" w:type="dxa"/>
              <w:bottom w:w="40" w:type="dxa"/>
              <w:right w:w="20" w:type="dxa"/>
            </w:tcMar>
            <w:vAlign w:val="bottom"/>
          </w:tcPr>
          <w:p w14:paraId="64A89085" w14:textId="77777777" w:rsidR="008D6614" w:rsidRDefault="00866AF2">
            <w:pPr>
              <w:textAlignment w:val="bottom"/>
            </w:pPr>
            <w:r>
              <w:rPr>
                <w:rFonts w:ascii="Arial" w:eastAsia="宋体" w:hAnsi="Arial" w:cs="Arial"/>
                <w:color w:val="000000"/>
                <w:sz w:val="18"/>
                <w:szCs w:val="18"/>
              </w:rPr>
              <w:t>Continuing operations</w:t>
            </w:r>
          </w:p>
        </w:tc>
        <w:tc>
          <w:tcPr>
            <w:tcW w:w="0" w:type="auto"/>
            <w:shd w:val="clear" w:color="auto" w:fill="auto"/>
            <w:vAlign w:val="center"/>
          </w:tcPr>
          <w:p w14:paraId="64A89086" w14:textId="77777777" w:rsidR="008D6614" w:rsidRDefault="008D6614">
            <w:pPr>
              <w:rPr>
                <w:rFonts w:ascii="宋体"/>
                <w:vanish/>
              </w:rPr>
            </w:pPr>
          </w:p>
        </w:tc>
        <w:tc>
          <w:tcPr>
            <w:tcW w:w="0" w:type="auto"/>
            <w:shd w:val="clear" w:color="auto" w:fill="auto"/>
            <w:vAlign w:val="center"/>
          </w:tcPr>
          <w:p w14:paraId="64A89087" w14:textId="77777777" w:rsidR="008D6614" w:rsidRDefault="008D6614">
            <w:pPr>
              <w:rPr>
                <w:rFonts w:ascii="宋体"/>
                <w:vanish/>
              </w:rPr>
            </w:pPr>
          </w:p>
        </w:tc>
        <w:tc>
          <w:tcPr>
            <w:tcW w:w="0" w:type="auto"/>
            <w:shd w:val="clear" w:color="auto" w:fill="auto"/>
            <w:vAlign w:val="center"/>
          </w:tcPr>
          <w:p w14:paraId="64A89088"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089"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08A"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08B" w14:textId="77777777" w:rsidR="008D6614" w:rsidRDefault="00866AF2">
            <w:pPr>
              <w:jc w:val="right"/>
              <w:textAlignment w:val="bottom"/>
            </w:pPr>
            <w:r>
              <w:rPr>
                <w:rFonts w:ascii="Arial" w:eastAsia="宋体" w:hAnsi="Arial" w:cs="Arial"/>
                <w:color w:val="000000"/>
                <w:sz w:val="18"/>
                <w:szCs w:val="18"/>
              </w:rPr>
              <w:t>0.64 </w:t>
            </w:r>
          </w:p>
        </w:tc>
        <w:tc>
          <w:tcPr>
            <w:tcW w:w="0" w:type="auto"/>
            <w:shd w:val="clear" w:color="auto" w:fill="FFFFFF"/>
            <w:tcMar>
              <w:top w:w="40" w:type="dxa"/>
              <w:bottom w:w="40" w:type="dxa"/>
              <w:right w:w="20" w:type="dxa"/>
            </w:tcMar>
            <w:vAlign w:val="bottom"/>
          </w:tcPr>
          <w:p w14:paraId="64A8908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08D"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08E"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08F" w14:textId="77777777" w:rsidR="008D6614" w:rsidRDefault="00866AF2">
            <w:pPr>
              <w:jc w:val="right"/>
              <w:textAlignment w:val="bottom"/>
            </w:pPr>
            <w:r>
              <w:rPr>
                <w:rFonts w:ascii="Arial" w:eastAsia="宋体" w:hAnsi="Arial" w:cs="Arial"/>
                <w:color w:val="000000"/>
                <w:sz w:val="18"/>
                <w:szCs w:val="18"/>
              </w:rPr>
              <w:t>0.57 </w:t>
            </w:r>
          </w:p>
        </w:tc>
        <w:tc>
          <w:tcPr>
            <w:tcW w:w="0" w:type="auto"/>
            <w:shd w:val="clear" w:color="auto" w:fill="FFFFFF"/>
            <w:tcMar>
              <w:top w:w="40" w:type="dxa"/>
              <w:bottom w:w="40" w:type="dxa"/>
              <w:right w:w="20" w:type="dxa"/>
            </w:tcMar>
            <w:vAlign w:val="bottom"/>
          </w:tcPr>
          <w:p w14:paraId="64A8909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091" w14:textId="77777777" w:rsidR="008D6614" w:rsidRDefault="008D6614">
            <w:pPr>
              <w:rPr>
                <w:rFonts w:ascii="宋体"/>
              </w:rPr>
            </w:pPr>
          </w:p>
        </w:tc>
        <w:tc>
          <w:tcPr>
            <w:tcW w:w="0" w:type="auto"/>
            <w:shd w:val="clear" w:color="auto" w:fill="auto"/>
            <w:vAlign w:val="center"/>
          </w:tcPr>
          <w:p w14:paraId="64A89092" w14:textId="77777777" w:rsidR="008D6614" w:rsidRDefault="008D6614">
            <w:pPr>
              <w:rPr>
                <w:rFonts w:ascii="宋体"/>
              </w:rPr>
            </w:pPr>
          </w:p>
        </w:tc>
        <w:tc>
          <w:tcPr>
            <w:tcW w:w="0" w:type="auto"/>
            <w:shd w:val="clear" w:color="auto" w:fill="auto"/>
            <w:vAlign w:val="center"/>
          </w:tcPr>
          <w:p w14:paraId="64A89093" w14:textId="77777777" w:rsidR="008D6614" w:rsidRDefault="008D6614">
            <w:pPr>
              <w:rPr>
                <w:rFonts w:ascii="宋体"/>
              </w:rPr>
            </w:pPr>
          </w:p>
        </w:tc>
        <w:tc>
          <w:tcPr>
            <w:tcW w:w="0" w:type="auto"/>
            <w:shd w:val="clear" w:color="auto" w:fill="auto"/>
            <w:vAlign w:val="center"/>
          </w:tcPr>
          <w:p w14:paraId="64A89094" w14:textId="77777777" w:rsidR="008D6614" w:rsidRDefault="008D6614">
            <w:pPr>
              <w:rPr>
                <w:rFonts w:ascii="宋体"/>
              </w:rPr>
            </w:pPr>
          </w:p>
        </w:tc>
        <w:tc>
          <w:tcPr>
            <w:tcW w:w="0" w:type="auto"/>
            <w:shd w:val="clear" w:color="auto" w:fill="auto"/>
            <w:vAlign w:val="center"/>
          </w:tcPr>
          <w:p w14:paraId="64A89095" w14:textId="77777777" w:rsidR="008D6614" w:rsidRDefault="008D6614">
            <w:pPr>
              <w:rPr>
                <w:rFonts w:ascii="宋体"/>
              </w:rPr>
            </w:pPr>
          </w:p>
        </w:tc>
        <w:tc>
          <w:tcPr>
            <w:tcW w:w="0" w:type="auto"/>
            <w:shd w:val="clear" w:color="auto" w:fill="auto"/>
            <w:vAlign w:val="center"/>
          </w:tcPr>
          <w:p w14:paraId="64A89096" w14:textId="77777777" w:rsidR="008D6614" w:rsidRDefault="008D6614">
            <w:pPr>
              <w:rPr>
                <w:rFonts w:ascii="宋体"/>
              </w:rPr>
            </w:pPr>
          </w:p>
        </w:tc>
      </w:tr>
      <w:tr w:rsidR="008D6614" w14:paraId="64A890A8" w14:textId="77777777">
        <w:tc>
          <w:tcPr>
            <w:tcW w:w="0" w:type="auto"/>
            <w:gridSpan w:val="3"/>
            <w:shd w:val="clear" w:color="auto" w:fill="E2E2E2"/>
            <w:tcMar>
              <w:top w:w="40" w:type="dxa"/>
              <w:left w:w="495" w:type="dxa"/>
              <w:bottom w:w="40" w:type="dxa"/>
              <w:right w:w="20" w:type="dxa"/>
            </w:tcMar>
            <w:vAlign w:val="bottom"/>
          </w:tcPr>
          <w:p w14:paraId="64A89098" w14:textId="77777777" w:rsidR="008D6614" w:rsidRDefault="00866AF2">
            <w:pPr>
              <w:textAlignment w:val="bottom"/>
            </w:pPr>
            <w:r>
              <w:rPr>
                <w:rFonts w:ascii="Arial" w:eastAsia="宋体" w:hAnsi="Arial" w:cs="Arial"/>
                <w:color w:val="000000"/>
                <w:sz w:val="18"/>
                <w:szCs w:val="18"/>
              </w:rPr>
              <w:t>Discont</w:t>
            </w:r>
            <w:r>
              <w:rPr>
                <w:rFonts w:ascii="Arial" w:eastAsia="宋体" w:hAnsi="Arial" w:cs="Arial"/>
                <w:color w:val="000000"/>
                <w:sz w:val="18"/>
                <w:szCs w:val="18"/>
              </w:rPr>
              <w:t>inued operations</w:t>
            </w:r>
          </w:p>
        </w:tc>
        <w:tc>
          <w:tcPr>
            <w:tcW w:w="0" w:type="auto"/>
            <w:shd w:val="clear" w:color="auto" w:fill="auto"/>
            <w:vAlign w:val="center"/>
          </w:tcPr>
          <w:p w14:paraId="64A89099" w14:textId="77777777" w:rsidR="008D6614" w:rsidRDefault="008D6614">
            <w:pPr>
              <w:rPr>
                <w:rFonts w:ascii="宋体"/>
                <w:vanish/>
              </w:rPr>
            </w:pPr>
          </w:p>
        </w:tc>
        <w:tc>
          <w:tcPr>
            <w:tcW w:w="0" w:type="auto"/>
            <w:shd w:val="clear" w:color="auto" w:fill="auto"/>
            <w:vAlign w:val="center"/>
          </w:tcPr>
          <w:p w14:paraId="64A8909A" w14:textId="77777777" w:rsidR="008D6614" w:rsidRDefault="008D6614">
            <w:pPr>
              <w:rPr>
                <w:rFonts w:ascii="宋体"/>
                <w:vanish/>
              </w:rPr>
            </w:pPr>
          </w:p>
        </w:tc>
        <w:tc>
          <w:tcPr>
            <w:tcW w:w="0" w:type="auto"/>
            <w:shd w:val="clear" w:color="auto" w:fill="auto"/>
            <w:vAlign w:val="center"/>
          </w:tcPr>
          <w:p w14:paraId="64A8909B"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09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09D" w14:textId="77777777" w:rsidR="008D6614" w:rsidRDefault="00866AF2">
            <w:pPr>
              <w:jc w:val="right"/>
              <w:textAlignment w:val="bottom"/>
            </w:pPr>
            <w:r>
              <w:rPr>
                <w:rFonts w:ascii="Arial" w:eastAsia="宋体" w:hAnsi="Arial" w:cs="Arial"/>
                <w:color w:val="000000"/>
                <w:sz w:val="18"/>
                <w:szCs w:val="18"/>
              </w:rPr>
              <w:t>3.87 </w:t>
            </w:r>
          </w:p>
        </w:tc>
        <w:tc>
          <w:tcPr>
            <w:tcW w:w="0" w:type="auto"/>
            <w:shd w:val="clear" w:color="auto" w:fill="E2E2E2"/>
            <w:tcMar>
              <w:top w:w="40" w:type="dxa"/>
              <w:bottom w:w="40" w:type="dxa"/>
              <w:right w:w="20" w:type="dxa"/>
            </w:tcMar>
            <w:vAlign w:val="bottom"/>
          </w:tcPr>
          <w:p w14:paraId="64A8909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09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0A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90A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0A2" w14:textId="77777777" w:rsidR="008D6614" w:rsidRDefault="008D6614">
            <w:pPr>
              <w:rPr>
                <w:rFonts w:ascii="宋体"/>
              </w:rPr>
            </w:pPr>
          </w:p>
        </w:tc>
        <w:tc>
          <w:tcPr>
            <w:tcW w:w="0" w:type="auto"/>
            <w:shd w:val="clear" w:color="auto" w:fill="auto"/>
            <w:vAlign w:val="center"/>
          </w:tcPr>
          <w:p w14:paraId="64A890A3" w14:textId="77777777" w:rsidR="008D6614" w:rsidRDefault="008D6614">
            <w:pPr>
              <w:rPr>
                <w:rFonts w:ascii="宋体"/>
              </w:rPr>
            </w:pPr>
          </w:p>
        </w:tc>
        <w:tc>
          <w:tcPr>
            <w:tcW w:w="0" w:type="auto"/>
            <w:shd w:val="clear" w:color="auto" w:fill="auto"/>
            <w:vAlign w:val="center"/>
          </w:tcPr>
          <w:p w14:paraId="64A890A4" w14:textId="77777777" w:rsidR="008D6614" w:rsidRDefault="008D6614">
            <w:pPr>
              <w:rPr>
                <w:rFonts w:ascii="宋体"/>
              </w:rPr>
            </w:pPr>
          </w:p>
        </w:tc>
        <w:tc>
          <w:tcPr>
            <w:tcW w:w="0" w:type="auto"/>
            <w:shd w:val="clear" w:color="auto" w:fill="auto"/>
            <w:vAlign w:val="center"/>
          </w:tcPr>
          <w:p w14:paraId="64A890A5" w14:textId="77777777" w:rsidR="008D6614" w:rsidRDefault="008D6614">
            <w:pPr>
              <w:rPr>
                <w:rFonts w:ascii="宋体"/>
              </w:rPr>
            </w:pPr>
          </w:p>
        </w:tc>
        <w:tc>
          <w:tcPr>
            <w:tcW w:w="0" w:type="auto"/>
            <w:shd w:val="clear" w:color="auto" w:fill="auto"/>
            <w:vAlign w:val="center"/>
          </w:tcPr>
          <w:p w14:paraId="64A890A6" w14:textId="77777777" w:rsidR="008D6614" w:rsidRDefault="008D6614">
            <w:pPr>
              <w:rPr>
                <w:rFonts w:ascii="宋体"/>
              </w:rPr>
            </w:pPr>
          </w:p>
        </w:tc>
        <w:tc>
          <w:tcPr>
            <w:tcW w:w="0" w:type="auto"/>
            <w:shd w:val="clear" w:color="auto" w:fill="auto"/>
            <w:vAlign w:val="center"/>
          </w:tcPr>
          <w:p w14:paraId="64A890A7" w14:textId="77777777" w:rsidR="008D6614" w:rsidRDefault="008D6614">
            <w:pPr>
              <w:rPr>
                <w:rFonts w:ascii="宋体"/>
              </w:rPr>
            </w:pPr>
          </w:p>
        </w:tc>
      </w:tr>
      <w:tr w:rsidR="008D6614" w14:paraId="64A890BB" w14:textId="77777777">
        <w:tc>
          <w:tcPr>
            <w:tcW w:w="0" w:type="auto"/>
            <w:gridSpan w:val="3"/>
            <w:shd w:val="clear" w:color="auto" w:fill="FFFFFF"/>
            <w:tcMar>
              <w:top w:w="40" w:type="dxa"/>
              <w:left w:w="20" w:type="dxa"/>
              <w:bottom w:w="40" w:type="dxa"/>
              <w:right w:w="20" w:type="dxa"/>
            </w:tcMar>
            <w:vAlign w:val="bottom"/>
          </w:tcPr>
          <w:p w14:paraId="64A890A9" w14:textId="77777777" w:rsidR="008D6614" w:rsidRDefault="00866AF2">
            <w:pPr>
              <w:textAlignment w:val="bottom"/>
            </w:pPr>
            <w:r>
              <w:rPr>
                <w:rFonts w:ascii="Arial" w:eastAsia="宋体" w:hAnsi="Arial" w:cs="Arial"/>
                <w:color w:val="000000"/>
                <w:sz w:val="18"/>
                <w:szCs w:val="18"/>
              </w:rPr>
              <w:t>Net income per share - diluted</w:t>
            </w:r>
          </w:p>
        </w:tc>
        <w:tc>
          <w:tcPr>
            <w:tcW w:w="0" w:type="auto"/>
            <w:shd w:val="clear" w:color="auto" w:fill="auto"/>
            <w:vAlign w:val="center"/>
          </w:tcPr>
          <w:p w14:paraId="64A890AA" w14:textId="77777777" w:rsidR="008D6614" w:rsidRDefault="008D6614">
            <w:pPr>
              <w:rPr>
                <w:rFonts w:ascii="宋体"/>
                <w:vanish/>
              </w:rPr>
            </w:pPr>
          </w:p>
        </w:tc>
        <w:tc>
          <w:tcPr>
            <w:tcW w:w="0" w:type="auto"/>
            <w:shd w:val="clear" w:color="auto" w:fill="auto"/>
            <w:vAlign w:val="center"/>
          </w:tcPr>
          <w:p w14:paraId="64A890AB" w14:textId="77777777" w:rsidR="008D6614" w:rsidRDefault="008D6614">
            <w:pPr>
              <w:rPr>
                <w:rFonts w:ascii="宋体"/>
                <w:vanish/>
              </w:rPr>
            </w:pPr>
          </w:p>
        </w:tc>
        <w:tc>
          <w:tcPr>
            <w:tcW w:w="0" w:type="auto"/>
            <w:shd w:val="clear" w:color="auto" w:fill="auto"/>
            <w:vAlign w:val="center"/>
          </w:tcPr>
          <w:p w14:paraId="64A890AC"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0AD"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0A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0AF" w14:textId="77777777" w:rsidR="008D6614" w:rsidRDefault="00866AF2">
            <w:pPr>
              <w:jc w:val="right"/>
              <w:textAlignment w:val="bottom"/>
            </w:pPr>
            <w:r>
              <w:rPr>
                <w:rFonts w:ascii="Arial" w:eastAsia="宋体" w:hAnsi="Arial" w:cs="Arial"/>
                <w:color w:val="000000"/>
                <w:sz w:val="18"/>
                <w:szCs w:val="18"/>
              </w:rPr>
              <w:t>4.51 </w:t>
            </w:r>
          </w:p>
        </w:tc>
        <w:tc>
          <w:tcPr>
            <w:tcW w:w="0" w:type="auto"/>
            <w:tcBorders>
              <w:top w:val="single" w:sz="8" w:space="0" w:color="000000"/>
            </w:tcBorders>
            <w:shd w:val="clear" w:color="auto" w:fill="FFFFFF"/>
            <w:tcMar>
              <w:top w:w="40" w:type="dxa"/>
              <w:bottom w:w="40" w:type="dxa"/>
              <w:right w:w="20" w:type="dxa"/>
            </w:tcMar>
            <w:vAlign w:val="bottom"/>
          </w:tcPr>
          <w:p w14:paraId="64A890B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0B1"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0B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0B3" w14:textId="77777777" w:rsidR="008D6614" w:rsidRDefault="00866AF2">
            <w:pPr>
              <w:jc w:val="right"/>
              <w:textAlignment w:val="bottom"/>
            </w:pPr>
            <w:r>
              <w:rPr>
                <w:rFonts w:ascii="Arial" w:eastAsia="宋体" w:hAnsi="Arial" w:cs="Arial"/>
                <w:color w:val="000000"/>
                <w:sz w:val="18"/>
                <w:szCs w:val="18"/>
              </w:rPr>
              <w:t>0.57 </w:t>
            </w:r>
          </w:p>
        </w:tc>
        <w:tc>
          <w:tcPr>
            <w:tcW w:w="0" w:type="auto"/>
            <w:tcBorders>
              <w:top w:val="single" w:sz="8" w:space="0" w:color="000000"/>
            </w:tcBorders>
            <w:shd w:val="clear" w:color="auto" w:fill="FFFFFF"/>
            <w:tcMar>
              <w:top w:w="40" w:type="dxa"/>
              <w:bottom w:w="40" w:type="dxa"/>
              <w:right w:w="20" w:type="dxa"/>
            </w:tcMar>
            <w:vAlign w:val="bottom"/>
          </w:tcPr>
          <w:p w14:paraId="64A890B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0B5" w14:textId="77777777" w:rsidR="008D6614" w:rsidRDefault="008D6614">
            <w:pPr>
              <w:rPr>
                <w:rFonts w:ascii="宋体"/>
              </w:rPr>
            </w:pPr>
          </w:p>
        </w:tc>
        <w:tc>
          <w:tcPr>
            <w:tcW w:w="0" w:type="auto"/>
            <w:shd w:val="clear" w:color="auto" w:fill="auto"/>
            <w:vAlign w:val="center"/>
          </w:tcPr>
          <w:p w14:paraId="64A890B6" w14:textId="77777777" w:rsidR="008D6614" w:rsidRDefault="008D6614">
            <w:pPr>
              <w:rPr>
                <w:rFonts w:ascii="宋体"/>
              </w:rPr>
            </w:pPr>
          </w:p>
        </w:tc>
        <w:tc>
          <w:tcPr>
            <w:tcW w:w="0" w:type="auto"/>
            <w:shd w:val="clear" w:color="auto" w:fill="auto"/>
            <w:vAlign w:val="center"/>
          </w:tcPr>
          <w:p w14:paraId="64A890B7" w14:textId="77777777" w:rsidR="008D6614" w:rsidRDefault="008D6614">
            <w:pPr>
              <w:rPr>
                <w:rFonts w:ascii="宋体"/>
              </w:rPr>
            </w:pPr>
          </w:p>
        </w:tc>
        <w:tc>
          <w:tcPr>
            <w:tcW w:w="0" w:type="auto"/>
            <w:shd w:val="clear" w:color="auto" w:fill="auto"/>
            <w:vAlign w:val="center"/>
          </w:tcPr>
          <w:p w14:paraId="64A890B8" w14:textId="77777777" w:rsidR="008D6614" w:rsidRDefault="008D6614">
            <w:pPr>
              <w:rPr>
                <w:rFonts w:ascii="宋体"/>
              </w:rPr>
            </w:pPr>
          </w:p>
        </w:tc>
        <w:tc>
          <w:tcPr>
            <w:tcW w:w="0" w:type="auto"/>
            <w:shd w:val="clear" w:color="auto" w:fill="auto"/>
            <w:vAlign w:val="center"/>
          </w:tcPr>
          <w:p w14:paraId="64A890B9" w14:textId="77777777" w:rsidR="008D6614" w:rsidRDefault="008D6614">
            <w:pPr>
              <w:rPr>
                <w:rFonts w:ascii="宋体"/>
              </w:rPr>
            </w:pPr>
          </w:p>
        </w:tc>
        <w:tc>
          <w:tcPr>
            <w:tcW w:w="0" w:type="auto"/>
            <w:shd w:val="clear" w:color="auto" w:fill="auto"/>
            <w:vAlign w:val="center"/>
          </w:tcPr>
          <w:p w14:paraId="64A890BA" w14:textId="77777777" w:rsidR="008D6614" w:rsidRDefault="008D6614">
            <w:pPr>
              <w:rPr>
                <w:rFonts w:ascii="宋体"/>
              </w:rPr>
            </w:pPr>
          </w:p>
        </w:tc>
      </w:tr>
      <w:tr w:rsidR="008D6614" w14:paraId="64A890CC" w14:textId="77777777">
        <w:tc>
          <w:tcPr>
            <w:tcW w:w="0" w:type="auto"/>
            <w:gridSpan w:val="3"/>
            <w:shd w:val="clear" w:color="auto" w:fill="E2E2E2"/>
            <w:tcMar>
              <w:top w:w="40" w:type="dxa"/>
              <w:left w:w="20" w:type="dxa"/>
              <w:bottom w:w="40" w:type="dxa"/>
              <w:right w:w="20" w:type="dxa"/>
            </w:tcMar>
            <w:vAlign w:val="bottom"/>
          </w:tcPr>
          <w:p w14:paraId="64A890BC" w14:textId="77777777" w:rsidR="008D6614" w:rsidRDefault="00866AF2">
            <w:pPr>
              <w:textAlignment w:val="bottom"/>
            </w:pPr>
            <w:r>
              <w:rPr>
                <w:rFonts w:ascii="Arial" w:eastAsia="宋体" w:hAnsi="Arial" w:cs="Arial"/>
                <w:color w:val="000000"/>
                <w:sz w:val="18"/>
                <w:szCs w:val="18"/>
              </w:rPr>
              <w:t>Common stock equivalents excluded from income per diluted share because their effect would have been anti-dilutive</w:t>
            </w:r>
          </w:p>
        </w:tc>
        <w:tc>
          <w:tcPr>
            <w:tcW w:w="0" w:type="auto"/>
            <w:shd w:val="clear" w:color="auto" w:fill="auto"/>
            <w:vAlign w:val="center"/>
          </w:tcPr>
          <w:p w14:paraId="64A890BD" w14:textId="77777777" w:rsidR="008D6614" w:rsidRDefault="008D6614">
            <w:pPr>
              <w:rPr>
                <w:rFonts w:ascii="宋体"/>
                <w:vanish/>
              </w:rPr>
            </w:pPr>
          </w:p>
        </w:tc>
        <w:tc>
          <w:tcPr>
            <w:tcW w:w="0" w:type="auto"/>
            <w:shd w:val="clear" w:color="auto" w:fill="auto"/>
            <w:vAlign w:val="center"/>
          </w:tcPr>
          <w:p w14:paraId="64A890BE" w14:textId="77777777" w:rsidR="008D6614" w:rsidRDefault="008D6614">
            <w:pPr>
              <w:rPr>
                <w:rFonts w:ascii="宋体"/>
                <w:vanish/>
              </w:rPr>
            </w:pPr>
          </w:p>
        </w:tc>
        <w:tc>
          <w:tcPr>
            <w:tcW w:w="0" w:type="auto"/>
            <w:shd w:val="clear" w:color="auto" w:fill="auto"/>
            <w:vAlign w:val="center"/>
          </w:tcPr>
          <w:p w14:paraId="64A890BF"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0C0" w14:textId="77777777" w:rsidR="008D6614" w:rsidRDefault="008D6614">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A890C1" w14:textId="77777777" w:rsidR="008D6614" w:rsidRDefault="00866AF2">
            <w:pPr>
              <w:jc w:val="right"/>
              <w:textAlignment w:val="bottom"/>
            </w:pPr>
            <w:r>
              <w:rPr>
                <w:rFonts w:ascii="Arial" w:eastAsia="宋体" w:hAnsi="Arial" w:cs="Arial"/>
                <w:color w:val="000000"/>
                <w:sz w:val="18"/>
                <w:szCs w:val="18"/>
              </w:rPr>
              <w:t>15 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64A890C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0C3" w14:textId="77777777" w:rsidR="008D6614" w:rsidRDefault="008D6614">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A890C4" w14:textId="77777777" w:rsidR="008D6614" w:rsidRDefault="00866AF2">
            <w:pPr>
              <w:jc w:val="right"/>
              <w:textAlignment w:val="bottom"/>
            </w:pPr>
            <w:r>
              <w:rPr>
                <w:rFonts w:ascii="Arial" w:eastAsia="宋体" w:hAnsi="Arial" w:cs="Arial"/>
                <w:color w:val="000000"/>
                <w:sz w:val="18"/>
                <w:szCs w:val="18"/>
              </w:rPr>
              <w:t>11 </w:t>
            </w:r>
          </w:p>
        </w:tc>
        <w:tc>
          <w:tcPr>
            <w:tcW w:w="0" w:type="auto"/>
            <w:tcBorders>
              <w:top w:val="double" w:sz="6" w:space="0" w:color="000000"/>
              <w:bottom w:val="double" w:sz="6" w:space="0" w:color="000000"/>
            </w:tcBorders>
            <w:shd w:val="clear" w:color="auto" w:fill="E2E2E2"/>
            <w:tcMar>
              <w:top w:w="40" w:type="dxa"/>
              <w:bottom w:w="40" w:type="dxa"/>
              <w:right w:w="20" w:type="dxa"/>
            </w:tcMar>
            <w:vAlign w:val="bottom"/>
          </w:tcPr>
          <w:p w14:paraId="64A890C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0C6" w14:textId="77777777" w:rsidR="008D6614" w:rsidRDefault="008D6614">
            <w:pPr>
              <w:rPr>
                <w:rFonts w:ascii="宋体"/>
              </w:rPr>
            </w:pPr>
          </w:p>
        </w:tc>
        <w:tc>
          <w:tcPr>
            <w:tcW w:w="0" w:type="auto"/>
            <w:shd w:val="clear" w:color="auto" w:fill="auto"/>
            <w:vAlign w:val="center"/>
          </w:tcPr>
          <w:p w14:paraId="64A890C7" w14:textId="77777777" w:rsidR="008D6614" w:rsidRDefault="008D6614">
            <w:pPr>
              <w:rPr>
                <w:rFonts w:ascii="宋体"/>
              </w:rPr>
            </w:pPr>
          </w:p>
        </w:tc>
        <w:tc>
          <w:tcPr>
            <w:tcW w:w="0" w:type="auto"/>
            <w:shd w:val="clear" w:color="auto" w:fill="auto"/>
            <w:vAlign w:val="center"/>
          </w:tcPr>
          <w:p w14:paraId="64A890C8" w14:textId="77777777" w:rsidR="008D6614" w:rsidRDefault="008D6614">
            <w:pPr>
              <w:rPr>
                <w:rFonts w:ascii="宋体"/>
              </w:rPr>
            </w:pPr>
          </w:p>
        </w:tc>
        <w:tc>
          <w:tcPr>
            <w:tcW w:w="0" w:type="auto"/>
            <w:shd w:val="clear" w:color="auto" w:fill="auto"/>
            <w:vAlign w:val="center"/>
          </w:tcPr>
          <w:p w14:paraId="64A890C9" w14:textId="77777777" w:rsidR="008D6614" w:rsidRDefault="008D6614">
            <w:pPr>
              <w:rPr>
                <w:rFonts w:ascii="宋体"/>
              </w:rPr>
            </w:pPr>
          </w:p>
        </w:tc>
        <w:tc>
          <w:tcPr>
            <w:tcW w:w="0" w:type="auto"/>
            <w:shd w:val="clear" w:color="auto" w:fill="auto"/>
            <w:vAlign w:val="center"/>
          </w:tcPr>
          <w:p w14:paraId="64A890CA" w14:textId="77777777" w:rsidR="008D6614" w:rsidRDefault="008D6614">
            <w:pPr>
              <w:rPr>
                <w:rFonts w:ascii="宋体"/>
              </w:rPr>
            </w:pPr>
          </w:p>
        </w:tc>
        <w:tc>
          <w:tcPr>
            <w:tcW w:w="0" w:type="auto"/>
            <w:shd w:val="clear" w:color="auto" w:fill="auto"/>
            <w:vAlign w:val="center"/>
          </w:tcPr>
          <w:p w14:paraId="64A890CB" w14:textId="77777777" w:rsidR="008D6614" w:rsidRDefault="008D6614">
            <w:pPr>
              <w:rPr>
                <w:rFonts w:ascii="宋体"/>
              </w:rPr>
            </w:pPr>
          </w:p>
        </w:tc>
      </w:tr>
    </w:tbl>
    <w:p w14:paraId="64A890CD" w14:textId="77777777" w:rsidR="008D6614" w:rsidRDefault="008D6614"/>
    <w:p w14:paraId="64A890CE" w14:textId="77777777" w:rsidR="008D6614" w:rsidRDefault="008D6614">
      <w:pPr>
        <w:jc w:val="center"/>
      </w:pPr>
    </w:p>
    <w:p w14:paraId="64A890CF" w14:textId="77777777" w:rsidR="008D6614" w:rsidRDefault="00866AF2">
      <w:pPr>
        <w:jc w:val="center"/>
      </w:pPr>
      <w:r>
        <w:rPr>
          <w:rFonts w:ascii="Arial" w:eastAsia="宋体" w:hAnsi="Arial" w:cs="Arial"/>
          <w:color w:val="000000"/>
          <w:sz w:val="20"/>
          <w:szCs w:val="20"/>
        </w:rPr>
        <w:t>10</w:t>
      </w:r>
    </w:p>
    <w:p w14:paraId="64A890D0" w14:textId="77777777" w:rsidR="008D6614" w:rsidRDefault="00866AF2">
      <w:r>
        <w:pict w14:anchorId="64A8B9E7">
          <v:rect id="_x0000_i1034" style="width:415.3pt;height:1.5pt" o:hralign="center" o:hrstd="t" o:hr="t" fillcolor="#a0a0a0" stroked="f"/>
        </w:pict>
      </w:r>
    </w:p>
    <w:p w14:paraId="64A890D1" w14:textId="77777777" w:rsidR="008D6614" w:rsidRDefault="008D6614">
      <w:pPr>
        <w:jc w:val="center"/>
      </w:pPr>
    </w:p>
    <w:p w14:paraId="64A890D2" w14:textId="77777777" w:rsidR="008D6614" w:rsidRDefault="00866AF2">
      <w:pPr>
        <w:jc w:val="center"/>
      </w:pPr>
      <w:r>
        <w:rPr>
          <w:rFonts w:ascii="Arial" w:eastAsia="宋体" w:hAnsi="Arial" w:cs="Arial"/>
          <w:b/>
          <w:bCs/>
          <w:color w:val="000000"/>
          <w:sz w:val="20"/>
          <w:szCs w:val="20"/>
        </w:rPr>
        <w:t>eBay Inc.</w:t>
      </w:r>
    </w:p>
    <w:p w14:paraId="64A890D3"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90D4" w14:textId="77777777" w:rsidR="008D6614" w:rsidRDefault="00866AF2">
      <w:pPr>
        <w:jc w:val="both"/>
      </w:pPr>
      <w:r>
        <w:rPr>
          <w:rFonts w:ascii="Arial" w:eastAsia="宋体" w:hAnsi="Arial" w:cs="Arial"/>
          <w:b/>
          <w:bCs/>
          <w:color w:val="000000"/>
          <w:sz w:val="20"/>
          <w:szCs w:val="20"/>
        </w:rPr>
        <w:t xml:space="preserve">Note 3 — Business </w:t>
      </w:r>
      <w:r>
        <w:rPr>
          <w:rFonts w:ascii="Arial" w:eastAsia="宋体" w:hAnsi="Arial" w:cs="Arial"/>
          <w:b/>
          <w:bCs/>
          <w:color w:val="000000"/>
          <w:sz w:val="20"/>
          <w:szCs w:val="20"/>
        </w:rPr>
        <w:t>Combinations</w:t>
      </w:r>
      <w:r>
        <w:rPr>
          <w:rFonts w:ascii="Arial" w:eastAsia="宋体" w:hAnsi="Arial" w:cs="Arial"/>
          <w:b/>
          <w:bCs/>
          <w:color w:val="FF0000"/>
          <w:sz w:val="20"/>
          <w:szCs w:val="20"/>
        </w:rPr>
        <w:t xml:space="preserve"> </w:t>
      </w:r>
    </w:p>
    <w:p w14:paraId="64A890D5" w14:textId="77777777" w:rsidR="008D6614" w:rsidRDefault="008D6614">
      <w:pPr>
        <w:jc w:val="both"/>
      </w:pPr>
    </w:p>
    <w:p w14:paraId="64A890D6" w14:textId="77777777" w:rsidR="008D6614" w:rsidRDefault="00866AF2">
      <w:pPr>
        <w:jc w:val="both"/>
      </w:pPr>
      <w:r>
        <w:rPr>
          <w:rFonts w:ascii="Arial" w:eastAsia="宋体" w:hAnsi="Arial" w:cs="Arial"/>
          <w:b/>
          <w:bCs/>
          <w:i/>
          <w:iCs/>
          <w:color w:val="000000"/>
          <w:sz w:val="20"/>
          <w:szCs w:val="20"/>
        </w:rPr>
        <w:t>Motors.co.uk</w:t>
      </w:r>
    </w:p>
    <w:p w14:paraId="64A890D7" w14:textId="77777777" w:rsidR="008D6614" w:rsidRDefault="008D6614">
      <w:pPr>
        <w:jc w:val="both"/>
      </w:pPr>
    </w:p>
    <w:p w14:paraId="64A890D8" w14:textId="77777777" w:rsidR="008D6614" w:rsidRDefault="00866AF2">
      <w:pPr>
        <w:ind w:firstLine="540"/>
        <w:jc w:val="both"/>
      </w:pPr>
      <w:r>
        <w:rPr>
          <w:rFonts w:ascii="Arial" w:eastAsia="宋体" w:hAnsi="Arial" w:cs="Arial"/>
          <w:color w:val="000000"/>
          <w:sz w:val="20"/>
          <w:szCs w:val="20"/>
        </w:rPr>
        <w:t xml:space="preserve">In February 2019, we completed our acquisition of the U.K.-based classifieds site, Motors.co.uk, for $93 million in cash. We believe the acquisition will increase our international presence and give buyers access to more listings. </w:t>
      </w:r>
    </w:p>
    <w:p w14:paraId="64A890D9" w14:textId="77777777" w:rsidR="008D6614" w:rsidRDefault="008D6614">
      <w:pPr>
        <w:ind w:firstLine="540"/>
        <w:jc w:val="both"/>
      </w:pPr>
    </w:p>
    <w:p w14:paraId="64A890DA" w14:textId="77777777" w:rsidR="008D6614" w:rsidRDefault="00866AF2">
      <w:pPr>
        <w:ind w:firstLine="540"/>
        <w:jc w:val="both"/>
      </w:pPr>
      <w:r>
        <w:rPr>
          <w:rFonts w:ascii="Arial" w:eastAsia="宋体" w:hAnsi="Arial" w:cs="Arial"/>
          <w:color w:val="000000"/>
          <w:sz w:val="20"/>
          <w:szCs w:val="20"/>
        </w:rPr>
        <w:t xml:space="preserve">The aggregate purchase </w:t>
      </w:r>
      <w:r>
        <w:rPr>
          <w:rFonts w:ascii="Arial" w:eastAsia="宋体" w:hAnsi="Arial" w:cs="Arial"/>
          <w:color w:val="000000"/>
          <w:sz w:val="20"/>
          <w:szCs w:val="20"/>
        </w:rPr>
        <w:t>consideration was allocated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7056"/>
        <w:gridCol w:w="36"/>
        <w:gridCol w:w="137"/>
        <w:gridCol w:w="978"/>
        <w:gridCol w:w="91"/>
      </w:tblGrid>
      <w:tr w:rsidR="008D6614" w14:paraId="64A890E1" w14:textId="77777777">
        <w:trPr>
          <w:jc w:val="center"/>
        </w:trPr>
        <w:tc>
          <w:tcPr>
            <w:tcW w:w="50" w:type="pct"/>
            <w:shd w:val="clear" w:color="auto" w:fill="auto"/>
            <w:vAlign w:val="center"/>
          </w:tcPr>
          <w:p w14:paraId="64A890DB" w14:textId="77777777" w:rsidR="008D6614" w:rsidRDefault="008D6614">
            <w:pPr>
              <w:rPr>
                <w:rFonts w:ascii="宋体"/>
              </w:rPr>
            </w:pPr>
          </w:p>
        </w:tc>
        <w:tc>
          <w:tcPr>
            <w:tcW w:w="4264" w:type="pct"/>
            <w:shd w:val="clear" w:color="auto" w:fill="auto"/>
            <w:vAlign w:val="center"/>
          </w:tcPr>
          <w:p w14:paraId="64A890DC" w14:textId="77777777" w:rsidR="008D6614" w:rsidRDefault="008D6614">
            <w:pPr>
              <w:rPr>
                <w:rFonts w:ascii="宋体"/>
              </w:rPr>
            </w:pPr>
          </w:p>
        </w:tc>
        <w:tc>
          <w:tcPr>
            <w:tcW w:w="50" w:type="pct"/>
            <w:shd w:val="clear" w:color="auto" w:fill="auto"/>
            <w:vAlign w:val="center"/>
          </w:tcPr>
          <w:p w14:paraId="64A890DD" w14:textId="77777777" w:rsidR="008D6614" w:rsidRDefault="008D6614">
            <w:pPr>
              <w:rPr>
                <w:rFonts w:ascii="宋体"/>
              </w:rPr>
            </w:pPr>
          </w:p>
        </w:tc>
        <w:tc>
          <w:tcPr>
            <w:tcW w:w="50" w:type="pct"/>
            <w:shd w:val="clear" w:color="auto" w:fill="auto"/>
            <w:vAlign w:val="center"/>
          </w:tcPr>
          <w:p w14:paraId="64A890DE" w14:textId="77777777" w:rsidR="008D6614" w:rsidRDefault="008D6614">
            <w:pPr>
              <w:rPr>
                <w:rFonts w:ascii="宋体"/>
              </w:rPr>
            </w:pPr>
          </w:p>
        </w:tc>
        <w:tc>
          <w:tcPr>
            <w:tcW w:w="536" w:type="pct"/>
            <w:shd w:val="clear" w:color="auto" w:fill="auto"/>
            <w:vAlign w:val="center"/>
          </w:tcPr>
          <w:p w14:paraId="64A890DF" w14:textId="77777777" w:rsidR="008D6614" w:rsidRDefault="008D6614">
            <w:pPr>
              <w:rPr>
                <w:rFonts w:ascii="宋体"/>
              </w:rPr>
            </w:pPr>
          </w:p>
        </w:tc>
        <w:tc>
          <w:tcPr>
            <w:tcW w:w="50" w:type="pct"/>
            <w:shd w:val="clear" w:color="auto" w:fill="auto"/>
            <w:vAlign w:val="center"/>
          </w:tcPr>
          <w:p w14:paraId="64A890E0" w14:textId="77777777" w:rsidR="008D6614" w:rsidRDefault="008D6614">
            <w:pPr>
              <w:rPr>
                <w:rFonts w:ascii="宋体"/>
              </w:rPr>
            </w:pPr>
          </w:p>
        </w:tc>
      </w:tr>
      <w:tr w:rsidR="008D6614" w14:paraId="64A890E4" w14:textId="77777777">
        <w:trPr>
          <w:jc w:val="center"/>
        </w:trPr>
        <w:tc>
          <w:tcPr>
            <w:tcW w:w="0" w:type="auto"/>
            <w:gridSpan w:val="3"/>
            <w:shd w:val="clear" w:color="auto" w:fill="auto"/>
            <w:tcMar>
              <w:left w:w="20" w:type="dxa"/>
              <w:right w:w="20" w:type="dxa"/>
            </w:tcMar>
            <w:vAlign w:val="bottom"/>
          </w:tcPr>
          <w:p w14:paraId="64A890E2"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0E3" w14:textId="77777777" w:rsidR="008D6614" w:rsidRDefault="00866AF2">
            <w:pPr>
              <w:jc w:val="center"/>
              <w:textAlignment w:val="bottom"/>
            </w:pPr>
            <w:r>
              <w:rPr>
                <w:rFonts w:ascii="Arial" w:eastAsia="宋体" w:hAnsi="Arial" w:cs="Arial"/>
                <w:b/>
                <w:bCs/>
                <w:color w:val="000000"/>
                <w:sz w:val="18"/>
                <w:szCs w:val="18"/>
              </w:rPr>
              <w:t>Motors.co.uk</w:t>
            </w:r>
          </w:p>
        </w:tc>
      </w:tr>
      <w:tr w:rsidR="008D6614" w14:paraId="64A890E9" w14:textId="77777777">
        <w:trPr>
          <w:jc w:val="center"/>
        </w:trPr>
        <w:tc>
          <w:tcPr>
            <w:tcW w:w="0" w:type="auto"/>
            <w:gridSpan w:val="3"/>
            <w:shd w:val="clear" w:color="auto" w:fill="E2E2E2"/>
            <w:tcMar>
              <w:top w:w="40" w:type="dxa"/>
              <w:left w:w="20" w:type="dxa"/>
              <w:bottom w:w="40" w:type="dxa"/>
              <w:right w:w="20" w:type="dxa"/>
            </w:tcMar>
            <w:vAlign w:val="bottom"/>
          </w:tcPr>
          <w:p w14:paraId="64A890E5" w14:textId="77777777" w:rsidR="008D6614" w:rsidRDefault="00866AF2">
            <w:pPr>
              <w:textAlignment w:val="bottom"/>
            </w:pPr>
            <w:r>
              <w:rPr>
                <w:rFonts w:ascii="Arial" w:eastAsia="宋体" w:hAnsi="Arial" w:cs="Arial"/>
                <w:color w:val="000000"/>
                <w:sz w:val="18"/>
                <w:szCs w:val="18"/>
              </w:rPr>
              <w:t>Goodwill</w:t>
            </w:r>
          </w:p>
        </w:tc>
        <w:tc>
          <w:tcPr>
            <w:tcW w:w="0" w:type="auto"/>
            <w:tcBorders>
              <w:top w:val="single" w:sz="8" w:space="0" w:color="000000"/>
            </w:tcBorders>
            <w:shd w:val="clear" w:color="auto" w:fill="E2E2E2"/>
            <w:tcMar>
              <w:top w:w="40" w:type="dxa"/>
              <w:left w:w="20" w:type="dxa"/>
              <w:bottom w:w="40" w:type="dxa"/>
            </w:tcMar>
            <w:vAlign w:val="bottom"/>
          </w:tcPr>
          <w:p w14:paraId="64A890E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0E7" w14:textId="77777777" w:rsidR="008D6614" w:rsidRDefault="00866AF2">
            <w:pPr>
              <w:jc w:val="right"/>
              <w:textAlignment w:val="bottom"/>
            </w:pPr>
            <w:r>
              <w:rPr>
                <w:rFonts w:ascii="Arial" w:eastAsia="宋体" w:hAnsi="Arial" w:cs="Arial"/>
                <w:color w:val="000000"/>
                <w:sz w:val="18"/>
                <w:szCs w:val="18"/>
              </w:rPr>
              <w:t>65 </w:t>
            </w:r>
          </w:p>
        </w:tc>
        <w:tc>
          <w:tcPr>
            <w:tcW w:w="0" w:type="auto"/>
            <w:tcBorders>
              <w:top w:val="single" w:sz="8" w:space="0" w:color="000000"/>
            </w:tcBorders>
            <w:shd w:val="clear" w:color="auto" w:fill="E2E2E2"/>
            <w:tcMar>
              <w:top w:w="40" w:type="dxa"/>
              <w:bottom w:w="40" w:type="dxa"/>
              <w:right w:w="20" w:type="dxa"/>
            </w:tcMar>
            <w:vAlign w:val="bottom"/>
          </w:tcPr>
          <w:p w14:paraId="64A890E8" w14:textId="77777777" w:rsidR="008D6614" w:rsidRDefault="00866AF2">
            <w:pPr>
              <w:jc w:val="right"/>
              <w:textAlignment w:val="bottom"/>
            </w:pPr>
            <w:r>
              <w:rPr>
                <w:rFonts w:ascii="Arial" w:eastAsia="宋体" w:hAnsi="Arial" w:cs="Arial"/>
                <w:color w:val="000000"/>
                <w:sz w:val="18"/>
                <w:szCs w:val="18"/>
              </w:rPr>
              <w:t> </w:t>
            </w:r>
          </w:p>
        </w:tc>
      </w:tr>
      <w:tr w:rsidR="008D6614" w14:paraId="64A890ED" w14:textId="77777777">
        <w:trPr>
          <w:jc w:val="center"/>
        </w:trPr>
        <w:tc>
          <w:tcPr>
            <w:tcW w:w="0" w:type="auto"/>
            <w:gridSpan w:val="3"/>
            <w:shd w:val="clear" w:color="auto" w:fill="FFFFFF"/>
            <w:tcMar>
              <w:top w:w="40" w:type="dxa"/>
              <w:left w:w="20" w:type="dxa"/>
              <w:bottom w:w="40" w:type="dxa"/>
              <w:right w:w="20" w:type="dxa"/>
            </w:tcMar>
            <w:vAlign w:val="bottom"/>
          </w:tcPr>
          <w:p w14:paraId="64A890EA" w14:textId="77777777" w:rsidR="008D6614" w:rsidRDefault="00866AF2">
            <w:pPr>
              <w:textAlignment w:val="bottom"/>
            </w:pPr>
            <w:r>
              <w:rPr>
                <w:rFonts w:ascii="Arial" w:eastAsia="宋体" w:hAnsi="Arial" w:cs="Arial"/>
                <w:color w:val="000000"/>
                <w:sz w:val="18"/>
                <w:szCs w:val="18"/>
              </w:rPr>
              <w:t>Purchased intangible assets</w:t>
            </w:r>
          </w:p>
        </w:tc>
        <w:tc>
          <w:tcPr>
            <w:tcW w:w="0" w:type="auto"/>
            <w:gridSpan w:val="2"/>
            <w:shd w:val="clear" w:color="auto" w:fill="FFFFFF"/>
            <w:tcMar>
              <w:top w:w="40" w:type="dxa"/>
              <w:left w:w="20" w:type="dxa"/>
              <w:bottom w:w="40" w:type="dxa"/>
              <w:right w:w="0" w:type="dxa"/>
            </w:tcMar>
            <w:vAlign w:val="bottom"/>
          </w:tcPr>
          <w:p w14:paraId="64A890EB" w14:textId="77777777" w:rsidR="008D6614" w:rsidRDefault="00866AF2">
            <w:pPr>
              <w:jc w:val="right"/>
              <w:textAlignment w:val="bottom"/>
            </w:pPr>
            <w:r>
              <w:rPr>
                <w:rFonts w:ascii="Arial" w:eastAsia="宋体" w:hAnsi="Arial" w:cs="Arial"/>
                <w:color w:val="000000"/>
                <w:sz w:val="18"/>
                <w:szCs w:val="18"/>
              </w:rPr>
              <w:t>30 </w:t>
            </w:r>
          </w:p>
        </w:tc>
        <w:tc>
          <w:tcPr>
            <w:tcW w:w="0" w:type="auto"/>
            <w:shd w:val="clear" w:color="auto" w:fill="FFFFFF"/>
            <w:tcMar>
              <w:top w:w="40" w:type="dxa"/>
              <w:bottom w:w="40" w:type="dxa"/>
              <w:right w:w="20" w:type="dxa"/>
            </w:tcMar>
            <w:vAlign w:val="bottom"/>
          </w:tcPr>
          <w:p w14:paraId="64A890EC" w14:textId="77777777" w:rsidR="008D6614" w:rsidRDefault="00866AF2">
            <w:pPr>
              <w:jc w:val="right"/>
              <w:textAlignment w:val="bottom"/>
            </w:pPr>
            <w:r>
              <w:rPr>
                <w:rFonts w:ascii="Arial" w:eastAsia="宋体" w:hAnsi="Arial" w:cs="Arial"/>
                <w:color w:val="000000"/>
                <w:sz w:val="18"/>
                <w:szCs w:val="18"/>
              </w:rPr>
              <w:t> </w:t>
            </w:r>
          </w:p>
        </w:tc>
      </w:tr>
      <w:tr w:rsidR="008D6614" w14:paraId="64A890F1" w14:textId="77777777">
        <w:trPr>
          <w:jc w:val="center"/>
        </w:trPr>
        <w:tc>
          <w:tcPr>
            <w:tcW w:w="0" w:type="auto"/>
            <w:gridSpan w:val="3"/>
            <w:shd w:val="clear" w:color="auto" w:fill="E2E2E2"/>
            <w:tcMar>
              <w:top w:w="40" w:type="dxa"/>
              <w:left w:w="20" w:type="dxa"/>
              <w:bottom w:w="40" w:type="dxa"/>
              <w:right w:w="20" w:type="dxa"/>
            </w:tcMar>
            <w:vAlign w:val="bottom"/>
          </w:tcPr>
          <w:p w14:paraId="64A890EE" w14:textId="77777777" w:rsidR="008D6614" w:rsidRDefault="00866AF2">
            <w:pPr>
              <w:textAlignment w:val="bottom"/>
            </w:pPr>
            <w:r>
              <w:rPr>
                <w:rFonts w:ascii="Arial" w:eastAsia="宋体" w:hAnsi="Arial" w:cs="Arial"/>
                <w:color w:val="000000"/>
                <w:sz w:val="18"/>
                <w:szCs w:val="18"/>
              </w:rPr>
              <w:t>Net liabilities</w:t>
            </w:r>
          </w:p>
        </w:tc>
        <w:tc>
          <w:tcPr>
            <w:tcW w:w="0" w:type="auto"/>
            <w:gridSpan w:val="2"/>
            <w:shd w:val="clear" w:color="auto" w:fill="E2E2E2"/>
            <w:tcMar>
              <w:top w:w="40" w:type="dxa"/>
              <w:left w:w="20" w:type="dxa"/>
              <w:bottom w:w="40" w:type="dxa"/>
              <w:right w:w="0" w:type="dxa"/>
            </w:tcMar>
            <w:vAlign w:val="bottom"/>
          </w:tcPr>
          <w:p w14:paraId="64A890EF" w14:textId="77777777" w:rsidR="008D6614" w:rsidRDefault="00866AF2">
            <w:pPr>
              <w:jc w:val="right"/>
              <w:textAlignment w:val="bottom"/>
            </w:pPr>
            <w:r>
              <w:rPr>
                <w:rFonts w:ascii="Arial" w:eastAsia="宋体" w:hAnsi="Arial" w:cs="Arial"/>
                <w:color w:val="000000"/>
                <w:sz w:val="18"/>
                <w:szCs w:val="18"/>
              </w:rPr>
              <w:t>(2)</w:t>
            </w:r>
          </w:p>
        </w:tc>
        <w:tc>
          <w:tcPr>
            <w:tcW w:w="0" w:type="auto"/>
            <w:shd w:val="clear" w:color="auto" w:fill="E2E2E2"/>
            <w:tcMar>
              <w:top w:w="40" w:type="dxa"/>
              <w:bottom w:w="40" w:type="dxa"/>
              <w:right w:w="20" w:type="dxa"/>
            </w:tcMar>
            <w:vAlign w:val="bottom"/>
          </w:tcPr>
          <w:p w14:paraId="64A890F0" w14:textId="77777777" w:rsidR="008D6614" w:rsidRDefault="00866AF2">
            <w:pPr>
              <w:jc w:val="right"/>
              <w:textAlignment w:val="bottom"/>
            </w:pPr>
            <w:r>
              <w:rPr>
                <w:rFonts w:ascii="Arial" w:eastAsia="宋体" w:hAnsi="Arial" w:cs="Arial"/>
                <w:color w:val="000000"/>
                <w:sz w:val="18"/>
                <w:szCs w:val="18"/>
              </w:rPr>
              <w:t> </w:t>
            </w:r>
          </w:p>
        </w:tc>
      </w:tr>
      <w:tr w:rsidR="008D6614" w14:paraId="64A890F6" w14:textId="77777777">
        <w:trPr>
          <w:jc w:val="center"/>
        </w:trPr>
        <w:tc>
          <w:tcPr>
            <w:tcW w:w="0" w:type="auto"/>
            <w:gridSpan w:val="3"/>
            <w:shd w:val="clear" w:color="auto" w:fill="FFFFFF"/>
            <w:tcMar>
              <w:top w:w="40" w:type="dxa"/>
              <w:left w:w="20" w:type="dxa"/>
              <w:bottom w:w="40" w:type="dxa"/>
              <w:right w:w="20" w:type="dxa"/>
            </w:tcMar>
            <w:vAlign w:val="bottom"/>
          </w:tcPr>
          <w:p w14:paraId="64A890F2" w14:textId="77777777" w:rsidR="008D6614" w:rsidRDefault="00866AF2">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0F3"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0F4" w14:textId="77777777" w:rsidR="008D6614" w:rsidRDefault="00866AF2">
            <w:pPr>
              <w:jc w:val="right"/>
              <w:textAlignment w:val="bottom"/>
            </w:pPr>
            <w:r>
              <w:rPr>
                <w:rFonts w:ascii="Arial" w:eastAsia="宋体" w:hAnsi="Arial" w:cs="Arial"/>
                <w:color w:val="000000"/>
                <w:sz w:val="18"/>
                <w:szCs w:val="18"/>
              </w:rPr>
              <w:t>93 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0F5" w14:textId="77777777" w:rsidR="008D6614" w:rsidRDefault="00866AF2">
            <w:pPr>
              <w:jc w:val="right"/>
              <w:textAlignment w:val="bottom"/>
            </w:pPr>
            <w:r>
              <w:rPr>
                <w:rFonts w:ascii="Arial" w:eastAsia="宋体" w:hAnsi="Arial" w:cs="Arial"/>
                <w:color w:val="000000"/>
                <w:sz w:val="18"/>
                <w:szCs w:val="18"/>
              </w:rPr>
              <w:t> </w:t>
            </w:r>
          </w:p>
        </w:tc>
      </w:tr>
    </w:tbl>
    <w:p w14:paraId="64A890F7" w14:textId="77777777" w:rsidR="008D6614" w:rsidRDefault="008D6614">
      <w:pPr>
        <w:ind w:firstLine="540"/>
        <w:jc w:val="both"/>
      </w:pPr>
    </w:p>
    <w:p w14:paraId="64A890F8" w14:textId="77777777" w:rsidR="008D6614" w:rsidRDefault="00866AF2">
      <w:pPr>
        <w:ind w:firstLine="540"/>
        <w:jc w:val="both"/>
      </w:pPr>
      <w:r>
        <w:rPr>
          <w:rFonts w:ascii="Arial" w:eastAsia="宋体" w:hAnsi="Arial" w:cs="Arial"/>
          <w:color w:val="000000"/>
          <w:sz w:val="20"/>
          <w:szCs w:val="20"/>
        </w:rPr>
        <w:t xml:space="preserve">We assigned the goodwill to our Classifieds segment. The goodwill recognized is </w:t>
      </w:r>
      <w:r>
        <w:rPr>
          <w:rFonts w:ascii="Arial" w:eastAsia="宋体" w:hAnsi="Arial" w:cs="Arial"/>
          <w:color w:val="000000"/>
          <w:sz w:val="20"/>
          <w:szCs w:val="20"/>
        </w:rPr>
        <w:t>primarily attributable to expected synergies and the assembled workforce of Motors.co.uk. We generally do not expect goodwill to be deductible for income tax purposes.</w:t>
      </w:r>
    </w:p>
    <w:p w14:paraId="64A890F9" w14:textId="77777777" w:rsidR="008D6614" w:rsidRDefault="008D6614">
      <w:pPr>
        <w:ind w:firstLine="540"/>
        <w:jc w:val="both"/>
      </w:pPr>
    </w:p>
    <w:p w14:paraId="64A890FA" w14:textId="77777777" w:rsidR="008D6614" w:rsidRDefault="00866AF2">
      <w:pPr>
        <w:ind w:firstLine="540"/>
        <w:jc w:val="both"/>
      </w:pPr>
      <w:r>
        <w:rPr>
          <w:rFonts w:ascii="Arial" w:eastAsia="宋体" w:hAnsi="Arial" w:cs="Arial"/>
          <w:color w:val="000000"/>
          <w:sz w:val="20"/>
          <w:szCs w:val="20"/>
        </w:rPr>
        <w:t>Our condensed consolidated financial statements include the operating results of Motors</w:t>
      </w:r>
      <w:r>
        <w:rPr>
          <w:rFonts w:ascii="Arial" w:eastAsia="宋体" w:hAnsi="Arial" w:cs="Arial"/>
          <w:color w:val="000000"/>
          <w:sz w:val="20"/>
          <w:szCs w:val="20"/>
        </w:rPr>
        <w:t>.co.uk from the date of acquisition. Separate post acquisition operating results and pro forma results of operations for this acquisition have not been presented as the effect of the acquisition is not material to our financial results.</w:t>
      </w:r>
    </w:p>
    <w:p w14:paraId="64A890FB" w14:textId="77777777" w:rsidR="008D6614" w:rsidRDefault="008D6614">
      <w:pPr>
        <w:ind w:firstLine="540"/>
        <w:jc w:val="both"/>
      </w:pPr>
    </w:p>
    <w:p w14:paraId="64A890FC" w14:textId="77777777" w:rsidR="008D6614" w:rsidRDefault="00866AF2">
      <w:pPr>
        <w:jc w:val="both"/>
      </w:pPr>
      <w:r>
        <w:rPr>
          <w:rFonts w:ascii="Arial" w:eastAsia="宋体" w:hAnsi="Arial" w:cs="Arial"/>
          <w:b/>
          <w:bCs/>
          <w:color w:val="000000"/>
          <w:sz w:val="20"/>
          <w:szCs w:val="20"/>
        </w:rPr>
        <w:t>Note 4 — Discontin</w:t>
      </w:r>
      <w:r>
        <w:rPr>
          <w:rFonts w:ascii="Arial" w:eastAsia="宋体" w:hAnsi="Arial" w:cs="Arial"/>
          <w:b/>
          <w:bCs/>
          <w:color w:val="000000"/>
          <w:sz w:val="20"/>
          <w:szCs w:val="20"/>
        </w:rPr>
        <w:t>ued Operations</w:t>
      </w:r>
    </w:p>
    <w:p w14:paraId="64A890FD" w14:textId="77777777" w:rsidR="008D6614" w:rsidRDefault="008D6614">
      <w:pPr>
        <w:jc w:val="both"/>
      </w:pPr>
    </w:p>
    <w:p w14:paraId="64A890FE" w14:textId="77777777" w:rsidR="008D6614" w:rsidRDefault="00866AF2">
      <w:pPr>
        <w:ind w:firstLine="90"/>
      </w:pPr>
      <w:r>
        <w:rPr>
          <w:rFonts w:ascii="Arial" w:eastAsia="宋体" w:hAnsi="Arial" w:cs="Arial"/>
          <w:b/>
          <w:bCs/>
          <w:i/>
          <w:iCs/>
          <w:color w:val="000000"/>
          <w:sz w:val="20"/>
          <w:szCs w:val="20"/>
        </w:rPr>
        <w:t>StubHub</w:t>
      </w:r>
    </w:p>
    <w:p w14:paraId="64A890FF" w14:textId="77777777" w:rsidR="008D6614" w:rsidRDefault="008D6614">
      <w:pPr>
        <w:ind w:firstLine="540"/>
        <w:jc w:val="both"/>
      </w:pPr>
    </w:p>
    <w:p w14:paraId="64A89100" w14:textId="77777777" w:rsidR="008D6614" w:rsidRDefault="00866AF2">
      <w:pPr>
        <w:ind w:firstLine="540"/>
        <w:jc w:val="both"/>
      </w:pPr>
      <w:r>
        <w:rPr>
          <w:rFonts w:ascii="Arial" w:eastAsia="宋体" w:hAnsi="Arial" w:cs="Arial"/>
          <w:color w:val="000000"/>
          <w:sz w:val="20"/>
          <w:szCs w:val="20"/>
        </w:rPr>
        <w:t>On February 13, 2020, we completed the previously announced sale of our StubHub business to an affiliate of viagogo for a purchase price of $4.05 billion in cash, subject to certain adjustments specified in the purchase agreement, including adjustments for</w:t>
      </w:r>
      <w:r>
        <w:rPr>
          <w:rFonts w:ascii="Arial" w:eastAsia="宋体" w:hAnsi="Arial" w:cs="Arial"/>
          <w:color w:val="000000"/>
          <w:sz w:val="20"/>
          <w:szCs w:val="20"/>
        </w:rPr>
        <w:t xml:space="preserve"> indebtedness, cash, working capital and transaction expenses of StubHub at the closing of the transaction. The sale was completed for $4.1 billion in proceeds ($3.2 billion, net of income taxes of $900 million) and a pre-tax gain of $3.9 billion upon clos</w:t>
      </w:r>
      <w:r>
        <w:rPr>
          <w:rFonts w:ascii="Arial" w:eastAsia="宋体" w:hAnsi="Arial" w:cs="Arial"/>
          <w:color w:val="000000"/>
          <w:sz w:val="20"/>
          <w:szCs w:val="20"/>
        </w:rPr>
        <w:t xml:space="preserve">ing within income from discontinued operations, both subject to working capital adjustments. </w:t>
      </w:r>
    </w:p>
    <w:p w14:paraId="64A89101" w14:textId="77777777" w:rsidR="008D6614" w:rsidRDefault="008D6614"/>
    <w:p w14:paraId="64A89102" w14:textId="77777777" w:rsidR="008D6614" w:rsidRDefault="00866AF2">
      <w:pPr>
        <w:ind w:firstLine="540"/>
        <w:jc w:val="both"/>
      </w:pPr>
      <w:r>
        <w:rPr>
          <w:rFonts w:ascii="Arial" w:eastAsia="宋体" w:hAnsi="Arial" w:cs="Arial"/>
          <w:color w:val="000000"/>
          <w:sz w:val="20"/>
          <w:szCs w:val="20"/>
        </w:rPr>
        <w:t xml:space="preserve">At December 31, 2019, our StubHub segment did not meet the criteria for assets held for sale due to uncertainty that closing conditions of the sale, such as the buyer obtaining debt and equity financing, would be met on a timely basis. Upon the completion </w:t>
      </w:r>
      <w:r>
        <w:rPr>
          <w:rFonts w:ascii="Arial" w:eastAsia="宋体" w:hAnsi="Arial" w:cs="Arial"/>
          <w:color w:val="000000"/>
          <w:sz w:val="20"/>
          <w:szCs w:val="20"/>
        </w:rPr>
        <w:t>of the sale in the first quarter of 2020, we classified the results of our previous StubHub segment as discontinued operations in our condensed consolidated statement of income, condensed consolidated balance sheet and condensed consolidated statement of c</w:t>
      </w:r>
      <w:r>
        <w:rPr>
          <w:rFonts w:ascii="Arial" w:eastAsia="宋体" w:hAnsi="Arial" w:cs="Arial"/>
          <w:color w:val="000000"/>
          <w:sz w:val="20"/>
          <w:szCs w:val="20"/>
        </w:rPr>
        <w:t xml:space="preserve">ash flows for all prior periods presented. </w:t>
      </w:r>
    </w:p>
    <w:p w14:paraId="64A89103" w14:textId="77777777" w:rsidR="008D6614" w:rsidRDefault="008D6614">
      <w:pPr>
        <w:ind w:firstLine="720"/>
      </w:pPr>
    </w:p>
    <w:p w14:paraId="64A89104" w14:textId="77777777" w:rsidR="008D6614" w:rsidRDefault="00866AF2">
      <w:pPr>
        <w:ind w:firstLine="540"/>
        <w:jc w:val="both"/>
      </w:pPr>
      <w:r>
        <w:rPr>
          <w:rFonts w:ascii="Arial" w:eastAsia="宋体" w:hAnsi="Arial" w:cs="Arial"/>
          <w:color w:val="000000"/>
          <w:sz w:val="20"/>
          <w:szCs w:val="20"/>
        </w:rPr>
        <w:t>In connection with the sale of StubHub, we entered into a transition service agreement (“TSA”) with viagogo pursuant to which we will provide services, including, but not limited to, business support services fo</w:t>
      </w:r>
      <w:r>
        <w:rPr>
          <w:rFonts w:ascii="Arial" w:eastAsia="宋体" w:hAnsi="Arial" w:cs="Arial"/>
          <w:color w:val="000000"/>
          <w:sz w:val="20"/>
          <w:szCs w:val="20"/>
        </w:rPr>
        <w:t xml:space="preserve">r StubHub after the divestiture for fees of $40 million. These agreements commenced with the close of the transaction and have minimum initial terms ranging from 12 to 18 months and can be extended by viagogo for a maximum of 12 months. </w:t>
      </w:r>
    </w:p>
    <w:p w14:paraId="64A89105" w14:textId="77777777" w:rsidR="008D6614" w:rsidRDefault="008D6614">
      <w:pPr>
        <w:ind w:firstLine="540"/>
        <w:jc w:val="both"/>
      </w:pPr>
    </w:p>
    <w:p w14:paraId="64A89106" w14:textId="77777777" w:rsidR="008D6614" w:rsidRDefault="008D6614">
      <w:pPr>
        <w:jc w:val="center"/>
      </w:pPr>
    </w:p>
    <w:p w14:paraId="64A89107" w14:textId="77777777" w:rsidR="008D6614" w:rsidRDefault="00866AF2">
      <w:pPr>
        <w:jc w:val="center"/>
      </w:pPr>
      <w:r>
        <w:rPr>
          <w:rFonts w:ascii="Arial" w:eastAsia="宋体" w:hAnsi="Arial" w:cs="Arial"/>
          <w:color w:val="000000"/>
          <w:sz w:val="20"/>
          <w:szCs w:val="20"/>
        </w:rPr>
        <w:t>11</w:t>
      </w:r>
    </w:p>
    <w:p w14:paraId="64A89108" w14:textId="77777777" w:rsidR="008D6614" w:rsidRDefault="00866AF2">
      <w:r>
        <w:pict w14:anchorId="64A8B9E8">
          <v:rect id="_x0000_i1035" style="width:415.3pt;height:1.5pt" o:hralign="center" o:hrstd="t" o:hr="t" fillcolor="#a0a0a0" stroked="f"/>
        </w:pict>
      </w:r>
    </w:p>
    <w:p w14:paraId="64A89109" w14:textId="77777777" w:rsidR="008D6614" w:rsidRDefault="008D6614"/>
    <w:p w14:paraId="64A8910A" w14:textId="77777777" w:rsidR="008D6614" w:rsidRDefault="00866AF2">
      <w:pPr>
        <w:ind w:firstLine="540"/>
        <w:jc w:val="both"/>
      </w:pPr>
      <w:r>
        <w:rPr>
          <w:rFonts w:ascii="Arial" w:eastAsia="宋体" w:hAnsi="Arial" w:cs="Arial"/>
          <w:color w:val="000000"/>
          <w:sz w:val="20"/>
          <w:szCs w:val="20"/>
        </w:rPr>
        <w:t>The financ</w:t>
      </w:r>
      <w:r>
        <w:rPr>
          <w:rFonts w:ascii="Arial" w:eastAsia="宋体" w:hAnsi="Arial" w:cs="Arial"/>
          <w:color w:val="000000"/>
          <w:sz w:val="20"/>
          <w:szCs w:val="20"/>
        </w:rPr>
        <w:t>ial results of StubHub are presented as income from discontinued operations, net of income taxes in our condensed consolidated statement of income. The following table presents financial results from discontinued operations (in millions):</w:t>
      </w:r>
    </w:p>
    <w:p w14:paraId="64A8910B" w14:textId="77777777" w:rsidR="008D6614" w:rsidRDefault="008D6614"/>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5699"/>
        <w:gridCol w:w="49"/>
        <w:gridCol w:w="136"/>
        <w:gridCol w:w="824"/>
        <w:gridCol w:w="86"/>
        <w:gridCol w:w="36"/>
        <w:gridCol w:w="36"/>
        <w:gridCol w:w="36"/>
        <w:gridCol w:w="137"/>
        <w:gridCol w:w="801"/>
        <w:gridCol w:w="87"/>
        <w:gridCol w:w="36"/>
        <w:gridCol w:w="36"/>
        <w:gridCol w:w="36"/>
        <w:gridCol w:w="36"/>
        <w:gridCol w:w="36"/>
        <w:gridCol w:w="36"/>
        <w:gridCol w:w="36"/>
        <w:gridCol w:w="36"/>
        <w:gridCol w:w="36"/>
        <w:gridCol w:w="36"/>
      </w:tblGrid>
      <w:tr w:rsidR="008D6614" w14:paraId="64A8911C" w14:textId="77777777">
        <w:trPr>
          <w:gridAfter w:val="6"/>
          <w:jc w:val="center"/>
        </w:trPr>
        <w:tc>
          <w:tcPr>
            <w:tcW w:w="50" w:type="pct"/>
            <w:shd w:val="clear" w:color="auto" w:fill="auto"/>
            <w:vAlign w:val="center"/>
          </w:tcPr>
          <w:p w14:paraId="64A8910C" w14:textId="77777777" w:rsidR="008D6614" w:rsidRDefault="008D6614">
            <w:pPr>
              <w:rPr>
                <w:rFonts w:ascii="宋体"/>
              </w:rPr>
            </w:pPr>
          </w:p>
        </w:tc>
        <w:tc>
          <w:tcPr>
            <w:tcW w:w="3591" w:type="pct"/>
            <w:shd w:val="clear" w:color="auto" w:fill="auto"/>
            <w:vAlign w:val="center"/>
          </w:tcPr>
          <w:p w14:paraId="64A8910D" w14:textId="77777777" w:rsidR="008D6614" w:rsidRDefault="008D6614">
            <w:pPr>
              <w:rPr>
                <w:rFonts w:ascii="宋体"/>
              </w:rPr>
            </w:pPr>
          </w:p>
        </w:tc>
        <w:tc>
          <w:tcPr>
            <w:tcW w:w="50" w:type="pct"/>
            <w:shd w:val="clear" w:color="auto" w:fill="auto"/>
            <w:vAlign w:val="center"/>
          </w:tcPr>
          <w:p w14:paraId="64A8910E" w14:textId="77777777" w:rsidR="008D6614" w:rsidRDefault="008D6614">
            <w:pPr>
              <w:rPr>
                <w:rFonts w:ascii="宋体"/>
              </w:rPr>
            </w:pPr>
          </w:p>
        </w:tc>
        <w:tc>
          <w:tcPr>
            <w:tcW w:w="50" w:type="pct"/>
            <w:shd w:val="clear" w:color="auto" w:fill="auto"/>
            <w:vAlign w:val="center"/>
          </w:tcPr>
          <w:p w14:paraId="64A8910F" w14:textId="77777777" w:rsidR="008D6614" w:rsidRDefault="008D6614">
            <w:pPr>
              <w:rPr>
                <w:rFonts w:ascii="宋体"/>
              </w:rPr>
            </w:pPr>
          </w:p>
        </w:tc>
        <w:tc>
          <w:tcPr>
            <w:tcW w:w="535" w:type="pct"/>
            <w:shd w:val="clear" w:color="auto" w:fill="auto"/>
            <w:vAlign w:val="center"/>
          </w:tcPr>
          <w:p w14:paraId="64A89110" w14:textId="77777777" w:rsidR="008D6614" w:rsidRDefault="008D6614">
            <w:pPr>
              <w:rPr>
                <w:rFonts w:ascii="宋体"/>
              </w:rPr>
            </w:pPr>
          </w:p>
        </w:tc>
        <w:tc>
          <w:tcPr>
            <w:tcW w:w="50" w:type="pct"/>
            <w:shd w:val="clear" w:color="auto" w:fill="auto"/>
            <w:vAlign w:val="center"/>
          </w:tcPr>
          <w:p w14:paraId="64A89111" w14:textId="77777777" w:rsidR="008D6614" w:rsidRDefault="008D6614">
            <w:pPr>
              <w:rPr>
                <w:rFonts w:ascii="宋体"/>
              </w:rPr>
            </w:pPr>
          </w:p>
        </w:tc>
        <w:tc>
          <w:tcPr>
            <w:tcW w:w="5" w:type="pct"/>
            <w:shd w:val="clear" w:color="auto" w:fill="auto"/>
            <w:vAlign w:val="center"/>
          </w:tcPr>
          <w:p w14:paraId="64A89112" w14:textId="77777777" w:rsidR="008D6614" w:rsidRDefault="008D6614">
            <w:pPr>
              <w:rPr>
                <w:rFonts w:ascii="宋体"/>
              </w:rPr>
            </w:pPr>
          </w:p>
        </w:tc>
        <w:tc>
          <w:tcPr>
            <w:tcW w:w="26" w:type="pct"/>
            <w:shd w:val="clear" w:color="auto" w:fill="auto"/>
            <w:vAlign w:val="center"/>
          </w:tcPr>
          <w:p w14:paraId="64A89113" w14:textId="77777777" w:rsidR="008D6614" w:rsidRDefault="008D6614">
            <w:pPr>
              <w:rPr>
                <w:rFonts w:ascii="宋体"/>
              </w:rPr>
            </w:pPr>
          </w:p>
        </w:tc>
        <w:tc>
          <w:tcPr>
            <w:tcW w:w="5" w:type="pct"/>
            <w:shd w:val="clear" w:color="auto" w:fill="auto"/>
            <w:vAlign w:val="center"/>
          </w:tcPr>
          <w:p w14:paraId="64A89114" w14:textId="77777777" w:rsidR="008D6614" w:rsidRDefault="008D6614">
            <w:pPr>
              <w:rPr>
                <w:rFonts w:ascii="宋体"/>
              </w:rPr>
            </w:pPr>
          </w:p>
        </w:tc>
        <w:tc>
          <w:tcPr>
            <w:tcW w:w="50" w:type="pct"/>
            <w:shd w:val="clear" w:color="auto" w:fill="auto"/>
            <w:vAlign w:val="center"/>
          </w:tcPr>
          <w:p w14:paraId="64A89115" w14:textId="77777777" w:rsidR="008D6614" w:rsidRDefault="008D6614">
            <w:pPr>
              <w:rPr>
                <w:rFonts w:ascii="宋体"/>
              </w:rPr>
            </w:pPr>
          </w:p>
        </w:tc>
        <w:tc>
          <w:tcPr>
            <w:tcW w:w="536" w:type="pct"/>
            <w:shd w:val="clear" w:color="auto" w:fill="auto"/>
            <w:vAlign w:val="center"/>
          </w:tcPr>
          <w:p w14:paraId="64A89116" w14:textId="77777777" w:rsidR="008D6614" w:rsidRDefault="008D6614">
            <w:pPr>
              <w:rPr>
                <w:rFonts w:ascii="宋体"/>
              </w:rPr>
            </w:pPr>
          </w:p>
        </w:tc>
        <w:tc>
          <w:tcPr>
            <w:tcW w:w="50" w:type="pct"/>
            <w:shd w:val="clear" w:color="auto" w:fill="auto"/>
            <w:vAlign w:val="center"/>
          </w:tcPr>
          <w:p w14:paraId="64A89117" w14:textId="77777777" w:rsidR="008D6614" w:rsidRDefault="008D6614">
            <w:pPr>
              <w:rPr>
                <w:rFonts w:ascii="宋体"/>
              </w:rPr>
            </w:pPr>
          </w:p>
        </w:tc>
        <w:tc>
          <w:tcPr>
            <w:tcW w:w="0" w:type="auto"/>
            <w:shd w:val="clear" w:color="auto" w:fill="auto"/>
            <w:vAlign w:val="center"/>
          </w:tcPr>
          <w:p w14:paraId="64A89118" w14:textId="77777777" w:rsidR="008D6614" w:rsidRDefault="008D6614">
            <w:pPr>
              <w:rPr>
                <w:rFonts w:ascii="宋体"/>
                <w:vanish/>
              </w:rPr>
            </w:pPr>
          </w:p>
        </w:tc>
        <w:tc>
          <w:tcPr>
            <w:tcW w:w="0" w:type="auto"/>
            <w:shd w:val="clear" w:color="auto" w:fill="auto"/>
            <w:vAlign w:val="center"/>
          </w:tcPr>
          <w:p w14:paraId="64A89119" w14:textId="77777777" w:rsidR="008D6614" w:rsidRDefault="008D6614">
            <w:pPr>
              <w:rPr>
                <w:rFonts w:ascii="宋体"/>
                <w:vanish/>
              </w:rPr>
            </w:pPr>
          </w:p>
        </w:tc>
        <w:tc>
          <w:tcPr>
            <w:tcW w:w="0" w:type="auto"/>
            <w:shd w:val="clear" w:color="auto" w:fill="auto"/>
            <w:vAlign w:val="center"/>
          </w:tcPr>
          <w:p w14:paraId="64A8911A" w14:textId="77777777" w:rsidR="008D6614" w:rsidRDefault="008D6614">
            <w:pPr>
              <w:rPr>
                <w:rFonts w:ascii="宋体"/>
                <w:vanish/>
              </w:rPr>
            </w:pPr>
          </w:p>
        </w:tc>
        <w:tc>
          <w:tcPr>
            <w:tcW w:w="0" w:type="auto"/>
            <w:shd w:val="clear" w:color="auto" w:fill="auto"/>
            <w:vAlign w:val="center"/>
          </w:tcPr>
          <w:p w14:paraId="64A8911B" w14:textId="77777777" w:rsidR="008D6614" w:rsidRDefault="008D6614">
            <w:pPr>
              <w:rPr>
                <w:rFonts w:ascii="宋体"/>
                <w:vanish/>
              </w:rPr>
            </w:pPr>
          </w:p>
        </w:tc>
      </w:tr>
      <w:tr w:rsidR="008D6614" w14:paraId="64A89125" w14:textId="77777777">
        <w:trPr>
          <w:jc w:val="center"/>
        </w:trPr>
        <w:tc>
          <w:tcPr>
            <w:tcW w:w="0" w:type="auto"/>
            <w:gridSpan w:val="3"/>
            <w:shd w:val="clear" w:color="auto" w:fill="auto"/>
            <w:tcMar>
              <w:top w:w="40" w:type="dxa"/>
              <w:left w:w="20" w:type="dxa"/>
              <w:bottom w:w="40" w:type="dxa"/>
              <w:right w:w="20" w:type="dxa"/>
            </w:tcMar>
            <w:vAlign w:val="bottom"/>
          </w:tcPr>
          <w:p w14:paraId="64A8911D" w14:textId="77777777" w:rsidR="008D6614" w:rsidRDefault="00866AF2">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A8911E"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vAlign w:val="center"/>
          </w:tcPr>
          <w:p w14:paraId="64A8911F" w14:textId="77777777" w:rsidR="008D6614" w:rsidRDefault="008D6614">
            <w:pPr>
              <w:rPr>
                <w:rFonts w:ascii="宋体"/>
                <w:vanish/>
              </w:rPr>
            </w:pPr>
          </w:p>
        </w:tc>
        <w:tc>
          <w:tcPr>
            <w:tcW w:w="0" w:type="auto"/>
            <w:shd w:val="clear" w:color="auto" w:fill="auto"/>
            <w:vAlign w:val="center"/>
          </w:tcPr>
          <w:p w14:paraId="64A89120" w14:textId="77777777" w:rsidR="008D6614" w:rsidRDefault="008D6614">
            <w:pPr>
              <w:rPr>
                <w:rFonts w:ascii="宋体"/>
                <w:vanish/>
              </w:rPr>
            </w:pPr>
          </w:p>
        </w:tc>
        <w:tc>
          <w:tcPr>
            <w:tcW w:w="0" w:type="auto"/>
            <w:shd w:val="clear" w:color="auto" w:fill="auto"/>
            <w:vAlign w:val="center"/>
          </w:tcPr>
          <w:p w14:paraId="64A89121" w14:textId="77777777" w:rsidR="008D6614" w:rsidRDefault="008D6614">
            <w:pPr>
              <w:rPr>
                <w:rFonts w:ascii="宋体"/>
                <w:vanish/>
              </w:rPr>
            </w:pPr>
          </w:p>
        </w:tc>
        <w:tc>
          <w:tcPr>
            <w:tcW w:w="0" w:type="auto"/>
            <w:shd w:val="clear" w:color="auto" w:fill="auto"/>
            <w:vAlign w:val="center"/>
          </w:tcPr>
          <w:p w14:paraId="64A89122" w14:textId="77777777" w:rsidR="008D6614" w:rsidRDefault="008D6614">
            <w:pPr>
              <w:rPr>
                <w:rFonts w:ascii="宋体"/>
                <w:vanish/>
              </w:rPr>
            </w:pPr>
          </w:p>
        </w:tc>
        <w:tc>
          <w:tcPr>
            <w:tcW w:w="0" w:type="auto"/>
            <w:gridSpan w:val="3"/>
            <w:shd w:val="clear" w:color="auto" w:fill="auto"/>
            <w:vAlign w:val="center"/>
          </w:tcPr>
          <w:p w14:paraId="64A89123" w14:textId="77777777" w:rsidR="008D6614" w:rsidRDefault="008D6614">
            <w:pPr>
              <w:rPr>
                <w:rFonts w:ascii="宋体"/>
                <w:vanish/>
              </w:rPr>
            </w:pPr>
          </w:p>
        </w:tc>
        <w:tc>
          <w:tcPr>
            <w:tcW w:w="0" w:type="auto"/>
            <w:gridSpan w:val="3"/>
            <w:shd w:val="clear" w:color="auto" w:fill="auto"/>
            <w:vAlign w:val="center"/>
          </w:tcPr>
          <w:p w14:paraId="64A89124" w14:textId="77777777" w:rsidR="008D6614" w:rsidRDefault="008D6614">
            <w:pPr>
              <w:rPr>
                <w:rFonts w:ascii="宋体"/>
                <w:vanish/>
              </w:rPr>
            </w:pPr>
          </w:p>
        </w:tc>
      </w:tr>
      <w:tr w:rsidR="008D6614" w14:paraId="64A89134" w14:textId="77777777">
        <w:trPr>
          <w:jc w:val="center"/>
        </w:trPr>
        <w:tc>
          <w:tcPr>
            <w:tcW w:w="0" w:type="auto"/>
            <w:gridSpan w:val="3"/>
            <w:shd w:val="clear" w:color="auto" w:fill="auto"/>
            <w:tcMar>
              <w:top w:w="40" w:type="dxa"/>
              <w:left w:w="20" w:type="dxa"/>
              <w:bottom w:w="40" w:type="dxa"/>
              <w:right w:w="20" w:type="dxa"/>
            </w:tcMar>
            <w:vAlign w:val="bottom"/>
          </w:tcPr>
          <w:p w14:paraId="64A89126" w14:textId="77777777" w:rsidR="008D6614" w:rsidRDefault="00866AF2">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127" w14:textId="77777777" w:rsidR="008D6614" w:rsidRDefault="00866AF2">
            <w:pPr>
              <w:jc w:val="center"/>
              <w:textAlignment w:val="bottom"/>
            </w:pPr>
            <w:r>
              <w:rPr>
                <w:rFonts w:ascii="Arial" w:eastAsia="宋体" w:hAnsi="Arial" w:cs="Arial"/>
                <w:b/>
                <w:bCs/>
                <w:color w:val="000000"/>
                <w:sz w:val="16"/>
                <w:szCs w:val="16"/>
              </w:rPr>
              <w:t>2020</w:t>
            </w:r>
            <w:r>
              <w:rPr>
                <w:rFonts w:ascii="Arial" w:eastAsia="宋体" w:hAnsi="Arial" w:cs="Arial"/>
                <w:b/>
                <w:bCs/>
                <w:color w:val="000000"/>
                <w:sz w:val="10"/>
                <w:szCs w:val="10"/>
              </w:rPr>
              <w:t xml:space="preserve"> (1)</w:t>
            </w:r>
          </w:p>
        </w:tc>
        <w:tc>
          <w:tcPr>
            <w:tcW w:w="0" w:type="auto"/>
            <w:gridSpan w:val="3"/>
            <w:tcBorders>
              <w:top w:val="single" w:sz="8" w:space="0" w:color="000000"/>
            </w:tcBorders>
            <w:shd w:val="clear" w:color="auto" w:fill="auto"/>
            <w:tcMar>
              <w:left w:w="20" w:type="dxa"/>
              <w:right w:w="20" w:type="dxa"/>
            </w:tcMar>
            <w:vAlign w:val="bottom"/>
          </w:tcPr>
          <w:p w14:paraId="64A89128"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129"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912A" w14:textId="77777777" w:rsidR="008D6614" w:rsidRDefault="008D6614">
            <w:pPr>
              <w:rPr>
                <w:rFonts w:ascii="宋体"/>
                <w:vanish/>
              </w:rPr>
            </w:pPr>
          </w:p>
        </w:tc>
        <w:tc>
          <w:tcPr>
            <w:tcW w:w="0" w:type="auto"/>
            <w:shd w:val="clear" w:color="auto" w:fill="auto"/>
            <w:vAlign w:val="center"/>
          </w:tcPr>
          <w:p w14:paraId="64A8912B" w14:textId="77777777" w:rsidR="008D6614" w:rsidRDefault="008D6614">
            <w:pPr>
              <w:rPr>
                <w:rFonts w:ascii="宋体"/>
                <w:vanish/>
              </w:rPr>
            </w:pPr>
          </w:p>
        </w:tc>
        <w:tc>
          <w:tcPr>
            <w:tcW w:w="0" w:type="auto"/>
            <w:shd w:val="clear" w:color="auto" w:fill="auto"/>
            <w:vAlign w:val="center"/>
          </w:tcPr>
          <w:p w14:paraId="64A8912C" w14:textId="77777777" w:rsidR="008D6614" w:rsidRDefault="008D6614">
            <w:pPr>
              <w:rPr>
                <w:rFonts w:ascii="宋体"/>
                <w:vanish/>
              </w:rPr>
            </w:pPr>
          </w:p>
        </w:tc>
        <w:tc>
          <w:tcPr>
            <w:tcW w:w="0" w:type="auto"/>
            <w:shd w:val="clear" w:color="auto" w:fill="auto"/>
            <w:vAlign w:val="center"/>
          </w:tcPr>
          <w:p w14:paraId="64A8912D" w14:textId="77777777" w:rsidR="008D6614" w:rsidRDefault="008D6614">
            <w:pPr>
              <w:rPr>
                <w:rFonts w:ascii="宋体"/>
                <w:vanish/>
              </w:rPr>
            </w:pPr>
          </w:p>
        </w:tc>
        <w:tc>
          <w:tcPr>
            <w:tcW w:w="0" w:type="auto"/>
            <w:shd w:val="clear" w:color="auto" w:fill="auto"/>
            <w:vAlign w:val="center"/>
          </w:tcPr>
          <w:p w14:paraId="64A8912E" w14:textId="77777777" w:rsidR="008D6614" w:rsidRDefault="008D6614">
            <w:pPr>
              <w:rPr>
                <w:rFonts w:ascii="宋体"/>
              </w:rPr>
            </w:pPr>
          </w:p>
        </w:tc>
        <w:tc>
          <w:tcPr>
            <w:tcW w:w="0" w:type="auto"/>
            <w:shd w:val="clear" w:color="auto" w:fill="auto"/>
            <w:vAlign w:val="center"/>
          </w:tcPr>
          <w:p w14:paraId="64A8912F" w14:textId="77777777" w:rsidR="008D6614" w:rsidRDefault="008D6614">
            <w:pPr>
              <w:rPr>
                <w:rFonts w:ascii="宋体"/>
              </w:rPr>
            </w:pPr>
          </w:p>
        </w:tc>
        <w:tc>
          <w:tcPr>
            <w:tcW w:w="0" w:type="auto"/>
            <w:shd w:val="clear" w:color="auto" w:fill="auto"/>
            <w:vAlign w:val="center"/>
          </w:tcPr>
          <w:p w14:paraId="64A89130" w14:textId="77777777" w:rsidR="008D6614" w:rsidRDefault="008D6614">
            <w:pPr>
              <w:rPr>
                <w:rFonts w:ascii="宋体"/>
              </w:rPr>
            </w:pPr>
          </w:p>
        </w:tc>
        <w:tc>
          <w:tcPr>
            <w:tcW w:w="0" w:type="auto"/>
            <w:shd w:val="clear" w:color="auto" w:fill="auto"/>
            <w:vAlign w:val="center"/>
          </w:tcPr>
          <w:p w14:paraId="64A89131" w14:textId="77777777" w:rsidR="008D6614" w:rsidRDefault="008D6614">
            <w:pPr>
              <w:rPr>
                <w:rFonts w:ascii="宋体"/>
              </w:rPr>
            </w:pPr>
          </w:p>
        </w:tc>
        <w:tc>
          <w:tcPr>
            <w:tcW w:w="0" w:type="auto"/>
            <w:shd w:val="clear" w:color="auto" w:fill="auto"/>
            <w:vAlign w:val="center"/>
          </w:tcPr>
          <w:p w14:paraId="64A89132" w14:textId="77777777" w:rsidR="008D6614" w:rsidRDefault="008D6614">
            <w:pPr>
              <w:rPr>
                <w:rFonts w:ascii="宋体"/>
              </w:rPr>
            </w:pPr>
          </w:p>
        </w:tc>
        <w:tc>
          <w:tcPr>
            <w:tcW w:w="0" w:type="auto"/>
            <w:shd w:val="clear" w:color="auto" w:fill="auto"/>
            <w:vAlign w:val="center"/>
          </w:tcPr>
          <w:p w14:paraId="64A89133" w14:textId="77777777" w:rsidR="008D6614" w:rsidRDefault="008D6614">
            <w:pPr>
              <w:rPr>
                <w:rFonts w:ascii="宋体"/>
              </w:rPr>
            </w:pPr>
          </w:p>
        </w:tc>
      </w:tr>
      <w:tr w:rsidR="008D6614" w14:paraId="64A89147" w14:textId="77777777">
        <w:trPr>
          <w:jc w:val="center"/>
        </w:trPr>
        <w:tc>
          <w:tcPr>
            <w:tcW w:w="0" w:type="auto"/>
            <w:gridSpan w:val="3"/>
            <w:shd w:val="clear" w:color="auto" w:fill="FFFFFF"/>
            <w:tcMar>
              <w:top w:w="40" w:type="dxa"/>
              <w:left w:w="20" w:type="dxa"/>
              <w:bottom w:w="40" w:type="dxa"/>
              <w:right w:w="20" w:type="dxa"/>
            </w:tcMar>
            <w:vAlign w:val="bottom"/>
          </w:tcPr>
          <w:p w14:paraId="64A89135" w14:textId="77777777" w:rsidR="008D6614" w:rsidRDefault="00866AF2">
            <w:pPr>
              <w:textAlignment w:val="bottom"/>
            </w:pPr>
            <w:r>
              <w:rPr>
                <w:rFonts w:ascii="Arial" w:eastAsia="宋体" w:hAnsi="Arial" w:cs="Arial"/>
                <w:color w:val="000000"/>
                <w:sz w:val="18"/>
                <w:szCs w:val="18"/>
              </w:rPr>
              <w:t>StubHub income from discontinued operations, net of income taxes</w:t>
            </w:r>
          </w:p>
        </w:tc>
        <w:tc>
          <w:tcPr>
            <w:tcW w:w="0" w:type="auto"/>
            <w:tcBorders>
              <w:top w:val="single" w:sz="8" w:space="0" w:color="000000"/>
            </w:tcBorders>
            <w:shd w:val="clear" w:color="auto" w:fill="FFFFFF"/>
            <w:tcMar>
              <w:top w:w="40" w:type="dxa"/>
              <w:left w:w="20" w:type="dxa"/>
              <w:bottom w:w="40" w:type="dxa"/>
            </w:tcMar>
            <w:vAlign w:val="bottom"/>
          </w:tcPr>
          <w:p w14:paraId="64A8913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137" w14:textId="77777777" w:rsidR="008D6614" w:rsidRDefault="00866AF2">
            <w:pPr>
              <w:jc w:val="right"/>
              <w:textAlignment w:val="bottom"/>
            </w:pPr>
            <w:r>
              <w:rPr>
                <w:rFonts w:ascii="Arial" w:eastAsia="宋体" w:hAnsi="Arial" w:cs="Arial"/>
                <w:color w:val="000000"/>
                <w:sz w:val="18"/>
                <w:szCs w:val="18"/>
              </w:rPr>
              <w:t>2,928 </w:t>
            </w:r>
          </w:p>
        </w:tc>
        <w:tc>
          <w:tcPr>
            <w:tcW w:w="0" w:type="auto"/>
            <w:tcBorders>
              <w:top w:val="single" w:sz="8" w:space="0" w:color="000000"/>
            </w:tcBorders>
            <w:shd w:val="clear" w:color="auto" w:fill="FFFFFF"/>
            <w:tcMar>
              <w:top w:w="40" w:type="dxa"/>
              <w:bottom w:w="40" w:type="dxa"/>
              <w:right w:w="20" w:type="dxa"/>
            </w:tcMar>
            <w:vAlign w:val="bottom"/>
          </w:tcPr>
          <w:p w14:paraId="64A8913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139"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13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13B" w14:textId="77777777" w:rsidR="008D6614" w:rsidRDefault="00866AF2">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FFFFFF"/>
            <w:tcMar>
              <w:top w:w="40" w:type="dxa"/>
              <w:bottom w:w="40" w:type="dxa"/>
              <w:right w:w="20" w:type="dxa"/>
            </w:tcMar>
            <w:vAlign w:val="bottom"/>
          </w:tcPr>
          <w:p w14:paraId="64A8913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13D" w14:textId="77777777" w:rsidR="008D6614" w:rsidRDefault="008D6614">
            <w:pPr>
              <w:rPr>
                <w:rFonts w:ascii="宋体"/>
                <w:vanish/>
              </w:rPr>
            </w:pPr>
          </w:p>
        </w:tc>
        <w:tc>
          <w:tcPr>
            <w:tcW w:w="0" w:type="auto"/>
            <w:shd w:val="clear" w:color="auto" w:fill="auto"/>
            <w:vAlign w:val="center"/>
          </w:tcPr>
          <w:p w14:paraId="64A8913E" w14:textId="77777777" w:rsidR="008D6614" w:rsidRDefault="008D6614">
            <w:pPr>
              <w:rPr>
                <w:rFonts w:ascii="宋体"/>
                <w:vanish/>
              </w:rPr>
            </w:pPr>
          </w:p>
        </w:tc>
        <w:tc>
          <w:tcPr>
            <w:tcW w:w="0" w:type="auto"/>
            <w:shd w:val="clear" w:color="auto" w:fill="auto"/>
            <w:vAlign w:val="center"/>
          </w:tcPr>
          <w:p w14:paraId="64A8913F" w14:textId="77777777" w:rsidR="008D6614" w:rsidRDefault="008D6614">
            <w:pPr>
              <w:rPr>
                <w:rFonts w:ascii="宋体"/>
                <w:vanish/>
              </w:rPr>
            </w:pPr>
          </w:p>
        </w:tc>
        <w:tc>
          <w:tcPr>
            <w:tcW w:w="0" w:type="auto"/>
            <w:shd w:val="clear" w:color="auto" w:fill="auto"/>
            <w:vAlign w:val="center"/>
          </w:tcPr>
          <w:p w14:paraId="64A89140" w14:textId="77777777" w:rsidR="008D6614" w:rsidRDefault="008D6614">
            <w:pPr>
              <w:rPr>
                <w:rFonts w:ascii="宋体"/>
                <w:vanish/>
              </w:rPr>
            </w:pPr>
          </w:p>
        </w:tc>
        <w:tc>
          <w:tcPr>
            <w:tcW w:w="0" w:type="auto"/>
            <w:shd w:val="clear" w:color="auto" w:fill="auto"/>
            <w:vAlign w:val="center"/>
          </w:tcPr>
          <w:p w14:paraId="64A89141" w14:textId="77777777" w:rsidR="008D6614" w:rsidRDefault="008D6614">
            <w:pPr>
              <w:rPr>
                <w:rFonts w:ascii="宋体"/>
              </w:rPr>
            </w:pPr>
          </w:p>
        </w:tc>
        <w:tc>
          <w:tcPr>
            <w:tcW w:w="0" w:type="auto"/>
            <w:shd w:val="clear" w:color="auto" w:fill="auto"/>
            <w:vAlign w:val="center"/>
          </w:tcPr>
          <w:p w14:paraId="64A89142" w14:textId="77777777" w:rsidR="008D6614" w:rsidRDefault="008D6614">
            <w:pPr>
              <w:rPr>
                <w:rFonts w:ascii="宋体"/>
              </w:rPr>
            </w:pPr>
          </w:p>
        </w:tc>
        <w:tc>
          <w:tcPr>
            <w:tcW w:w="0" w:type="auto"/>
            <w:shd w:val="clear" w:color="auto" w:fill="auto"/>
            <w:vAlign w:val="center"/>
          </w:tcPr>
          <w:p w14:paraId="64A89143" w14:textId="77777777" w:rsidR="008D6614" w:rsidRDefault="008D6614">
            <w:pPr>
              <w:rPr>
                <w:rFonts w:ascii="宋体"/>
              </w:rPr>
            </w:pPr>
          </w:p>
        </w:tc>
        <w:tc>
          <w:tcPr>
            <w:tcW w:w="0" w:type="auto"/>
            <w:shd w:val="clear" w:color="auto" w:fill="auto"/>
            <w:vAlign w:val="center"/>
          </w:tcPr>
          <w:p w14:paraId="64A89144" w14:textId="77777777" w:rsidR="008D6614" w:rsidRDefault="008D6614">
            <w:pPr>
              <w:rPr>
                <w:rFonts w:ascii="宋体"/>
              </w:rPr>
            </w:pPr>
          </w:p>
        </w:tc>
        <w:tc>
          <w:tcPr>
            <w:tcW w:w="0" w:type="auto"/>
            <w:shd w:val="clear" w:color="auto" w:fill="auto"/>
            <w:vAlign w:val="center"/>
          </w:tcPr>
          <w:p w14:paraId="64A89145" w14:textId="77777777" w:rsidR="008D6614" w:rsidRDefault="008D6614">
            <w:pPr>
              <w:rPr>
                <w:rFonts w:ascii="宋体"/>
              </w:rPr>
            </w:pPr>
          </w:p>
        </w:tc>
        <w:tc>
          <w:tcPr>
            <w:tcW w:w="0" w:type="auto"/>
            <w:shd w:val="clear" w:color="auto" w:fill="auto"/>
            <w:vAlign w:val="center"/>
          </w:tcPr>
          <w:p w14:paraId="64A89146" w14:textId="77777777" w:rsidR="008D6614" w:rsidRDefault="008D6614">
            <w:pPr>
              <w:rPr>
                <w:rFonts w:ascii="宋体"/>
              </w:rPr>
            </w:pPr>
          </w:p>
        </w:tc>
      </w:tr>
      <w:tr w:rsidR="008D6614" w14:paraId="64A89158" w14:textId="77777777">
        <w:trPr>
          <w:jc w:val="center"/>
        </w:trPr>
        <w:tc>
          <w:tcPr>
            <w:tcW w:w="0" w:type="auto"/>
            <w:gridSpan w:val="3"/>
            <w:shd w:val="clear" w:color="auto" w:fill="E2E2E2"/>
            <w:tcMar>
              <w:top w:w="40" w:type="dxa"/>
              <w:left w:w="20" w:type="dxa"/>
              <w:bottom w:w="40" w:type="dxa"/>
              <w:right w:w="20" w:type="dxa"/>
            </w:tcMar>
            <w:vAlign w:val="bottom"/>
          </w:tcPr>
          <w:p w14:paraId="64A89148" w14:textId="77777777" w:rsidR="008D6614" w:rsidRDefault="00866AF2">
            <w:pPr>
              <w:textAlignment w:val="bottom"/>
            </w:pPr>
            <w:r>
              <w:rPr>
                <w:rFonts w:ascii="Arial" w:eastAsia="宋体" w:hAnsi="Arial" w:cs="Arial"/>
                <w:color w:val="000000"/>
                <w:sz w:val="18"/>
                <w:szCs w:val="18"/>
              </w:rPr>
              <w:t>PayPal and Enterprise (loss) from discontinued operations, net of income taxes</w:t>
            </w:r>
          </w:p>
        </w:tc>
        <w:tc>
          <w:tcPr>
            <w:tcW w:w="0" w:type="auto"/>
            <w:gridSpan w:val="2"/>
            <w:shd w:val="clear" w:color="auto" w:fill="E2E2E2"/>
            <w:tcMar>
              <w:top w:w="40" w:type="dxa"/>
              <w:left w:w="20" w:type="dxa"/>
              <w:bottom w:w="40" w:type="dxa"/>
              <w:right w:w="0" w:type="dxa"/>
            </w:tcMar>
            <w:vAlign w:val="bottom"/>
          </w:tcPr>
          <w:p w14:paraId="64A89149" w14:textId="77777777" w:rsidR="008D6614" w:rsidRDefault="00866AF2">
            <w:pPr>
              <w:jc w:val="right"/>
              <w:textAlignment w:val="bottom"/>
            </w:pPr>
            <w:r>
              <w:rPr>
                <w:rFonts w:ascii="Arial" w:eastAsia="宋体" w:hAnsi="Arial" w:cs="Arial"/>
                <w:color w:val="000000"/>
                <w:sz w:val="18"/>
                <w:szCs w:val="18"/>
              </w:rPr>
              <w:t>(1)</w:t>
            </w:r>
          </w:p>
        </w:tc>
        <w:tc>
          <w:tcPr>
            <w:tcW w:w="0" w:type="auto"/>
            <w:shd w:val="clear" w:color="auto" w:fill="E2E2E2"/>
            <w:tcMar>
              <w:top w:w="40" w:type="dxa"/>
              <w:bottom w:w="40" w:type="dxa"/>
              <w:right w:w="20" w:type="dxa"/>
            </w:tcMar>
            <w:vAlign w:val="bottom"/>
          </w:tcPr>
          <w:p w14:paraId="64A8914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14B"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14C" w14:textId="77777777" w:rsidR="008D6614" w:rsidRDefault="00866AF2">
            <w:pPr>
              <w:jc w:val="right"/>
              <w:textAlignment w:val="bottom"/>
            </w:pPr>
            <w:r>
              <w:rPr>
                <w:rFonts w:ascii="Arial" w:eastAsia="宋体" w:hAnsi="Arial" w:cs="Arial"/>
                <w:color w:val="000000"/>
                <w:sz w:val="18"/>
                <w:szCs w:val="18"/>
              </w:rPr>
              <w:t>(3)</w:t>
            </w:r>
          </w:p>
        </w:tc>
        <w:tc>
          <w:tcPr>
            <w:tcW w:w="0" w:type="auto"/>
            <w:shd w:val="clear" w:color="auto" w:fill="E2E2E2"/>
            <w:tcMar>
              <w:top w:w="40" w:type="dxa"/>
              <w:bottom w:w="40" w:type="dxa"/>
              <w:right w:w="20" w:type="dxa"/>
            </w:tcMar>
            <w:vAlign w:val="bottom"/>
          </w:tcPr>
          <w:p w14:paraId="64A8914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14E" w14:textId="77777777" w:rsidR="008D6614" w:rsidRDefault="008D6614">
            <w:pPr>
              <w:rPr>
                <w:rFonts w:ascii="宋体"/>
                <w:vanish/>
              </w:rPr>
            </w:pPr>
          </w:p>
        </w:tc>
        <w:tc>
          <w:tcPr>
            <w:tcW w:w="0" w:type="auto"/>
            <w:shd w:val="clear" w:color="auto" w:fill="auto"/>
            <w:vAlign w:val="center"/>
          </w:tcPr>
          <w:p w14:paraId="64A8914F" w14:textId="77777777" w:rsidR="008D6614" w:rsidRDefault="008D6614">
            <w:pPr>
              <w:rPr>
                <w:rFonts w:ascii="宋体"/>
                <w:vanish/>
              </w:rPr>
            </w:pPr>
          </w:p>
        </w:tc>
        <w:tc>
          <w:tcPr>
            <w:tcW w:w="0" w:type="auto"/>
            <w:shd w:val="clear" w:color="auto" w:fill="auto"/>
            <w:vAlign w:val="center"/>
          </w:tcPr>
          <w:p w14:paraId="64A89150" w14:textId="77777777" w:rsidR="008D6614" w:rsidRDefault="008D6614">
            <w:pPr>
              <w:rPr>
                <w:rFonts w:ascii="宋体"/>
                <w:vanish/>
              </w:rPr>
            </w:pPr>
          </w:p>
        </w:tc>
        <w:tc>
          <w:tcPr>
            <w:tcW w:w="0" w:type="auto"/>
            <w:shd w:val="clear" w:color="auto" w:fill="auto"/>
            <w:vAlign w:val="center"/>
          </w:tcPr>
          <w:p w14:paraId="64A89151" w14:textId="77777777" w:rsidR="008D6614" w:rsidRDefault="008D6614">
            <w:pPr>
              <w:rPr>
                <w:rFonts w:ascii="宋体"/>
                <w:vanish/>
              </w:rPr>
            </w:pPr>
          </w:p>
        </w:tc>
        <w:tc>
          <w:tcPr>
            <w:tcW w:w="0" w:type="auto"/>
            <w:shd w:val="clear" w:color="auto" w:fill="auto"/>
            <w:vAlign w:val="center"/>
          </w:tcPr>
          <w:p w14:paraId="64A89152" w14:textId="77777777" w:rsidR="008D6614" w:rsidRDefault="008D6614">
            <w:pPr>
              <w:rPr>
                <w:rFonts w:ascii="宋体"/>
              </w:rPr>
            </w:pPr>
          </w:p>
        </w:tc>
        <w:tc>
          <w:tcPr>
            <w:tcW w:w="0" w:type="auto"/>
            <w:shd w:val="clear" w:color="auto" w:fill="auto"/>
            <w:vAlign w:val="center"/>
          </w:tcPr>
          <w:p w14:paraId="64A89153" w14:textId="77777777" w:rsidR="008D6614" w:rsidRDefault="008D6614">
            <w:pPr>
              <w:rPr>
                <w:rFonts w:ascii="宋体"/>
              </w:rPr>
            </w:pPr>
          </w:p>
        </w:tc>
        <w:tc>
          <w:tcPr>
            <w:tcW w:w="0" w:type="auto"/>
            <w:shd w:val="clear" w:color="auto" w:fill="auto"/>
            <w:vAlign w:val="center"/>
          </w:tcPr>
          <w:p w14:paraId="64A89154" w14:textId="77777777" w:rsidR="008D6614" w:rsidRDefault="008D6614">
            <w:pPr>
              <w:rPr>
                <w:rFonts w:ascii="宋体"/>
              </w:rPr>
            </w:pPr>
          </w:p>
        </w:tc>
        <w:tc>
          <w:tcPr>
            <w:tcW w:w="0" w:type="auto"/>
            <w:shd w:val="clear" w:color="auto" w:fill="auto"/>
            <w:vAlign w:val="center"/>
          </w:tcPr>
          <w:p w14:paraId="64A89155" w14:textId="77777777" w:rsidR="008D6614" w:rsidRDefault="008D6614">
            <w:pPr>
              <w:rPr>
                <w:rFonts w:ascii="宋体"/>
              </w:rPr>
            </w:pPr>
          </w:p>
        </w:tc>
        <w:tc>
          <w:tcPr>
            <w:tcW w:w="0" w:type="auto"/>
            <w:shd w:val="clear" w:color="auto" w:fill="auto"/>
            <w:vAlign w:val="center"/>
          </w:tcPr>
          <w:p w14:paraId="64A89156" w14:textId="77777777" w:rsidR="008D6614" w:rsidRDefault="008D6614">
            <w:pPr>
              <w:rPr>
                <w:rFonts w:ascii="宋体"/>
              </w:rPr>
            </w:pPr>
          </w:p>
        </w:tc>
        <w:tc>
          <w:tcPr>
            <w:tcW w:w="0" w:type="auto"/>
            <w:shd w:val="clear" w:color="auto" w:fill="auto"/>
            <w:vAlign w:val="center"/>
          </w:tcPr>
          <w:p w14:paraId="64A89157" w14:textId="77777777" w:rsidR="008D6614" w:rsidRDefault="008D6614">
            <w:pPr>
              <w:rPr>
                <w:rFonts w:ascii="宋体"/>
              </w:rPr>
            </w:pPr>
          </w:p>
        </w:tc>
      </w:tr>
      <w:tr w:rsidR="008D6614" w14:paraId="64A89169" w14:textId="77777777">
        <w:trPr>
          <w:jc w:val="center"/>
        </w:trPr>
        <w:tc>
          <w:tcPr>
            <w:tcW w:w="0" w:type="auto"/>
            <w:gridSpan w:val="3"/>
            <w:shd w:val="clear" w:color="auto" w:fill="FFFFFF"/>
            <w:tcMar>
              <w:top w:w="40" w:type="dxa"/>
              <w:left w:w="855" w:type="dxa"/>
              <w:bottom w:w="40" w:type="dxa"/>
              <w:right w:w="20" w:type="dxa"/>
            </w:tcMar>
            <w:vAlign w:val="bottom"/>
          </w:tcPr>
          <w:p w14:paraId="64A89159" w14:textId="77777777" w:rsidR="008D6614" w:rsidRDefault="00866AF2">
            <w:pPr>
              <w:textAlignment w:val="bottom"/>
            </w:pPr>
            <w:r>
              <w:rPr>
                <w:rFonts w:ascii="Arial" w:eastAsia="宋体" w:hAnsi="Arial" w:cs="Arial"/>
                <w:color w:val="000000"/>
                <w:sz w:val="18"/>
                <w:szCs w:val="18"/>
              </w:rPr>
              <w:t>Income from discontinued operations, net of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915A" w14:textId="77777777" w:rsidR="008D6614" w:rsidRDefault="00866AF2">
            <w:pPr>
              <w:jc w:val="right"/>
              <w:textAlignment w:val="bottom"/>
            </w:pPr>
            <w:r>
              <w:rPr>
                <w:rFonts w:ascii="Arial" w:eastAsia="宋体" w:hAnsi="Arial" w:cs="Arial"/>
                <w:color w:val="000000"/>
                <w:sz w:val="18"/>
                <w:szCs w:val="18"/>
              </w:rPr>
              <w:t>2,927 </w:t>
            </w:r>
          </w:p>
        </w:tc>
        <w:tc>
          <w:tcPr>
            <w:tcW w:w="0" w:type="auto"/>
            <w:tcBorders>
              <w:top w:val="single" w:sz="8" w:space="0" w:color="000000"/>
            </w:tcBorders>
            <w:shd w:val="clear" w:color="auto" w:fill="FFFFFF"/>
            <w:tcMar>
              <w:top w:w="40" w:type="dxa"/>
              <w:bottom w:w="40" w:type="dxa"/>
              <w:right w:w="20" w:type="dxa"/>
            </w:tcMar>
            <w:vAlign w:val="bottom"/>
          </w:tcPr>
          <w:p w14:paraId="64A8915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15C"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915D" w14:textId="77777777" w:rsidR="008D6614" w:rsidRDefault="00866AF2">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bottom w:w="40" w:type="dxa"/>
              <w:right w:w="20" w:type="dxa"/>
            </w:tcMar>
            <w:vAlign w:val="bottom"/>
          </w:tcPr>
          <w:p w14:paraId="64A8915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15F" w14:textId="77777777" w:rsidR="008D6614" w:rsidRDefault="008D6614">
            <w:pPr>
              <w:rPr>
                <w:rFonts w:ascii="宋体"/>
                <w:vanish/>
              </w:rPr>
            </w:pPr>
          </w:p>
        </w:tc>
        <w:tc>
          <w:tcPr>
            <w:tcW w:w="0" w:type="auto"/>
            <w:shd w:val="clear" w:color="auto" w:fill="auto"/>
            <w:vAlign w:val="center"/>
          </w:tcPr>
          <w:p w14:paraId="64A89160" w14:textId="77777777" w:rsidR="008D6614" w:rsidRDefault="008D6614">
            <w:pPr>
              <w:rPr>
                <w:rFonts w:ascii="宋体"/>
                <w:vanish/>
              </w:rPr>
            </w:pPr>
          </w:p>
        </w:tc>
        <w:tc>
          <w:tcPr>
            <w:tcW w:w="0" w:type="auto"/>
            <w:shd w:val="clear" w:color="auto" w:fill="auto"/>
            <w:vAlign w:val="center"/>
          </w:tcPr>
          <w:p w14:paraId="64A89161" w14:textId="77777777" w:rsidR="008D6614" w:rsidRDefault="008D6614">
            <w:pPr>
              <w:rPr>
                <w:rFonts w:ascii="宋体"/>
                <w:vanish/>
              </w:rPr>
            </w:pPr>
          </w:p>
        </w:tc>
        <w:tc>
          <w:tcPr>
            <w:tcW w:w="0" w:type="auto"/>
            <w:shd w:val="clear" w:color="auto" w:fill="auto"/>
            <w:vAlign w:val="center"/>
          </w:tcPr>
          <w:p w14:paraId="64A89162" w14:textId="77777777" w:rsidR="008D6614" w:rsidRDefault="008D6614">
            <w:pPr>
              <w:rPr>
                <w:rFonts w:ascii="宋体"/>
                <w:vanish/>
              </w:rPr>
            </w:pPr>
          </w:p>
        </w:tc>
        <w:tc>
          <w:tcPr>
            <w:tcW w:w="0" w:type="auto"/>
            <w:shd w:val="clear" w:color="auto" w:fill="auto"/>
            <w:vAlign w:val="center"/>
          </w:tcPr>
          <w:p w14:paraId="64A89163" w14:textId="77777777" w:rsidR="008D6614" w:rsidRDefault="008D6614">
            <w:pPr>
              <w:rPr>
                <w:rFonts w:ascii="宋体"/>
              </w:rPr>
            </w:pPr>
          </w:p>
        </w:tc>
        <w:tc>
          <w:tcPr>
            <w:tcW w:w="0" w:type="auto"/>
            <w:shd w:val="clear" w:color="auto" w:fill="auto"/>
            <w:vAlign w:val="center"/>
          </w:tcPr>
          <w:p w14:paraId="64A89164" w14:textId="77777777" w:rsidR="008D6614" w:rsidRDefault="008D6614">
            <w:pPr>
              <w:rPr>
                <w:rFonts w:ascii="宋体"/>
              </w:rPr>
            </w:pPr>
          </w:p>
        </w:tc>
        <w:tc>
          <w:tcPr>
            <w:tcW w:w="0" w:type="auto"/>
            <w:shd w:val="clear" w:color="auto" w:fill="auto"/>
            <w:vAlign w:val="center"/>
          </w:tcPr>
          <w:p w14:paraId="64A89165" w14:textId="77777777" w:rsidR="008D6614" w:rsidRDefault="008D6614">
            <w:pPr>
              <w:rPr>
                <w:rFonts w:ascii="宋体"/>
              </w:rPr>
            </w:pPr>
          </w:p>
        </w:tc>
        <w:tc>
          <w:tcPr>
            <w:tcW w:w="0" w:type="auto"/>
            <w:shd w:val="clear" w:color="auto" w:fill="auto"/>
            <w:vAlign w:val="center"/>
          </w:tcPr>
          <w:p w14:paraId="64A89166" w14:textId="77777777" w:rsidR="008D6614" w:rsidRDefault="008D6614">
            <w:pPr>
              <w:rPr>
                <w:rFonts w:ascii="宋体"/>
              </w:rPr>
            </w:pPr>
          </w:p>
        </w:tc>
        <w:tc>
          <w:tcPr>
            <w:tcW w:w="0" w:type="auto"/>
            <w:shd w:val="clear" w:color="auto" w:fill="auto"/>
            <w:vAlign w:val="center"/>
          </w:tcPr>
          <w:p w14:paraId="64A89167" w14:textId="77777777" w:rsidR="008D6614" w:rsidRDefault="008D6614">
            <w:pPr>
              <w:rPr>
                <w:rFonts w:ascii="宋体"/>
              </w:rPr>
            </w:pPr>
          </w:p>
        </w:tc>
        <w:tc>
          <w:tcPr>
            <w:tcW w:w="0" w:type="auto"/>
            <w:shd w:val="clear" w:color="auto" w:fill="auto"/>
            <w:vAlign w:val="center"/>
          </w:tcPr>
          <w:p w14:paraId="64A89168" w14:textId="77777777" w:rsidR="008D6614" w:rsidRDefault="008D6614">
            <w:pPr>
              <w:rPr>
                <w:rFonts w:ascii="宋体"/>
              </w:rPr>
            </w:pPr>
          </w:p>
        </w:tc>
      </w:tr>
    </w:tbl>
    <w:p w14:paraId="64A8916A" w14:textId="77777777" w:rsidR="008D6614" w:rsidRDefault="00866AF2">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 xml:space="preserve">Includes StubHub financial results from January 1, 2020 to February 13, 2020, in addition to the gain on sale recorded during the three months ended </w:t>
      </w:r>
      <w:r>
        <w:rPr>
          <w:rFonts w:ascii="Arial" w:eastAsia="宋体" w:hAnsi="Arial" w:cs="Arial"/>
          <w:color w:val="000000"/>
          <w:sz w:val="16"/>
          <w:szCs w:val="16"/>
        </w:rPr>
        <w:t>March 31, 2020.</w:t>
      </w:r>
    </w:p>
    <w:p w14:paraId="64A8916B" w14:textId="77777777" w:rsidR="008D6614" w:rsidRDefault="008D6614"/>
    <w:p w14:paraId="64A8916C" w14:textId="77777777" w:rsidR="008D6614" w:rsidRDefault="008D6614"/>
    <w:p w14:paraId="64A8916D" w14:textId="77777777" w:rsidR="008D6614" w:rsidRDefault="00866AF2">
      <w:r>
        <w:rPr>
          <w:rFonts w:ascii="Arial" w:eastAsia="宋体" w:hAnsi="Arial" w:cs="Arial"/>
          <w:color w:val="000000"/>
          <w:sz w:val="20"/>
          <w:szCs w:val="20"/>
        </w:rPr>
        <w:t>The following table presents cash flows for StubHub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5700"/>
        <w:gridCol w:w="50"/>
        <w:gridCol w:w="136"/>
        <w:gridCol w:w="824"/>
        <w:gridCol w:w="86"/>
        <w:gridCol w:w="36"/>
        <w:gridCol w:w="36"/>
        <w:gridCol w:w="36"/>
        <w:gridCol w:w="136"/>
        <w:gridCol w:w="801"/>
        <w:gridCol w:w="86"/>
        <w:gridCol w:w="36"/>
        <w:gridCol w:w="36"/>
        <w:gridCol w:w="36"/>
        <w:gridCol w:w="36"/>
        <w:gridCol w:w="36"/>
        <w:gridCol w:w="36"/>
        <w:gridCol w:w="36"/>
        <w:gridCol w:w="36"/>
        <w:gridCol w:w="36"/>
        <w:gridCol w:w="36"/>
      </w:tblGrid>
      <w:tr w:rsidR="008D6614" w14:paraId="64A8917E" w14:textId="77777777">
        <w:trPr>
          <w:gridAfter w:val="6"/>
          <w:jc w:val="center"/>
        </w:trPr>
        <w:tc>
          <w:tcPr>
            <w:tcW w:w="50" w:type="pct"/>
            <w:shd w:val="clear" w:color="auto" w:fill="auto"/>
            <w:vAlign w:val="center"/>
          </w:tcPr>
          <w:p w14:paraId="64A8916E" w14:textId="77777777" w:rsidR="008D6614" w:rsidRDefault="008D6614">
            <w:pPr>
              <w:rPr>
                <w:rFonts w:ascii="宋体"/>
              </w:rPr>
            </w:pPr>
          </w:p>
        </w:tc>
        <w:tc>
          <w:tcPr>
            <w:tcW w:w="3591" w:type="pct"/>
            <w:shd w:val="clear" w:color="auto" w:fill="auto"/>
            <w:vAlign w:val="center"/>
          </w:tcPr>
          <w:p w14:paraId="64A8916F" w14:textId="77777777" w:rsidR="008D6614" w:rsidRDefault="008D6614">
            <w:pPr>
              <w:rPr>
                <w:rFonts w:ascii="宋体"/>
              </w:rPr>
            </w:pPr>
          </w:p>
        </w:tc>
        <w:tc>
          <w:tcPr>
            <w:tcW w:w="50" w:type="pct"/>
            <w:shd w:val="clear" w:color="auto" w:fill="auto"/>
            <w:vAlign w:val="center"/>
          </w:tcPr>
          <w:p w14:paraId="64A89170" w14:textId="77777777" w:rsidR="008D6614" w:rsidRDefault="008D6614">
            <w:pPr>
              <w:rPr>
                <w:rFonts w:ascii="宋体"/>
              </w:rPr>
            </w:pPr>
          </w:p>
        </w:tc>
        <w:tc>
          <w:tcPr>
            <w:tcW w:w="50" w:type="pct"/>
            <w:shd w:val="clear" w:color="auto" w:fill="auto"/>
            <w:vAlign w:val="center"/>
          </w:tcPr>
          <w:p w14:paraId="64A89171" w14:textId="77777777" w:rsidR="008D6614" w:rsidRDefault="008D6614">
            <w:pPr>
              <w:rPr>
                <w:rFonts w:ascii="宋体"/>
              </w:rPr>
            </w:pPr>
          </w:p>
        </w:tc>
        <w:tc>
          <w:tcPr>
            <w:tcW w:w="535" w:type="pct"/>
            <w:shd w:val="clear" w:color="auto" w:fill="auto"/>
            <w:vAlign w:val="center"/>
          </w:tcPr>
          <w:p w14:paraId="64A89172" w14:textId="77777777" w:rsidR="008D6614" w:rsidRDefault="008D6614">
            <w:pPr>
              <w:rPr>
                <w:rFonts w:ascii="宋体"/>
              </w:rPr>
            </w:pPr>
          </w:p>
        </w:tc>
        <w:tc>
          <w:tcPr>
            <w:tcW w:w="50" w:type="pct"/>
            <w:shd w:val="clear" w:color="auto" w:fill="auto"/>
            <w:vAlign w:val="center"/>
          </w:tcPr>
          <w:p w14:paraId="64A89173" w14:textId="77777777" w:rsidR="008D6614" w:rsidRDefault="008D6614">
            <w:pPr>
              <w:rPr>
                <w:rFonts w:ascii="宋体"/>
              </w:rPr>
            </w:pPr>
          </w:p>
        </w:tc>
        <w:tc>
          <w:tcPr>
            <w:tcW w:w="5" w:type="pct"/>
            <w:shd w:val="clear" w:color="auto" w:fill="auto"/>
            <w:vAlign w:val="center"/>
          </w:tcPr>
          <w:p w14:paraId="64A89174" w14:textId="77777777" w:rsidR="008D6614" w:rsidRDefault="008D6614">
            <w:pPr>
              <w:rPr>
                <w:rFonts w:ascii="宋体"/>
              </w:rPr>
            </w:pPr>
          </w:p>
        </w:tc>
        <w:tc>
          <w:tcPr>
            <w:tcW w:w="26" w:type="pct"/>
            <w:shd w:val="clear" w:color="auto" w:fill="auto"/>
            <w:vAlign w:val="center"/>
          </w:tcPr>
          <w:p w14:paraId="64A89175" w14:textId="77777777" w:rsidR="008D6614" w:rsidRDefault="008D6614">
            <w:pPr>
              <w:rPr>
                <w:rFonts w:ascii="宋体"/>
              </w:rPr>
            </w:pPr>
          </w:p>
        </w:tc>
        <w:tc>
          <w:tcPr>
            <w:tcW w:w="5" w:type="pct"/>
            <w:shd w:val="clear" w:color="auto" w:fill="auto"/>
            <w:vAlign w:val="center"/>
          </w:tcPr>
          <w:p w14:paraId="64A89176" w14:textId="77777777" w:rsidR="008D6614" w:rsidRDefault="008D6614">
            <w:pPr>
              <w:rPr>
                <w:rFonts w:ascii="宋体"/>
              </w:rPr>
            </w:pPr>
          </w:p>
        </w:tc>
        <w:tc>
          <w:tcPr>
            <w:tcW w:w="50" w:type="pct"/>
            <w:shd w:val="clear" w:color="auto" w:fill="auto"/>
            <w:vAlign w:val="center"/>
          </w:tcPr>
          <w:p w14:paraId="64A89177" w14:textId="77777777" w:rsidR="008D6614" w:rsidRDefault="008D6614">
            <w:pPr>
              <w:rPr>
                <w:rFonts w:ascii="宋体"/>
              </w:rPr>
            </w:pPr>
          </w:p>
        </w:tc>
        <w:tc>
          <w:tcPr>
            <w:tcW w:w="536" w:type="pct"/>
            <w:shd w:val="clear" w:color="auto" w:fill="auto"/>
            <w:vAlign w:val="center"/>
          </w:tcPr>
          <w:p w14:paraId="64A89178" w14:textId="77777777" w:rsidR="008D6614" w:rsidRDefault="008D6614">
            <w:pPr>
              <w:rPr>
                <w:rFonts w:ascii="宋体"/>
              </w:rPr>
            </w:pPr>
          </w:p>
        </w:tc>
        <w:tc>
          <w:tcPr>
            <w:tcW w:w="50" w:type="pct"/>
            <w:shd w:val="clear" w:color="auto" w:fill="auto"/>
            <w:vAlign w:val="center"/>
          </w:tcPr>
          <w:p w14:paraId="64A89179" w14:textId="77777777" w:rsidR="008D6614" w:rsidRDefault="008D6614">
            <w:pPr>
              <w:rPr>
                <w:rFonts w:ascii="宋体"/>
              </w:rPr>
            </w:pPr>
          </w:p>
        </w:tc>
        <w:tc>
          <w:tcPr>
            <w:tcW w:w="0" w:type="auto"/>
            <w:shd w:val="clear" w:color="auto" w:fill="auto"/>
            <w:vAlign w:val="center"/>
          </w:tcPr>
          <w:p w14:paraId="64A8917A" w14:textId="77777777" w:rsidR="008D6614" w:rsidRDefault="008D6614">
            <w:pPr>
              <w:rPr>
                <w:rFonts w:ascii="宋体"/>
                <w:vanish/>
              </w:rPr>
            </w:pPr>
          </w:p>
        </w:tc>
        <w:tc>
          <w:tcPr>
            <w:tcW w:w="0" w:type="auto"/>
            <w:shd w:val="clear" w:color="auto" w:fill="auto"/>
            <w:vAlign w:val="center"/>
          </w:tcPr>
          <w:p w14:paraId="64A8917B" w14:textId="77777777" w:rsidR="008D6614" w:rsidRDefault="008D6614">
            <w:pPr>
              <w:rPr>
                <w:rFonts w:ascii="宋体"/>
                <w:vanish/>
              </w:rPr>
            </w:pPr>
          </w:p>
        </w:tc>
        <w:tc>
          <w:tcPr>
            <w:tcW w:w="0" w:type="auto"/>
            <w:shd w:val="clear" w:color="auto" w:fill="auto"/>
            <w:vAlign w:val="center"/>
          </w:tcPr>
          <w:p w14:paraId="64A8917C" w14:textId="77777777" w:rsidR="008D6614" w:rsidRDefault="008D6614">
            <w:pPr>
              <w:rPr>
                <w:rFonts w:ascii="宋体"/>
                <w:vanish/>
              </w:rPr>
            </w:pPr>
          </w:p>
        </w:tc>
        <w:tc>
          <w:tcPr>
            <w:tcW w:w="0" w:type="auto"/>
            <w:shd w:val="clear" w:color="auto" w:fill="auto"/>
            <w:vAlign w:val="center"/>
          </w:tcPr>
          <w:p w14:paraId="64A8917D" w14:textId="77777777" w:rsidR="008D6614" w:rsidRDefault="008D6614">
            <w:pPr>
              <w:rPr>
                <w:rFonts w:ascii="宋体"/>
                <w:vanish/>
              </w:rPr>
            </w:pPr>
          </w:p>
        </w:tc>
      </w:tr>
      <w:tr w:rsidR="008D6614" w14:paraId="64A89187" w14:textId="77777777">
        <w:trPr>
          <w:jc w:val="center"/>
        </w:trPr>
        <w:tc>
          <w:tcPr>
            <w:tcW w:w="0" w:type="auto"/>
            <w:gridSpan w:val="3"/>
            <w:shd w:val="clear" w:color="auto" w:fill="auto"/>
            <w:tcMar>
              <w:top w:w="40" w:type="dxa"/>
              <w:left w:w="20" w:type="dxa"/>
              <w:bottom w:w="40" w:type="dxa"/>
              <w:right w:w="20" w:type="dxa"/>
            </w:tcMar>
            <w:vAlign w:val="bottom"/>
          </w:tcPr>
          <w:p w14:paraId="64A8917F" w14:textId="77777777" w:rsidR="008D6614" w:rsidRDefault="00866AF2">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A89180"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vAlign w:val="center"/>
          </w:tcPr>
          <w:p w14:paraId="64A89181" w14:textId="77777777" w:rsidR="008D6614" w:rsidRDefault="008D6614">
            <w:pPr>
              <w:rPr>
                <w:rFonts w:ascii="宋体"/>
                <w:vanish/>
              </w:rPr>
            </w:pPr>
          </w:p>
        </w:tc>
        <w:tc>
          <w:tcPr>
            <w:tcW w:w="0" w:type="auto"/>
            <w:shd w:val="clear" w:color="auto" w:fill="auto"/>
            <w:vAlign w:val="center"/>
          </w:tcPr>
          <w:p w14:paraId="64A89182" w14:textId="77777777" w:rsidR="008D6614" w:rsidRDefault="008D6614">
            <w:pPr>
              <w:rPr>
                <w:rFonts w:ascii="宋体"/>
                <w:vanish/>
              </w:rPr>
            </w:pPr>
          </w:p>
        </w:tc>
        <w:tc>
          <w:tcPr>
            <w:tcW w:w="0" w:type="auto"/>
            <w:shd w:val="clear" w:color="auto" w:fill="auto"/>
            <w:vAlign w:val="center"/>
          </w:tcPr>
          <w:p w14:paraId="64A89183" w14:textId="77777777" w:rsidR="008D6614" w:rsidRDefault="008D6614">
            <w:pPr>
              <w:rPr>
                <w:rFonts w:ascii="宋体"/>
                <w:vanish/>
              </w:rPr>
            </w:pPr>
          </w:p>
        </w:tc>
        <w:tc>
          <w:tcPr>
            <w:tcW w:w="0" w:type="auto"/>
            <w:shd w:val="clear" w:color="auto" w:fill="auto"/>
            <w:vAlign w:val="center"/>
          </w:tcPr>
          <w:p w14:paraId="64A89184" w14:textId="77777777" w:rsidR="008D6614" w:rsidRDefault="008D6614">
            <w:pPr>
              <w:rPr>
                <w:rFonts w:ascii="宋体"/>
                <w:vanish/>
              </w:rPr>
            </w:pPr>
          </w:p>
        </w:tc>
        <w:tc>
          <w:tcPr>
            <w:tcW w:w="0" w:type="auto"/>
            <w:gridSpan w:val="3"/>
            <w:shd w:val="clear" w:color="auto" w:fill="auto"/>
            <w:vAlign w:val="center"/>
          </w:tcPr>
          <w:p w14:paraId="64A89185" w14:textId="77777777" w:rsidR="008D6614" w:rsidRDefault="008D6614">
            <w:pPr>
              <w:rPr>
                <w:rFonts w:ascii="宋体"/>
                <w:vanish/>
              </w:rPr>
            </w:pPr>
          </w:p>
        </w:tc>
        <w:tc>
          <w:tcPr>
            <w:tcW w:w="0" w:type="auto"/>
            <w:gridSpan w:val="3"/>
            <w:shd w:val="clear" w:color="auto" w:fill="auto"/>
            <w:vAlign w:val="center"/>
          </w:tcPr>
          <w:p w14:paraId="64A89186" w14:textId="77777777" w:rsidR="008D6614" w:rsidRDefault="008D6614">
            <w:pPr>
              <w:rPr>
                <w:rFonts w:ascii="宋体"/>
                <w:vanish/>
              </w:rPr>
            </w:pPr>
          </w:p>
        </w:tc>
      </w:tr>
      <w:tr w:rsidR="008D6614" w14:paraId="64A89196" w14:textId="77777777">
        <w:trPr>
          <w:jc w:val="center"/>
        </w:trPr>
        <w:tc>
          <w:tcPr>
            <w:tcW w:w="0" w:type="auto"/>
            <w:gridSpan w:val="3"/>
            <w:shd w:val="clear" w:color="auto" w:fill="auto"/>
            <w:tcMar>
              <w:top w:w="40" w:type="dxa"/>
              <w:left w:w="20" w:type="dxa"/>
              <w:bottom w:w="40" w:type="dxa"/>
              <w:right w:w="20" w:type="dxa"/>
            </w:tcMar>
            <w:vAlign w:val="bottom"/>
          </w:tcPr>
          <w:p w14:paraId="64A89188" w14:textId="77777777" w:rsidR="008D6614" w:rsidRDefault="00866AF2">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189" w14:textId="77777777" w:rsidR="008D6614" w:rsidRDefault="00866AF2">
            <w:pPr>
              <w:jc w:val="center"/>
              <w:textAlignment w:val="bottom"/>
            </w:pPr>
            <w:r>
              <w:rPr>
                <w:rFonts w:ascii="Arial" w:eastAsia="宋体" w:hAnsi="Arial" w:cs="Arial"/>
                <w:b/>
                <w:bCs/>
                <w:color w:val="000000"/>
                <w:sz w:val="16"/>
                <w:szCs w:val="16"/>
              </w:rPr>
              <w:t xml:space="preserve">2020 </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left w:w="20" w:type="dxa"/>
              <w:right w:w="20" w:type="dxa"/>
            </w:tcMar>
            <w:vAlign w:val="bottom"/>
          </w:tcPr>
          <w:p w14:paraId="64A8918A"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18B"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918C" w14:textId="77777777" w:rsidR="008D6614" w:rsidRDefault="008D6614">
            <w:pPr>
              <w:rPr>
                <w:rFonts w:ascii="宋体"/>
                <w:vanish/>
              </w:rPr>
            </w:pPr>
          </w:p>
        </w:tc>
        <w:tc>
          <w:tcPr>
            <w:tcW w:w="0" w:type="auto"/>
            <w:shd w:val="clear" w:color="auto" w:fill="auto"/>
            <w:vAlign w:val="center"/>
          </w:tcPr>
          <w:p w14:paraId="64A8918D" w14:textId="77777777" w:rsidR="008D6614" w:rsidRDefault="008D6614">
            <w:pPr>
              <w:rPr>
                <w:rFonts w:ascii="宋体"/>
                <w:vanish/>
              </w:rPr>
            </w:pPr>
          </w:p>
        </w:tc>
        <w:tc>
          <w:tcPr>
            <w:tcW w:w="0" w:type="auto"/>
            <w:shd w:val="clear" w:color="auto" w:fill="auto"/>
            <w:vAlign w:val="center"/>
          </w:tcPr>
          <w:p w14:paraId="64A8918E" w14:textId="77777777" w:rsidR="008D6614" w:rsidRDefault="008D6614">
            <w:pPr>
              <w:rPr>
                <w:rFonts w:ascii="宋体"/>
                <w:vanish/>
              </w:rPr>
            </w:pPr>
          </w:p>
        </w:tc>
        <w:tc>
          <w:tcPr>
            <w:tcW w:w="0" w:type="auto"/>
            <w:shd w:val="clear" w:color="auto" w:fill="auto"/>
            <w:vAlign w:val="center"/>
          </w:tcPr>
          <w:p w14:paraId="64A8918F" w14:textId="77777777" w:rsidR="008D6614" w:rsidRDefault="008D6614">
            <w:pPr>
              <w:rPr>
                <w:rFonts w:ascii="宋体"/>
                <w:vanish/>
              </w:rPr>
            </w:pPr>
          </w:p>
        </w:tc>
        <w:tc>
          <w:tcPr>
            <w:tcW w:w="0" w:type="auto"/>
            <w:shd w:val="clear" w:color="auto" w:fill="auto"/>
            <w:vAlign w:val="center"/>
          </w:tcPr>
          <w:p w14:paraId="64A89190" w14:textId="77777777" w:rsidR="008D6614" w:rsidRDefault="008D6614">
            <w:pPr>
              <w:rPr>
                <w:rFonts w:ascii="宋体"/>
              </w:rPr>
            </w:pPr>
          </w:p>
        </w:tc>
        <w:tc>
          <w:tcPr>
            <w:tcW w:w="0" w:type="auto"/>
            <w:shd w:val="clear" w:color="auto" w:fill="auto"/>
            <w:vAlign w:val="center"/>
          </w:tcPr>
          <w:p w14:paraId="64A89191" w14:textId="77777777" w:rsidR="008D6614" w:rsidRDefault="008D6614">
            <w:pPr>
              <w:rPr>
                <w:rFonts w:ascii="宋体"/>
              </w:rPr>
            </w:pPr>
          </w:p>
        </w:tc>
        <w:tc>
          <w:tcPr>
            <w:tcW w:w="0" w:type="auto"/>
            <w:shd w:val="clear" w:color="auto" w:fill="auto"/>
            <w:vAlign w:val="center"/>
          </w:tcPr>
          <w:p w14:paraId="64A89192" w14:textId="77777777" w:rsidR="008D6614" w:rsidRDefault="008D6614">
            <w:pPr>
              <w:rPr>
                <w:rFonts w:ascii="宋体"/>
              </w:rPr>
            </w:pPr>
          </w:p>
        </w:tc>
        <w:tc>
          <w:tcPr>
            <w:tcW w:w="0" w:type="auto"/>
            <w:shd w:val="clear" w:color="auto" w:fill="auto"/>
            <w:vAlign w:val="center"/>
          </w:tcPr>
          <w:p w14:paraId="64A89193" w14:textId="77777777" w:rsidR="008D6614" w:rsidRDefault="008D6614">
            <w:pPr>
              <w:rPr>
                <w:rFonts w:ascii="宋体"/>
              </w:rPr>
            </w:pPr>
          </w:p>
        </w:tc>
        <w:tc>
          <w:tcPr>
            <w:tcW w:w="0" w:type="auto"/>
            <w:shd w:val="clear" w:color="auto" w:fill="auto"/>
            <w:vAlign w:val="center"/>
          </w:tcPr>
          <w:p w14:paraId="64A89194" w14:textId="77777777" w:rsidR="008D6614" w:rsidRDefault="008D6614">
            <w:pPr>
              <w:rPr>
                <w:rFonts w:ascii="宋体"/>
              </w:rPr>
            </w:pPr>
          </w:p>
        </w:tc>
        <w:tc>
          <w:tcPr>
            <w:tcW w:w="0" w:type="auto"/>
            <w:shd w:val="clear" w:color="auto" w:fill="auto"/>
            <w:vAlign w:val="center"/>
          </w:tcPr>
          <w:p w14:paraId="64A89195" w14:textId="77777777" w:rsidR="008D6614" w:rsidRDefault="008D6614">
            <w:pPr>
              <w:rPr>
                <w:rFonts w:ascii="宋体"/>
              </w:rPr>
            </w:pPr>
          </w:p>
        </w:tc>
      </w:tr>
      <w:tr w:rsidR="008D6614" w14:paraId="64A891A9" w14:textId="77777777">
        <w:trPr>
          <w:jc w:val="center"/>
        </w:trPr>
        <w:tc>
          <w:tcPr>
            <w:tcW w:w="0" w:type="auto"/>
            <w:gridSpan w:val="3"/>
            <w:shd w:val="clear" w:color="auto" w:fill="FFFFFF"/>
            <w:tcMar>
              <w:top w:w="40" w:type="dxa"/>
              <w:left w:w="20" w:type="dxa"/>
              <w:bottom w:w="40" w:type="dxa"/>
              <w:right w:w="20" w:type="dxa"/>
            </w:tcMar>
            <w:vAlign w:val="bottom"/>
          </w:tcPr>
          <w:p w14:paraId="64A89197" w14:textId="77777777" w:rsidR="008D6614" w:rsidRDefault="00866AF2">
            <w:pPr>
              <w:textAlignment w:val="bottom"/>
            </w:pPr>
            <w:r>
              <w:rPr>
                <w:rFonts w:ascii="Arial" w:eastAsia="宋体" w:hAnsi="Arial" w:cs="Arial"/>
                <w:color w:val="000000"/>
                <w:sz w:val="18"/>
                <w:szCs w:val="18"/>
              </w:rPr>
              <w:t>Net cash (used in) discontinued operating activities</w:t>
            </w:r>
          </w:p>
        </w:tc>
        <w:tc>
          <w:tcPr>
            <w:tcW w:w="0" w:type="auto"/>
            <w:tcBorders>
              <w:top w:val="single" w:sz="8" w:space="0" w:color="000000"/>
            </w:tcBorders>
            <w:shd w:val="clear" w:color="auto" w:fill="FFFFFF"/>
            <w:tcMar>
              <w:top w:w="40" w:type="dxa"/>
              <w:left w:w="20" w:type="dxa"/>
              <w:bottom w:w="40" w:type="dxa"/>
            </w:tcMar>
            <w:vAlign w:val="bottom"/>
          </w:tcPr>
          <w:p w14:paraId="64A8919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199" w14:textId="77777777" w:rsidR="008D6614" w:rsidRDefault="00866AF2">
            <w:pPr>
              <w:jc w:val="right"/>
              <w:textAlignment w:val="bottom"/>
            </w:pPr>
            <w:r>
              <w:rPr>
                <w:rFonts w:ascii="Arial" w:eastAsia="宋体" w:hAnsi="Arial" w:cs="Arial"/>
                <w:color w:val="000000"/>
                <w:sz w:val="18"/>
                <w:szCs w:val="18"/>
              </w:rPr>
              <w:t>(110)</w:t>
            </w:r>
          </w:p>
        </w:tc>
        <w:tc>
          <w:tcPr>
            <w:tcW w:w="0" w:type="auto"/>
            <w:tcBorders>
              <w:top w:val="single" w:sz="8" w:space="0" w:color="000000"/>
            </w:tcBorders>
            <w:shd w:val="clear" w:color="auto" w:fill="FFFFFF"/>
            <w:tcMar>
              <w:top w:w="40" w:type="dxa"/>
              <w:bottom w:w="40" w:type="dxa"/>
              <w:right w:w="20" w:type="dxa"/>
            </w:tcMar>
            <w:vAlign w:val="bottom"/>
          </w:tcPr>
          <w:p w14:paraId="64A8919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19B"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19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19D" w14:textId="77777777" w:rsidR="008D6614" w:rsidRDefault="00866AF2">
            <w:pPr>
              <w:jc w:val="right"/>
              <w:textAlignment w:val="bottom"/>
            </w:pPr>
            <w:r>
              <w:rPr>
                <w:rFonts w:ascii="Arial" w:eastAsia="宋体" w:hAnsi="Arial" w:cs="Arial"/>
                <w:color w:val="000000"/>
                <w:sz w:val="18"/>
                <w:szCs w:val="18"/>
              </w:rPr>
              <w:t>(22)</w:t>
            </w:r>
          </w:p>
        </w:tc>
        <w:tc>
          <w:tcPr>
            <w:tcW w:w="0" w:type="auto"/>
            <w:tcBorders>
              <w:top w:val="single" w:sz="8" w:space="0" w:color="000000"/>
            </w:tcBorders>
            <w:shd w:val="clear" w:color="auto" w:fill="FFFFFF"/>
            <w:tcMar>
              <w:top w:w="40" w:type="dxa"/>
              <w:bottom w:w="40" w:type="dxa"/>
              <w:right w:w="20" w:type="dxa"/>
            </w:tcMar>
            <w:vAlign w:val="bottom"/>
          </w:tcPr>
          <w:p w14:paraId="64A8919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19F" w14:textId="77777777" w:rsidR="008D6614" w:rsidRDefault="008D6614">
            <w:pPr>
              <w:rPr>
                <w:rFonts w:ascii="宋体"/>
                <w:vanish/>
              </w:rPr>
            </w:pPr>
          </w:p>
        </w:tc>
        <w:tc>
          <w:tcPr>
            <w:tcW w:w="0" w:type="auto"/>
            <w:shd w:val="clear" w:color="auto" w:fill="auto"/>
            <w:vAlign w:val="center"/>
          </w:tcPr>
          <w:p w14:paraId="64A891A0" w14:textId="77777777" w:rsidR="008D6614" w:rsidRDefault="008D6614">
            <w:pPr>
              <w:rPr>
                <w:rFonts w:ascii="宋体"/>
                <w:vanish/>
              </w:rPr>
            </w:pPr>
          </w:p>
        </w:tc>
        <w:tc>
          <w:tcPr>
            <w:tcW w:w="0" w:type="auto"/>
            <w:shd w:val="clear" w:color="auto" w:fill="auto"/>
            <w:vAlign w:val="center"/>
          </w:tcPr>
          <w:p w14:paraId="64A891A1" w14:textId="77777777" w:rsidR="008D6614" w:rsidRDefault="008D6614">
            <w:pPr>
              <w:rPr>
                <w:rFonts w:ascii="宋体"/>
                <w:vanish/>
              </w:rPr>
            </w:pPr>
          </w:p>
        </w:tc>
        <w:tc>
          <w:tcPr>
            <w:tcW w:w="0" w:type="auto"/>
            <w:shd w:val="clear" w:color="auto" w:fill="auto"/>
            <w:vAlign w:val="center"/>
          </w:tcPr>
          <w:p w14:paraId="64A891A2" w14:textId="77777777" w:rsidR="008D6614" w:rsidRDefault="008D6614">
            <w:pPr>
              <w:rPr>
                <w:rFonts w:ascii="宋体"/>
                <w:vanish/>
              </w:rPr>
            </w:pPr>
          </w:p>
        </w:tc>
        <w:tc>
          <w:tcPr>
            <w:tcW w:w="0" w:type="auto"/>
            <w:shd w:val="clear" w:color="auto" w:fill="auto"/>
            <w:vAlign w:val="center"/>
          </w:tcPr>
          <w:p w14:paraId="64A891A3" w14:textId="77777777" w:rsidR="008D6614" w:rsidRDefault="008D6614">
            <w:pPr>
              <w:rPr>
                <w:rFonts w:ascii="宋体"/>
              </w:rPr>
            </w:pPr>
          </w:p>
        </w:tc>
        <w:tc>
          <w:tcPr>
            <w:tcW w:w="0" w:type="auto"/>
            <w:shd w:val="clear" w:color="auto" w:fill="auto"/>
            <w:vAlign w:val="center"/>
          </w:tcPr>
          <w:p w14:paraId="64A891A4" w14:textId="77777777" w:rsidR="008D6614" w:rsidRDefault="008D6614">
            <w:pPr>
              <w:rPr>
                <w:rFonts w:ascii="宋体"/>
              </w:rPr>
            </w:pPr>
          </w:p>
        </w:tc>
        <w:tc>
          <w:tcPr>
            <w:tcW w:w="0" w:type="auto"/>
            <w:shd w:val="clear" w:color="auto" w:fill="auto"/>
            <w:vAlign w:val="center"/>
          </w:tcPr>
          <w:p w14:paraId="64A891A5" w14:textId="77777777" w:rsidR="008D6614" w:rsidRDefault="008D6614">
            <w:pPr>
              <w:rPr>
                <w:rFonts w:ascii="宋体"/>
              </w:rPr>
            </w:pPr>
          </w:p>
        </w:tc>
        <w:tc>
          <w:tcPr>
            <w:tcW w:w="0" w:type="auto"/>
            <w:shd w:val="clear" w:color="auto" w:fill="auto"/>
            <w:vAlign w:val="center"/>
          </w:tcPr>
          <w:p w14:paraId="64A891A6" w14:textId="77777777" w:rsidR="008D6614" w:rsidRDefault="008D6614">
            <w:pPr>
              <w:rPr>
                <w:rFonts w:ascii="宋体"/>
              </w:rPr>
            </w:pPr>
          </w:p>
        </w:tc>
        <w:tc>
          <w:tcPr>
            <w:tcW w:w="0" w:type="auto"/>
            <w:shd w:val="clear" w:color="auto" w:fill="auto"/>
            <w:vAlign w:val="center"/>
          </w:tcPr>
          <w:p w14:paraId="64A891A7" w14:textId="77777777" w:rsidR="008D6614" w:rsidRDefault="008D6614">
            <w:pPr>
              <w:rPr>
                <w:rFonts w:ascii="宋体"/>
              </w:rPr>
            </w:pPr>
          </w:p>
        </w:tc>
        <w:tc>
          <w:tcPr>
            <w:tcW w:w="0" w:type="auto"/>
            <w:shd w:val="clear" w:color="auto" w:fill="auto"/>
            <w:vAlign w:val="center"/>
          </w:tcPr>
          <w:p w14:paraId="64A891A8" w14:textId="77777777" w:rsidR="008D6614" w:rsidRDefault="008D6614">
            <w:pPr>
              <w:rPr>
                <w:rFonts w:ascii="宋体"/>
              </w:rPr>
            </w:pPr>
          </w:p>
        </w:tc>
      </w:tr>
      <w:tr w:rsidR="008D6614" w14:paraId="64A891BC" w14:textId="77777777">
        <w:trPr>
          <w:jc w:val="center"/>
        </w:trPr>
        <w:tc>
          <w:tcPr>
            <w:tcW w:w="0" w:type="auto"/>
            <w:gridSpan w:val="3"/>
            <w:shd w:val="clear" w:color="auto" w:fill="E2E2E2"/>
            <w:tcMar>
              <w:top w:w="40" w:type="dxa"/>
              <w:left w:w="20" w:type="dxa"/>
              <w:bottom w:w="40" w:type="dxa"/>
              <w:right w:w="20" w:type="dxa"/>
            </w:tcMar>
            <w:vAlign w:val="bottom"/>
          </w:tcPr>
          <w:p w14:paraId="64A891AA" w14:textId="77777777" w:rsidR="008D6614" w:rsidRDefault="00866AF2">
            <w:pPr>
              <w:textAlignment w:val="bottom"/>
            </w:pPr>
            <w:r>
              <w:rPr>
                <w:rFonts w:ascii="Arial" w:eastAsia="宋体" w:hAnsi="Arial" w:cs="Arial"/>
                <w:color w:val="000000"/>
                <w:sz w:val="18"/>
                <w:szCs w:val="18"/>
              </w:rPr>
              <w:t xml:space="preserve">Net cash provided by (used in) discontinued investing activities </w:t>
            </w:r>
          </w:p>
        </w:tc>
        <w:tc>
          <w:tcPr>
            <w:tcW w:w="0" w:type="auto"/>
            <w:shd w:val="clear" w:color="auto" w:fill="E2E2E2"/>
            <w:tcMar>
              <w:top w:w="40" w:type="dxa"/>
              <w:left w:w="20" w:type="dxa"/>
              <w:bottom w:w="40" w:type="dxa"/>
            </w:tcMar>
            <w:vAlign w:val="bottom"/>
          </w:tcPr>
          <w:p w14:paraId="64A891AB"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1AC" w14:textId="77777777" w:rsidR="008D6614" w:rsidRDefault="00866AF2">
            <w:pPr>
              <w:jc w:val="right"/>
              <w:textAlignment w:val="bottom"/>
            </w:pPr>
            <w:r>
              <w:rPr>
                <w:rFonts w:ascii="Arial" w:eastAsia="宋体" w:hAnsi="Arial" w:cs="Arial"/>
                <w:color w:val="000000"/>
                <w:sz w:val="18"/>
                <w:szCs w:val="18"/>
              </w:rPr>
              <w:t>4,075 </w:t>
            </w:r>
          </w:p>
        </w:tc>
        <w:tc>
          <w:tcPr>
            <w:tcW w:w="0" w:type="auto"/>
            <w:shd w:val="clear" w:color="auto" w:fill="E2E2E2"/>
            <w:tcMar>
              <w:top w:w="40" w:type="dxa"/>
              <w:bottom w:w="40" w:type="dxa"/>
              <w:right w:w="20" w:type="dxa"/>
            </w:tcMar>
            <w:vAlign w:val="bottom"/>
          </w:tcPr>
          <w:p w14:paraId="64A891A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1AE"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91AF"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1B0" w14:textId="77777777" w:rsidR="008D6614" w:rsidRDefault="00866AF2">
            <w:pPr>
              <w:jc w:val="right"/>
              <w:textAlignment w:val="bottom"/>
            </w:pPr>
            <w:r>
              <w:rPr>
                <w:rFonts w:ascii="Arial" w:eastAsia="宋体" w:hAnsi="Arial" w:cs="Arial"/>
                <w:color w:val="000000"/>
                <w:sz w:val="18"/>
                <w:szCs w:val="18"/>
              </w:rPr>
              <w:t>(13)</w:t>
            </w:r>
          </w:p>
        </w:tc>
        <w:tc>
          <w:tcPr>
            <w:tcW w:w="0" w:type="auto"/>
            <w:shd w:val="clear" w:color="auto" w:fill="E2E2E2"/>
            <w:tcMar>
              <w:top w:w="40" w:type="dxa"/>
              <w:bottom w:w="40" w:type="dxa"/>
              <w:right w:w="20" w:type="dxa"/>
            </w:tcMar>
            <w:vAlign w:val="bottom"/>
          </w:tcPr>
          <w:p w14:paraId="64A891B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1B2" w14:textId="77777777" w:rsidR="008D6614" w:rsidRDefault="008D6614">
            <w:pPr>
              <w:rPr>
                <w:rFonts w:ascii="宋体"/>
                <w:vanish/>
              </w:rPr>
            </w:pPr>
          </w:p>
        </w:tc>
        <w:tc>
          <w:tcPr>
            <w:tcW w:w="0" w:type="auto"/>
            <w:shd w:val="clear" w:color="auto" w:fill="auto"/>
            <w:vAlign w:val="center"/>
          </w:tcPr>
          <w:p w14:paraId="64A891B3" w14:textId="77777777" w:rsidR="008D6614" w:rsidRDefault="008D6614">
            <w:pPr>
              <w:rPr>
                <w:rFonts w:ascii="宋体"/>
                <w:vanish/>
              </w:rPr>
            </w:pPr>
          </w:p>
        </w:tc>
        <w:tc>
          <w:tcPr>
            <w:tcW w:w="0" w:type="auto"/>
            <w:shd w:val="clear" w:color="auto" w:fill="auto"/>
            <w:vAlign w:val="center"/>
          </w:tcPr>
          <w:p w14:paraId="64A891B4" w14:textId="77777777" w:rsidR="008D6614" w:rsidRDefault="008D6614">
            <w:pPr>
              <w:rPr>
                <w:rFonts w:ascii="宋体"/>
                <w:vanish/>
              </w:rPr>
            </w:pPr>
          </w:p>
        </w:tc>
        <w:tc>
          <w:tcPr>
            <w:tcW w:w="0" w:type="auto"/>
            <w:shd w:val="clear" w:color="auto" w:fill="auto"/>
            <w:vAlign w:val="center"/>
          </w:tcPr>
          <w:p w14:paraId="64A891B5" w14:textId="77777777" w:rsidR="008D6614" w:rsidRDefault="008D6614">
            <w:pPr>
              <w:rPr>
                <w:rFonts w:ascii="宋体"/>
                <w:vanish/>
              </w:rPr>
            </w:pPr>
          </w:p>
        </w:tc>
        <w:tc>
          <w:tcPr>
            <w:tcW w:w="0" w:type="auto"/>
            <w:shd w:val="clear" w:color="auto" w:fill="auto"/>
            <w:vAlign w:val="center"/>
          </w:tcPr>
          <w:p w14:paraId="64A891B6" w14:textId="77777777" w:rsidR="008D6614" w:rsidRDefault="008D6614">
            <w:pPr>
              <w:rPr>
                <w:rFonts w:ascii="宋体"/>
              </w:rPr>
            </w:pPr>
          </w:p>
        </w:tc>
        <w:tc>
          <w:tcPr>
            <w:tcW w:w="0" w:type="auto"/>
            <w:shd w:val="clear" w:color="auto" w:fill="auto"/>
            <w:vAlign w:val="center"/>
          </w:tcPr>
          <w:p w14:paraId="64A891B7" w14:textId="77777777" w:rsidR="008D6614" w:rsidRDefault="008D6614">
            <w:pPr>
              <w:rPr>
                <w:rFonts w:ascii="宋体"/>
              </w:rPr>
            </w:pPr>
          </w:p>
        </w:tc>
        <w:tc>
          <w:tcPr>
            <w:tcW w:w="0" w:type="auto"/>
            <w:shd w:val="clear" w:color="auto" w:fill="auto"/>
            <w:vAlign w:val="center"/>
          </w:tcPr>
          <w:p w14:paraId="64A891B8" w14:textId="77777777" w:rsidR="008D6614" w:rsidRDefault="008D6614">
            <w:pPr>
              <w:rPr>
                <w:rFonts w:ascii="宋体"/>
              </w:rPr>
            </w:pPr>
          </w:p>
        </w:tc>
        <w:tc>
          <w:tcPr>
            <w:tcW w:w="0" w:type="auto"/>
            <w:shd w:val="clear" w:color="auto" w:fill="auto"/>
            <w:vAlign w:val="center"/>
          </w:tcPr>
          <w:p w14:paraId="64A891B9" w14:textId="77777777" w:rsidR="008D6614" w:rsidRDefault="008D6614">
            <w:pPr>
              <w:rPr>
                <w:rFonts w:ascii="宋体"/>
              </w:rPr>
            </w:pPr>
          </w:p>
        </w:tc>
        <w:tc>
          <w:tcPr>
            <w:tcW w:w="0" w:type="auto"/>
            <w:shd w:val="clear" w:color="auto" w:fill="auto"/>
            <w:vAlign w:val="center"/>
          </w:tcPr>
          <w:p w14:paraId="64A891BA" w14:textId="77777777" w:rsidR="008D6614" w:rsidRDefault="008D6614">
            <w:pPr>
              <w:rPr>
                <w:rFonts w:ascii="宋体"/>
              </w:rPr>
            </w:pPr>
          </w:p>
        </w:tc>
        <w:tc>
          <w:tcPr>
            <w:tcW w:w="0" w:type="auto"/>
            <w:shd w:val="clear" w:color="auto" w:fill="auto"/>
            <w:vAlign w:val="center"/>
          </w:tcPr>
          <w:p w14:paraId="64A891BB" w14:textId="77777777" w:rsidR="008D6614" w:rsidRDefault="008D6614">
            <w:pPr>
              <w:rPr>
                <w:rFonts w:ascii="宋体"/>
              </w:rPr>
            </w:pPr>
          </w:p>
        </w:tc>
      </w:tr>
      <w:tr w:rsidR="008D6614" w14:paraId="64A891CB" w14:textId="77777777">
        <w:trPr>
          <w:jc w:val="center"/>
          <w:hidden/>
        </w:trPr>
        <w:tc>
          <w:tcPr>
            <w:tcW w:w="0" w:type="auto"/>
            <w:gridSpan w:val="3"/>
            <w:shd w:val="clear" w:color="auto" w:fill="auto"/>
            <w:vAlign w:val="center"/>
          </w:tcPr>
          <w:p w14:paraId="64A891BD" w14:textId="77777777" w:rsidR="008D6614" w:rsidRDefault="008D6614">
            <w:pPr>
              <w:rPr>
                <w:rFonts w:ascii="宋体"/>
                <w:vanish/>
              </w:rPr>
            </w:pPr>
          </w:p>
        </w:tc>
        <w:tc>
          <w:tcPr>
            <w:tcW w:w="0" w:type="auto"/>
            <w:gridSpan w:val="3"/>
            <w:shd w:val="clear" w:color="auto" w:fill="auto"/>
            <w:vAlign w:val="center"/>
          </w:tcPr>
          <w:p w14:paraId="64A891BE" w14:textId="77777777" w:rsidR="008D6614" w:rsidRDefault="008D6614">
            <w:pPr>
              <w:rPr>
                <w:rFonts w:ascii="宋体"/>
                <w:vanish/>
              </w:rPr>
            </w:pPr>
          </w:p>
        </w:tc>
        <w:tc>
          <w:tcPr>
            <w:tcW w:w="0" w:type="auto"/>
            <w:gridSpan w:val="3"/>
            <w:shd w:val="clear" w:color="auto" w:fill="auto"/>
            <w:vAlign w:val="center"/>
          </w:tcPr>
          <w:p w14:paraId="64A891BF" w14:textId="77777777" w:rsidR="008D6614" w:rsidRDefault="008D6614">
            <w:pPr>
              <w:rPr>
                <w:rFonts w:ascii="宋体"/>
                <w:vanish/>
              </w:rPr>
            </w:pPr>
          </w:p>
        </w:tc>
        <w:tc>
          <w:tcPr>
            <w:tcW w:w="0" w:type="auto"/>
            <w:gridSpan w:val="3"/>
            <w:shd w:val="clear" w:color="auto" w:fill="auto"/>
            <w:vAlign w:val="center"/>
          </w:tcPr>
          <w:p w14:paraId="64A891C0" w14:textId="77777777" w:rsidR="008D6614" w:rsidRDefault="008D6614">
            <w:pPr>
              <w:rPr>
                <w:rFonts w:ascii="宋体"/>
                <w:vanish/>
              </w:rPr>
            </w:pPr>
          </w:p>
        </w:tc>
        <w:tc>
          <w:tcPr>
            <w:tcW w:w="0" w:type="auto"/>
            <w:shd w:val="clear" w:color="auto" w:fill="auto"/>
            <w:vAlign w:val="center"/>
          </w:tcPr>
          <w:p w14:paraId="64A891C1" w14:textId="77777777" w:rsidR="008D6614" w:rsidRDefault="008D6614">
            <w:pPr>
              <w:rPr>
                <w:rFonts w:ascii="宋体"/>
                <w:vanish/>
              </w:rPr>
            </w:pPr>
          </w:p>
        </w:tc>
        <w:tc>
          <w:tcPr>
            <w:tcW w:w="0" w:type="auto"/>
            <w:shd w:val="clear" w:color="auto" w:fill="auto"/>
            <w:vAlign w:val="center"/>
          </w:tcPr>
          <w:p w14:paraId="64A891C2" w14:textId="77777777" w:rsidR="008D6614" w:rsidRDefault="008D6614">
            <w:pPr>
              <w:rPr>
                <w:rFonts w:ascii="宋体"/>
                <w:vanish/>
              </w:rPr>
            </w:pPr>
          </w:p>
        </w:tc>
        <w:tc>
          <w:tcPr>
            <w:tcW w:w="0" w:type="auto"/>
            <w:shd w:val="clear" w:color="auto" w:fill="auto"/>
            <w:vAlign w:val="center"/>
          </w:tcPr>
          <w:p w14:paraId="64A891C3" w14:textId="77777777" w:rsidR="008D6614" w:rsidRDefault="008D6614">
            <w:pPr>
              <w:rPr>
                <w:rFonts w:ascii="宋体"/>
                <w:vanish/>
              </w:rPr>
            </w:pPr>
          </w:p>
        </w:tc>
        <w:tc>
          <w:tcPr>
            <w:tcW w:w="0" w:type="auto"/>
            <w:shd w:val="clear" w:color="auto" w:fill="auto"/>
            <w:vAlign w:val="center"/>
          </w:tcPr>
          <w:p w14:paraId="64A891C4" w14:textId="77777777" w:rsidR="008D6614" w:rsidRDefault="008D6614">
            <w:pPr>
              <w:rPr>
                <w:rFonts w:ascii="宋体"/>
                <w:vanish/>
              </w:rPr>
            </w:pPr>
          </w:p>
        </w:tc>
        <w:tc>
          <w:tcPr>
            <w:tcW w:w="0" w:type="auto"/>
            <w:shd w:val="clear" w:color="auto" w:fill="auto"/>
            <w:vAlign w:val="center"/>
          </w:tcPr>
          <w:p w14:paraId="64A891C5" w14:textId="77777777" w:rsidR="008D6614" w:rsidRDefault="008D6614">
            <w:pPr>
              <w:rPr>
                <w:rFonts w:ascii="宋体"/>
              </w:rPr>
            </w:pPr>
          </w:p>
        </w:tc>
        <w:tc>
          <w:tcPr>
            <w:tcW w:w="0" w:type="auto"/>
            <w:shd w:val="clear" w:color="auto" w:fill="auto"/>
            <w:vAlign w:val="center"/>
          </w:tcPr>
          <w:p w14:paraId="64A891C6" w14:textId="77777777" w:rsidR="008D6614" w:rsidRDefault="008D6614">
            <w:pPr>
              <w:rPr>
                <w:rFonts w:ascii="宋体"/>
              </w:rPr>
            </w:pPr>
          </w:p>
        </w:tc>
        <w:tc>
          <w:tcPr>
            <w:tcW w:w="0" w:type="auto"/>
            <w:shd w:val="clear" w:color="auto" w:fill="auto"/>
            <w:vAlign w:val="center"/>
          </w:tcPr>
          <w:p w14:paraId="64A891C7" w14:textId="77777777" w:rsidR="008D6614" w:rsidRDefault="008D6614">
            <w:pPr>
              <w:rPr>
                <w:rFonts w:ascii="宋体"/>
              </w:rPr>
            </w:pPr>
          </w:p>
        </w:tc>
        <w:tc>
          <w:tcPr>
            <w:tcW w:w="0" w:type="auto"/>
            <w:shd w:val="clear" w:color="auto" w:fill="auto"/>
            <w:vAlign w:val="center"/>
          </w:tcPr>
          <w:p w14:paraId="64A891C8" w14:textId="77777777" w:rsidR="008D6614" w:rsidRDefault="008D6614">
            <w:pPr>
              <w:rPr>
                <w:rFonts w:ascii="宋体"/>
              </w:rPr>
            </w:pPr>
          </w:p>
        </w:tc>
        <w:tc>
          <w:tcPr>
            <w:tcW w:w="0" w:type="auto"/>
            <w:shd w:val="clear" w:color="auto" w:fill="auto"/>
            <w:vAlign w:val="center"/>
          </w:tcPr>
          <w:p w14:paraId="64A891C9" w14:textId="77777777" w:rsidR="008D6614" w:rsidRDefault="008D6614">
            <w:pPr>
              <w:rPr>
                <w:rFonts w:ascii="宋体"/>
              </w:rPr>
            </w:pPr>
          </w:p>
        </w:tc>
        <w:tc>
          <w:tcPr>
            <w:tcW w:w="0" w:type="auto"/>
            <w:shd w:val="clear" w:color="auto" w:fill="auto"/>
            <w:vAlign w:val="center"/>
          </w:tcPr>
          <w:p w14:paraId="64A891CA" w14:textId="77777777" w:rsidR="008D6614" w:rsidRDefault="008D6614">
            <w:pPr>
              <w:rPr>
                <w:rFonts w:ascii="宋体"/>
              </w:rPr>
            </w:pPr>
          </w:p>
        </w:tc>
      </w:tr>
    </w:tbl>
    <w:p w14:paraId="64A891CC" w14:textId="77777777" w:rsidR="008D6614" w:rsidRDefault="00866AF2">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 xml:space="preserve">Includes StubHub financial results from January 1, 2020 to February 13, 2020, in addition to the gain on sale recorded during the </w:t>
      </w:r>
      <w:r>
        <w:rPr>
          <w:rFonts w:ascii="Arial" w:eastAsia="宋体" w:hAnsi="Arial" w:cs="Arial"/>
          <w:color w:val="000000"/>
          <w:sz w:val="16"/>
          <w:szCs w:val="16"/>
        </w:rPr>
        <w:t>three months ended March 31, 2020.</w:t>
      </w:r>
    </w:p>
    <w:p w14:paraId="64A891CD" w14:textId="77777777" w:rsidR="008D6614" w:rsidRDefault="008D6614"/>
    <w:p w14:paraId="64A891CE" w14:textId="77777777" w:rsidR="008D6614" w:rsidRDefault="008D6614">
      <w:pPr>
        <w:ind w:firstLine="540"/>
        <w:jc w:val="both"/>
      </w:pPr>
    </w:p>
    <w:p w14:paraId="64A891CF" w14:textId="77777777" w:rsidR="008D6614" w:rsidRDefault="00866AF2">
      <w:pPr>
        <w:ind w:firstLine="540"/>
        <w:jc w:val="both"/>
      </w:pPr>
      <w:r>
        <w:rPr>
          <w:rFonts w:ascii="Arial" w:eastAsia="宋体" w:hAnsi="Arial" w:cs="Arial"/>
          <w:color w:val="000000"/>
          <w:sz w:val="20"/>
          <w:szCs w:val="20"/>
        </w:rPr>
        <w:t>The financial results of StubHub are presented as income from discontinued operations, net of income taxes on our condensed consolidated statement of income. The following table presents the financial results of StubHub</w:t>
      </w:r>
      <w:r>
        <w:rPr>
          <w:rFonts w:ascii="Arial" w:eastAsia="宋体" w:hAnsi="Arial" w:cs="Arial"/>
          <w:color w:val="000000"/>
          <w:sz w:val="20"/>
          <w:szCs w:val="20"/>
        </w:rPr>
        <w:t xml:space="preserv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5700"/>
        <w:gridCol w:w="50"/>
        <w:gridCol w:w="136"/>
        <w:gridCol w:w="824"/>
        <w:gridCol w:w="86"/>
        <w:gridCol w:w="36"/>
        <w:gridCol w:w="36"/>
        <w:gridCol w:w="36"/>
        <w:gridCol w:w="136"/>
        <w:gridCol w:w="801"/>
        <w:gridCol w:w="86"/>
        <w:gridCol w:w="36"/>
        <w:gridCol w:w="36"/>
        <w:gridCol w:w="36"/>
        <w:gridCol w:w="36"/>
        <w:gridCol w:w="36"/>
        <w:gridCol w:w="36"/>
        <w:gridCol w:w="36"/>
        <w:gridCol w:w="36"/>
        <w:gridCol w:w="36"/>
        <w:gridCol w:w="36"/>
      </w:tblGrid>
      <w:tr w:rsidR="008D6614" w14:paraId="64A891E0" w14:textId="77777777">
        <w:trPr>
          <w:gridAfter w:val="6"/>
          <w:jc w:val="center"/>
        </w:trPr>
        <w:tc>
          <w:tcPr>
            <w:tcW w:w="50" w:type="pct"/>
            <w:shd w:val="clear" w:color="auto" w:fill="auto"/>
            <w:vAlign w:val="center"/>
          </w:tcPr>
          <w:p w14:paraId="64A891D0" w14:textId="77777777" w:rsidR="008D6614" w:rsidRDefault="008D6614">
            <w:pPr>
              <w:rPr>
                <w:rFonts w:ascii="宋体"/>
              </w:rPr>
            </w:pPr>
          </w:p>
        </w:tc>
        <w:tc>
          <w:tcPr>
            <w:tcW w:w="3591" w:type="pct"/>
            <w:shd w:val="clear" w:color="auto" w:fill="auto"/>
            <w:vAlign w:val="center"/>
          </w:tcPr>
          <w:p w14:paraId="64A891D1" w14:textId="77777777" w:rsidR="008D6614" w:rsidRDefault="008D6614">
            <w:pPr>
              <w:rPr>
                <w:rFonts w:ascii="宋体"/>
              </w:rPr>
            </w:pPr>
          </w:p>
        </w:tc>
        <w:tc>
          <w:tcPr>
            <w:tcW w:w="50" w:type="pct"/>
            <w:shd w:val="clear" w:color="auto" w:fill="auto"/>
            <w:vAlign w:val="center"/>
          </w:tcPr>
          <w:p w14:paraId="64A891D2" w14:textId="77777777" w:rsidR="008D6614" w:rsidRDefault="008D6614">
            <w:pPr>
              <w:rPr>
                <w:rFonts w:ascii="宋体"/>
              </w:rPr>
            </w:pPr>
          </w:p>
        </w:tc>
        <w:tc>
          <w:tcPr>
            <w:tcW w:w="50" w:type="pct"/>
            <w:shd w:val="clear" w:color="auto" w:fill="auto"/>
            <w:vAlign w:val="center"/>
          </w:tcPr>
          <w:p w14:paraId="64A891D3" w14:textId="77777777" w:rsidR="008D6614" w:rsidRDefault="008D6614">
            <w:pPr>
              <w:rPr>
                <w:rFonts w:ascii="宋体"/>
              </w:rPr>
            </w:pPr>
          </w:p>
        </w:tc>
        <w:tc>
          <w:tcPr>
            <w:tcW w:w="535" w:type="pct"/>
            <w:shd w:val="clear" w:color="auto" w:fill="auto"/>
            <w:vAlign w:val="center"/>
          </w:tcPr>
          <w:p w14:paraId="64A891D4" w14:textId="77777777" w:rsidR="008D6614" w:rsidRDefault="008D6614">
            <w:pPr>
              <w:rPr>
                <w:rFonts w:ascii="宋体"/>
              </w:rPr>
            </w:pPr>
          </w:p>
        </w:tc>
        <w:tc>
          <w:tcPr>
            <w:tcW w:w="50" w:type="pct"/>
            <w:shd w:val="clear" w:color="auto" w:fill="auto"/>
            <w:vAlign w:val="center"/>
          </w:tcPr>
          <w:p w14:paraId="64A891D5" w14:textId="77777777" w:rsidR="008D6614" w:rsidRDefault="008D6614">
            <w:pPr>
              <w:rPr>
                <w:rFonts w:ascii="宋体"/>
              </w:rPr>
            </w:pPr>
          </w:p>
        </w:tc>
        <w:tc>
          <w:tcPr>
            <w:tcW w:w="5" w:type="pct"/>
            <w:shd w:val="clear" w:color="auto" w:fill="auto"/>
            <w:vAlign w:val="center"/>
          </w:tcPr>
          <w:p w14:paraId="64A891D6" w14:textId="77777777" w:rsidR="008D6614" w:rsidRDefault="008D6614">
            <w:pPr>
              <w:rPr>
                <w:rFonts w:ascii="宋体"/>
              </w:rPr>
            </w:pPr>
          </w:p>
        </w:tc>
        <w:tc>
          <w:tcPr>
            <w:tcW w:w="26" w:type="pct"/>
            <w:shd w:val="clear" w:color="auto" w:fill="auto"/>
            <w:vAlign w:val="center"/>
          </w:tcPr>
          <w:p w14:paraId="64A891D7" w14:textId="77777777" w:rsidR="008D6614" w:rsidRDefault="008D6614">
            <w:pPr>
              <w:rPr>
                <w:rFonts w:ascii="宋体"/>
              </w:rPr>
            </w:pPr>
          </w:p>
        </w:tc>
        <w:tc>
          <w:tcPr>
            <w:tcW w:w="5" w:type="pct"/>
            <w:shd w:val="clear" w:color="auto" w:fill="auto"/>
            <w:vAlign w:val="center"/>
          </w:tcPr>
          <w:p w14:paraId="64A891D8" w14:textId="77777777" w:rsidR="008D6614" w:rsidRDefault="008D6614">
            <w:pPr>
              <w:rPr>
                <w:rFonts w:ascii="宋体"/>
              </w:rPr>
            </w:pPr>
          </w:p>
        </w:tc>
        <w:tc>
          <w:tcPr>
            <w:tcW w:w="50" w:type="pct"/>
            <w:shd w:val="clear" w:color="auto" w:fill="auto"/>
            <w:vAlign w:val="center"/>
          </w:tcPr>
          <w:p w14:paraId="64A891D9" w14:textId="77777777" w:rsidR="008D6614" w:rsidRDefault="008D6614">
            <w:pPr>
              <w:rPr>
                <w:rFonts w:ascii="宋体"/>
              </w:rPr>
            </w:pPr>
          </w:p>
        </w:tc>
        <w:tc>
          <w:tcPr>
            <w:tcW w:w="536" w:type="pct"/>
            <w:shd w:val="clear" w:color="auto" w:fill="auto"/>
            <w:vAlign w:val="center"/>
          </w:tcPr>
          <w:p w14:paraId="64A891DA" w14:textId="77777777" w:rsidR="008D6614" w:rsidRDefault="008D6614">
            <w:pPr>
              <w:rPr>
                <w:rFonts w:ascii="宋体"/>
              </w:rPr>
            </w:pPr>
          </w:p>
        </w:tc>
        <w:tc>
          <w:tcPr>
            <w:tcW w:w="50" w:type="pct"/>
            <w:shd w:val="clear" w:color="auto" w:fill="auto"/>
            <w:vAlign w:val="center"/>
          </w:tcPr>
          <w:p w14:paraId="64A891DB" w14:textId="77777777" w:rsidR="008D6614" w:rsidRDefault="008D6614">
            <w:pPr>
              <w:rPr>
                <w:rFonts w:ascii="宋体"/>
              </w:rPr>
            </w:pPr>
          </w:p>
        </w:tc>
        <w:tc>
          <w:tcPr>
            <w:tcW w:w="0" w:type="auto"/>
            <w:shd w:val="clear" w:color="auto" w:fill="auto"/>
            <w:vAlign w:val="center"/>
          </w:tcPr>
          <w:p w14:paraId="64A891DC" w14:textId="77777777" w:rsidR="008D6614" w:rsidRDefault="008D6614">
            <w:pPr>
              <w:rPr>
                <w:rFonts w:ascii="宋体"/>
                <w:vanish/>
              </w:rPr>
            </w:pPr>
          </w:p>
        </w:tc>
        <w:tc>
          <w:tcPr>
            <w:tcW w:w="0" w:type="auto"/>
            <w:shd w:val="clear" w:color="auto" w:fill="auto"/>
            <w:vAlign w:val="center"/>
          </w:tcPr>
          <w:p w14:paraId="64A891DD" w14:textId="77777777" w:rsidR="008D6614" w:rsidRDefault="008D6614">
            <w:pPr>
              <w:rPr>
                <w:rFonts w:ascii="宋体"/>
                <w:vanish/>
              </w:rPr>
            </w:pPr>
          </w:p>
        </w:tc>
        <w:tc>
          <w:tcPr>
            <w:tcW w:w="0" w:type="auto"/>
            <w:shd w:val="clear" w:color="auto" w:fill="auto"/>
            <w:vAlign w:val="center"/>
          </w:tcPr>
          <w:p w14:paraId="64A891DE" w14:textId="77777777" w:rsidR="008D6614" w:rsidRDefault="008D6614">
            <w:pPr>
              <w:rPr>
                <w:rFonts w:ascii="宋体"/>
                <w:vanish/>
              </w:rPr>
            </w:pPr>
          </w:p>
        </w:tc>
        <w:tc>
          <w:tcPr>
            <w:tcW w:w="0" w:type="auto"/>
            <w:shd w:val="clear" w:color="auto" w:fill="auto"/>
            <w:vAlign w:val="center"/>
          </w:tcPr>
          <w:p w14:paraId="64A891DF" w14:textId="77777777" w:rsidR="008D6614" w:rsidRDefault="008D6614">
            <w:pPr>
              <w:rPr>
                <w:rFonts w:ascii="宋体"/>
                <w:vanish/>
              </w:rPr>
            </w:pPr>
          </w:p>
        </w:tc>
      </w:tr>
      <w:tr w:rsidR="008D6614" w14:paraId="64A891E9" w14:textId="77777777">
        <w:trPr>
          <w:jc w:val="center"/>
        </w:trPr>
        <w:tc>
          <w:tcPr>
            <w:tcW w:w="0" w:type="auto"/>
            <w:gridSpan w:val="3"/>
            <w:shd w:val="clear" w:color="auto" w:fill="auto"/>
            <w:tcMar>
              <w:top w:w="40" w:type="dxa"/>
              <w:left w:w="20" w:type="dxa"/>
              <w:bottom w:w="40" w:type="dxa"/>
              <w:right w:w="20" w:type="dxa"/>
            </w:tcMar>
            <w:vAlign w:val="bottom"/>
          </w:tcPr>
          <w:p w14:paraId="64A891E1" w14:textId="77777777" w:rsidR="008D6614" w:rsidRDefault="00866AF2">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A891E2"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vAlign w:val="center"/>
          </w:tcPr>
          <w:p w14:paraId="64A891E3" w14:textId="77777777" w:rsidR="008D6614" w:rsidRDefault="008D6614">
            <w:pPr>
              <w:rPr>
                <w:rFonts w:ascii="宋体"/>
                <w:vanish/>
              </w:rPr>
            </w:pPr>
          </w:p>
        </w:tc>
        <w:tc>
          <w:tcPr>
            <w:tcW w:w="0" w:type="auto"/>
            <w:shd w:val="clear" w:color="auto" w:fill="auto"/>
            <w:vAlign w:val="center"/>
          </w:tcPr>
          <w:p w14:paraId="64A891E4" w14:textId="77777777" w:rsidR="008D6614" w:rsidRDefault="008D6614">
            <w:pPr>
              <w:rPr>
                <w:rFonts w:ascii="宋体"/>
                <w:vanish/>
              </w:rPr>
            </w:pPr>
          </w:p>
        </w:tc>
        <w:tc>
          <w:tcPr>
            <w:tcW w:w="0" w:type="auto"/>
            <w:shd w:val="clear" w:color="auto" w:fill="auto"/>
            <w:vAlign w:val="center"/>
          </w:tcPr>
          <w:p w14:paraId="64A891E5" w14:textId="77777777" w:rsidR="008D6614" w:rsidRDefault="008D6614">
            <w:pPr>
              <w:rPr>
                <w:rFonts w:ascii="宋体"/>
                <w:vanish/>
              </w:rPr>
            </w:pPr>
          </w:p>
        </w:tc>
        <w:tc>
          <w:tcPr>
            <w:tcW w:w="0" w:type="auto"/>
            <w:shd w:val="clear" w:color="auto" w:fill="auto"/>
            <w:vAlign w:val="center"/>
          </w:tcPr>
          <w:p w14:paraId="64A891E6" w14:textId="77777777" w:rsidR="008D6614" w:rsidRDefault="008D6614">
            <w:pPr>
              <w:rPr>
                <w:rFonts w:ascii="宋体"/>
                <w:vanish/>
              </w:rPr>
            </w:pPr>
          </w:p>
        </w:tc>
        <w:tc>
          <w:tcPr>
            <w:tcW w:w="0" w:type="auto"/>
            <w:gridSpan w:val="3"/>
            <w:shd w:val="clear" w:color="auto" w:fill="auto"/>
            <w:vAlign w:val="center"/>
          </w:tcPr>
          <w:p w14:paraId="64A891E7" w14:textId="77777777" w:rsidR="008D6614" w:rsidRDefault="008D6614">
            <w:pPr>
              <w:rPr>
                <w:rFonts w:ascii="宋体"/>
                <w:vanish/>
              </w:rPr>
            </w:pPr>
          </w:p>
        </w:tc>
        <w:tc>
          <w:tcPr>
            <w:tcW w:w="0" w:type="auto"/>
            <w:gridSpan w:val="3"/>
            <w:shd w:val="clear" w:color="auto" w:fill="auto"/>
            <w:vAlign w:val="center"/>
          </w:tcPr>
          <w:p w14:paraId="64A891E8" w14:textId="77777777" w:rsidR="008D6614" w:rsidRDefault="008D6614">
            <w:pPr>
              <w:rPr>
                <w:rFonts w:ascii="宋体"/>
                <w:vanish/>
              </w:rPr>
            </w:pPr>
          </w:p>
        </w:tc>
      </w:tr>
      <w:tr w:rsidR="008D6614" w14:paraId="64A891F8" w14:textId="77777777">
        <w:trPr>
          <w:jc w:val="center"/>
        </w:trPr>
        <w:tc>
          <w:tcPr>
            <w:tcW w:w="0" w:type="auto"/>
            <w:gridSpan w:val="3"/>
            <w:shd w:val="clear" w:color="auto" w:fill="auto"/>
            <w:tcMar>
              <w:top w:w="40" w:type="dxa"/>
              <w:left w:w="20" w:type="dxa"/>
              <w:bottom w:w="40" w:type="dxa"/>
              <w:right w:w="20" w:type="dxa"/>
            </w:tcMar>
            <w:vAlign w:val="bottom"/>
          </w:tcPr>
          <w:p w14:paraId="64A891EA" w14:textId="77777777" w:rsidR="008D6614" w:rsidRDefault="00866AF2">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1EB" w14:textId="77777777" w:rsidR="008D6614" w:rsidRDefault="00866AF2">
            <w:pPr>
              <w:jc w:val="center"/>
              <w:textAlignment w:val="bottom"/>
            </w:pPr>
            <w:r>
              <w:rPr>
                <w:rFonts w:ascii="Arial" w:eastAsia="宋体" w:hAnsi="Arial" w:cs="Arial"/>
                <w:b/>
                <w:bCs/>
                <w:color w:val="000000"/>
                <w:sz w:val="16"/>
                <w:szCs w:val="16"/>
              </w:rPr>
              <w:t>2020</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left w:w="20" w:type="dxa"/>
              <w:right w:w="20" w:type="dxa"/>
            </w:tcMar>
            <w:vAlign w:val="bottom"/>
          </w:tcPr>
          <w:p w14:paraId="64A891EC"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1ED"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91EE" w14:textId="77777777" w:rsidR="008D6614" w:rsidRDefault="008D6614">
            <w:pPr>
              <w:rPr>
                <w:rFonts w:ascii="宋体"/>
                <w:vanish/>
              </w:rPr>
            </w:pPr>
          </w:p>
        </w:tc>
        <w:tc>
          <w:tcPr>
            <w:tcW w:w="0" w:type="auto"/>
            <w:shd w:val="clear" w:color="auto" w:fill="auto"/>
            <w:vAlign w:val="center"/>
          </w:tcPr>
          <w:p w14:paraId="64A891EF" w14:textId="77777777" w:rsidR="008D6614" w:rsidRDefault="008D6614">
            <w:pPr>
              <w:rPr>
                <w:rFonts w:ascii="宋体"/>
                <w:vanish/>
              </w:rPr>
            </w:pPr>
          </w:p>
        </w:tc>
        <w:tc>
          <w:tcPr>
            <w:tcW w:w="0" w:type="auto"/>
            <w:shd w:val="clear" w:color="auto" w:fill="auto"/>
            <w:vAlign w:val="center"/>
          </w:tcPr>
          <w:p w14:paraId="64A891F0" w14:textId="77777777" w:rsidR="008D6614" w:rsidRDefault="008D6614">
            <w:pPr>
              <w:rPr>
                <w:rFonts w:ascii="宋体"/>
                <w:vanish/>
              </w:rPr>
            </w:pPr>
          </w:p>
        </w:tc>
        <w:tc>
          <w:tcPr>
            <w:tcW w:w="0" w:type="auto"/>
            <w:shd w:val="clear" w:color="auto" w:fill="auto"/>
            <w:vAlign w:val="center"/>
          </w:tcPr>
          <w:p w14:paraId="64A891F1" w14:textId="77777777" w:rsidR="008D6614" w:rsidRDefault="008D6614">
            <w:pPr>
              <w:rPr>
                <w:rFonts w:ascii="宋体"/>
                <w:vanish/>
              </w:rPr>
            </w:pPr>
          </w:p>
        </w:tc>
        <w:tc>
          <w:tcPr>
            <w:tcW w:w="0" w:type="auto"/>
            <w:shd w:val="clear" w:color="auto" w:fill="auto"/>
            <w:vAlign w:val="center"/>
          </w:tcPr>
          <w:p w14:paraId="64A891F2" w14:textId="77777777" w:rsidR="008D6614" w:rsidRDefault="008D6614">
            <w:pPr>
              <w:rPr>
                <w:rFonts w:ascii="宋体"/>
              </w:rPr>
            </w:pPr>
          </w:p>
        </w:tc>
        <w:tc>
          <w:tcPr>
            <w:tcW w:w="0" w:type="auto"/>
            <w:shd w:val="clear" w:color="auto" w:fill="auto"/>
            <w:vAlign w:val="center"/>
          </w:tcPr>
          <w:p w14:paraId="64A891F3" w14:textId="77777777" w:rsidR="008D6614" w:rsidRDefault="008D6614">
            <w:pPr>
              <w:rPr>
                <w:rFonts w:ascii="宋体"/>
              </w:rPr>
            </w:pPr>
          </w:p>
        </w:tc>
        <w:tc>
          <w:tcPr>
            <w:tcW w:w="0" w:type="auto"/>
            <w:shd w:val="clear" w:color="auto" w:fill="auto"/>
            <w:vAlign w:val="center"/>
          </w:tcPr>
          <w:p w14:paraId="64A891F4" w14:textId="77777777" w:rsidR="008D6614" w:rsidRDefault="008D6614">
            <w:pPr>
              <w:rPr>
                <w:rFonts w:ascii="宋体"/>
              </w:rPr>
            </w:pPr>
          </w:p>
        </w:tc>
        <w:tc>
          <w:tcPr>
            <w:tcW w:w="0" w:type="auto"/>
            <w:shd w:val="clear" w:color="auto" w:fill="auto"/>
            <w:vAlign w:val="center"/>
          </w:tcPr>
          <w:p w14:paraId="64A891F5" w14:textId="77777777" w:rsidR="008D6614" w:rsidRDefault="008D6614">
            <w:pPr>
              <w:rPr>
                <w:rFonts w:ascii="宋体"/>
              </w:rPr>
            </w:pPr>
          </w:p>
        </w:tc>
        <w:tc>
          <w:tcPr>
            <w:tcW w:w="0" w:type="auto"/>
            <w:shd w:val="clear" w:color="auto" w:fill="auto"/>
            <w:vAlign w:val="center"/>
          </w:tcPr>
          <w:p w14:paraId="64A891F6" w14:textId="77777777" w:rsidR="008D6614" w:rsidRDefault="008D6614">
            <w:pPr>
              <w:rPr>
                <w:rFonts w:ascii="宋体"/>
              </w:rPr>
            </w:pPr>
          </w:p>
        </w:tc>
        <w:tc>
          <w:tcPr>
            <w:tcW w:w="0" w:type="auto"/>
            <w:shd w:val="clear" w:color="auto" w:fill="auto"/>
            <w:vAlign w:val="center"/>
          </w:tcPr>
          <w:p w14:paraId="64A891F7" w14:textId="77777777" w:rsidR="008D6614" w:rsidRDefault="008D6614">
            <w:pPr>
              <w:rPr>
                <w:rFonts w:ascii="宋体"/>
              </w:rPr>
            </w:pPr>
          </w:p>
        </w:tc>
      </w:tr>
      <w:tr w:rsidR="008D6614" w14:paraId="64A8920B" w14:textId="77777777">
        <w:trPr>
          <w:jc w:val="center"/>
        </w:trPr>
        <w:tc>
          <w:tcPr>
            <w:tcW w:w="0" w:type="auto"/>
            <w:gridSpan w:val="3"/>
            <w:shd w:val="clear" w:color="auto" w:fill="FFFFFF"/>
            <w:tcMar>
              <w:top w:w="40" w:type="dxa"/>
              <w:left w:w="20" w:type="dxa"/>
              <w:bottom w:w="40" w:type="dxa"/>
              <w:right w:w="20" w:type="dxa"/>
            </w:tcMar>
            <w:vAlign w:val="bottom"/>
          </w:tcPr>
          <w:p w14:paraId="64A891F9" w14:textId="77777777" w:rsidR="008D6614" w:rsidRDefault="00866AF2">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FFFFFF"/>
            <w:tcMar>
              <w:top w:w="40" w:type="dxa"/>
              <w:left w:w="20" w:type="dxa"/>
              <w:bottom w:w="40" w:type="dxa"/>
            </w:tcMar>
            <w:vAlign w:val="bottom"/>
          </w:tcPr>
          <w:p w14:paraId="64A891F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1FB" w14:textId="77777777" w:rsidR="008D6614" w:rsidRDefault="00866AF2">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FFFFFF"/>
            <w:tcMar>
              <w:top w:w="40" w:type="dxa"/>
              <w:bottom w:w="40" w:type="dxa"/>
              <w:right w:w="20" w:type="dxa"/>
            </w:tcMar>
            <w:vAlign w:val="bottom"/>
          </w:tcPr>
          <w:p w14:paraId="64A891F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1FD"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1F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1FF" w14:textId="77777777" w:rsidR="008D6614" w:rsidRDefault="00866AF2">
            <w:pPr>
              <w:jc w:val="right"/>
              <w:textAlignment w:val="bottom"/>
            </w:pPr>
            <w:r>
              <w:rPr>
                <w:rFonts w:ascii="Arial" w:eastAsia="宋体" w:hAnsi="Arial" w:cs="Arial"/>
                <w:color w:val="000000"/>
                <w:sz w:val="18"/>
                <w:szCs w:val="18"/>
              </w:rPr>
              <w:t>230 </w:t>
            </w:r>
          </w:p>
        </w:tc>
        <w:tc>
          <w:tcPr>
            <w:tcW w:w="0" w:type="auto"/>
            <w:tcBorders>
              <w:top w:val="single" w:sz="8" w:space="0" w:color="000000"/>
            </w:tcBorders>
            <w:shd w:val="clear" w:color="auto" w:fill="FFFFFF"/>
            <w:tcMar>
              <w:top w:w="40" w:type="dxa"/>
              <w:bottom w:w="40" w:type="dxa"/>
              <w:right w:w="20" w:type="dxa"/>
            </w:tcMar>
            <w:vAlign w:val="bottom"/>
          </w:tcPr>
          <w:p w14:paraId="64A8920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01" w14:textId="77777777" w:rsidR="008D6614" w:rsidRDefault="008D6614">
            <w:pPr>
              <w:rPr>
                <w:rFonts w:ascii="宋体"/>
                <w:vanish/>
              </w:rPr>
            </w:pPr>
          </w:p>
        </w:tc>
        <w:tc>
          <w:tcPr>
            <w:tcW w:w="0" w:type="auto"/>
            <w:shd w:val="clear" w:color="auto" w:fill="auto"/>
            <w:vAlign w:val="center"/>
          </w:tcPr>
          <w:p w14:paraId="64A89202" w14:textId="77777777" w:rsidR="008D6614" w:rsidRDefault="008D6614">
            <w:pPr>
              <w:rPr>
                <w:rFonts w:ascii="宋体"/>
                <w:vanish/>
              </w:rPr>
            </w:pPr>
          </w:p>
        </w:tc>
        <w:tc>
          <w:tcPr>
            <w:tcW w:w="0" w:type="auto"/>
            <w:shd w:val="clear" w:color="auto" w:fill="auto"/>
            <w:vAlign w:val="center"/>
          </w:tcPr>
          <w:p w14:paraId="64A89203" w14:textId="77777777" w:rsidR="008D6614" w:rsidRDefault="008D6614">
            <w:pPr>
              <w:rPr>
                <w:rFonts w:ascii="宋体"/>
                <w:vanish/>
              </w:rPr>
            </w:pPr>
          </w:p>
        </w:tc>
        <w:tc>
          <w:tcPr>
            <w:tcW w:w="0" w:type="auto"/>
            <w:shd w:val="clear" w:color="auto" w:fill="auto"/>
            <w:vAlign w:val="center"/>
          </w:tcPr>
          <w:p w14:paraId="64A89204" w14:textId="77777777" w:rsidR="008D6614" w:rsidRDefault="008D6614">
            <w:pPr>
              <w:rPr>
                <w:rFonts w:ascii="宋体"/>
                <w:vanish/>
              </w:rPr>
            </w:pPr>
          </w:p>
        </w:tc>
        <w:tc>
          <w:tcPr>
            <w:tcW w:w="0" w:type="auto"/>
            <w:shd w:val="clear" w:color="auto" w:fill="auto"/>
            <w:vAlign w:val="center"/>
          </w:tcPr>
          <w:p w14:paraId="64A89205" w14:textId="77777777" w:rsidR="008D6614" w:rsidRDefault="008D6614">
            <w:pPr>
              <w:rPr>
                <w:rFonts w:ascii="宋体"/>
              </w:rPr>
            </w:pPr>
          </w:p>
        </w:tc>
        <w:tc>
          <w:tcPr>
            <w:tcW w:w="0" w:type="auto"/>
            <w:shd w:val="clear" w:color="auto" w:fill="auto"/>
            <w:vAlign w:val="center"/>
          </w:tcPr>
          <w:p w14:paraId="64A89206" w14:textId="77777777" w:rsidR="008D6614" w:rsidRDefault="008D6614">
            <w:pPr>
              <w:rPr>
                <w:rFonts w:ascii="宋体"/>
              </w:rPr>
            </w:pPr>
          </w:p>
        </w:tc>
        <w:tc>
          <w:tcPr>
            <w:tcW w:w="0" w:type="auto"/>
            <w:shd w:val="clear" w:color="auto" w:fill="auto"/>
            <w:vAlign w:val="center"/>
          </w:tcPr>
          <w:p w14:paraId="64A89207" w14:textId="77777777" w:rsidR="008D6614" w:rsidRDefault="008D6614">
            <w:pPr>
              <w:rPr>
                <w:rFonts w:ascii="宋体"/>
              </w:rPr>
            </w:pPr>
          </w:p>
        </w:tc>
        <w:tc>
          <w:tcPr>
            <w:tcW w:w="0" w:type="auto"/>
            <w:shd w:val="clear" w:color="auto" w:fill="auto"/>
            <w:vAlign w:val="center"/>
          </w:tcPr>
          <w:p w14:paraId="64A89208" w14:textId="77777777" w:rsidR="008D6614" w:rsidRDefault="008D6614">
            <w:pPr>
              <w:rPr>
                <w:rFonts w:ascii="宋体"/>
              </w:rPr>
            </w:pPr>
          </w:p>
        </w:tc>
        <w:tc>
          <w:tcPr>
            <w:tcW w:w="0" w:type="auto"/>
            <w:shd w:val="clear" w:color="auto" w:fill="auto"/>
            <w:vAlign w:val="center"/>
          </w:tcPr>
          <w:p w14:paraId="64A89209" w14:textId="77777777" w:rsidR="008D6614" w:rsidRDefault="008D6614">
            <w:pPr>
              <w:rPr>
                <w:rFonts w:ascii="宋体"/>
              </w:rPr>
            </w:pPr>
          </w:p>
        </w:tc>
        <w:tc>
          <w:tcPr>
            <w:tcW w:w="0" w:type="auto"/>
            <w:shd w:val="clear" w:color="auto" w:fill="auto"/>
            <w:vAlign w:val="center"/>
          </w:tcPr>
          <w:p w14:paraId="64A8920A" w14:textId="77777777" w:rsidR="008D6614" w:rsidRDefault="008D6614">
            <w:pPr>
              <w:rPr>
                <w:rFonts w:ascii="宋体"/>
              </w:rPr>
            </w:pPr>
          </w:p>
        </w:tc>
      </w:tr>
      <w:tr w:rsidR="008D6614" w14:paraId="64A8921C" w14:textId="77777777">
        <w:trPr>
          <w:jc w:val="center"/>
        </w:trPr>
        <w:tc>
          <w:tcPr>
            <w:tcW w:w="0" w:type="auto"/>
            <w:gridSpan w:val="3"/>
            <w:shd w:val="clear" w:color="auto" w:fill="E2E2E2"/>
            <w:tcMar>
              <w:top w:w="40" w:type="dxa"/>
              <w:left w:w="20" w:type="dxa"/>
              <w:bottom w:w="40" w:type="dxa"/>
              <w:right w:w="20" w:type="dxa"/>
            </w:tcMar>
            <w:vAlign w:val="bottom"/>
          </w:tcPr>
          <w:p w14:paraId="64A8920C" w14:textId="77777777" w:rsidR="008D6614" w:rsidRDefault="00866AF2">
            <w:pPr>
              <w:textAlignment w:val="bottom"/>
            </w:pPr>
            <w:r>
              <w:rPr>
                <w:rFonts w:ascii="Arial" w:eastAsia="宋体" w:hAnsi="Arial" w:cs="Arial"/>
                <w:color w:val="000000"/>
                <w:sz w:val="18"/>
                <w:szCs w:val="18"/>
              </w:rPr>
              <w:t>Cost of net revenues</w:t>
            </w:r>
          </w:p>
        </w:tc>
        <w:tc>
          <w:tcPr>
            <w:tcW w:w="0" w:type="auto"/>
            <w:gridSpan w:val="2"/>
            <w:shd w:val="clear" w:color="auto" w:fill="E2E2E2"/>
            <w:tcMar>
              <w:top w:w="40" w:type="dxa"/>
              <w:left w:w="20" w:type="dxa"/>
              <w:bottom w:w="40" w:type="dxa"/>
              <w:right w:w="0" w:type="dxa"/>
            </w:tcMar>
            <w:vAlign w:val="bottom"/>
          </w:tcPr>
          <w:p w14:paraId="64A8920D" w14:textId="77777777" w:rsidR="008D6614" w:rsidRDefault="00866AF2">
            <w:pPr>
              <w:jc w:val="right"/>
              <w:textAlignment w:val="bottom"/>
            </w:pPr>
            <w:r>
              <w:rPr>
                <w:rFonts w:ascii="Arial" w:eastAsia="宋体" w:hAnsi="Arial" w:cs="Arial"/>
                <w:color w:val="000000"/>
                <w:sz w:val="18"/>
                <w:szCs w:val="18"/>
              </w:rPr>
              <w:t>31 </w:t>
            </w:r>
          </w:p>
        </w:tc>
        <w:tc>
          <w:tcPr>
            <w:tcW w:w="0" w:type="auto"/>
            <w:shd w:val="clear" w:color="auto" w:fill="E2E2E2"/>
            <w:tcMar>
              <w:top w:w="40" w:type="dxa"/>
              <w:bottom w:w="40" w:type="dxa"/>
              <w:right w:w="20" w:type="dxa"/>
            </w:tcMar>
            <w:vAlign w:val="bottom"/>
          </w:tcPr>
          <w:p w14:paraId="64A8920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20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210" w14:textId="77777777" w:rsidR="008D6614" w:rsidRDefault="00866AF2">
            <w:pPr>
              <w:jc w:val="right"/>
              <w:textAlignment w:val="bottom"/>
            </w:pPr>
            <w:r>
              <w:rPr>
                <w:rFonts w:ascii="Arial" w:eastAsia="宋体" w:hAnsi="Arial" w:cs="Arial"/>
                <w:color w:val="000000"/>
                <w:sz w:val="18"/>
                <w:szCs w:val="18"/>
              </w:rPr>
              <w:t>62 </w:t>
            </w:r>
          </w:p>
        </w:tc>
        <w:tc>
          <w:tcPr>
            <w:tcW w:w="0" w:type="auto"/>
            <w:shd w:val="clear" w:color="auto" w:fill="E2E2E2"/>
            <w:tcMar>
              <w:top w:w="40" w:type="dxa"/>
              <w:bottom w:w="40" w:type="dxa"/>
              <w:right w:w="20" w:type="dxa"/>
            </w:tcMar>
            <w:vAlign w:val="bottom"/>
          </w:tcPr>
          <w:p w14:paraId="64A8921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12" w14:textId="77777777" w:rsidR="008D6614" w:rsidRDefault="008D6614">
            <w:pPr>
              <w:rPr>
                <w:rFonts w:ascii="宋体"/>
                <w:vanish/>
              </w:rPr>
            </w:pPr>
          </w:p>
        </w:tc>
        <w:tc>
          <w:tcPr>
            <w:tcW w:w="0" w:type="auto"/>
            <w:shd w:val="clear" w:color="auto" w:fill="auto"/>
            <w:vAlign w:val="center"/>
          </w:tcPr>
          <w:p w14:paraId="64A89213" w14:textId="77777777" w:rsidR="008D6614" w:rsidRDefault="008D6614">
            <w:pPr>
              <w:rPr>
                <w:rFonts w:ascii="宋体"/>
                <w:vanish/>
              </w:rPr>
            </w:pPr>
          </w:p>
        </w:tc>
        <w:tc>
          <w:tcPr>
            <w:tcW w:w="0" w:type="auto"/>
            <w:shd w:val="clear" w:color="auto" w:fill="auto"/>
            <w:vAlign w:val="center"/>
          </w:tcPr>
          <w:p w14:paraId="64A89214" w14:textId="77777777" w:rsidR="008D6614" w:rsidRDefault="008D6614">
            <w:pPr>
              <w:rPr>
                <w:rFonts w:ascii="宋体"/>
                <w:vanish/>
              </w:rPr>
            </w:pPr>
          </w:p>
        </w:tc>
        <w:tc>
          <w:tcPr>
            <w:tcW w:w="0" w:type="auto"/>
            <w:shd w:val="clear" w:color="auto" w:fill="auto"/>
            <w:vAlign w:val="center"/>
          </w:tcPr>
          <w:p w14:paraId="64A89215" w14:textId="77777777" w:rsidR="008D6614" w:rsidRDefault="008D6614">
            <w:pPr>
              <w:rPr>
                <w:rFonts w:ascii="宋体"/>
                <w:vanish/>
              </w:rPr>
            </w:pPr>
          </w:p>
        </w:tc>
        <w:tc>
          <w:tcPr>
            <w:tcW w:w="0" w:type="auto"/>
            <w:shd w:val="clear" w:color="auto" w:fill="auto"/>
            <w:vAlign w:val="center"/>
          </w:tcPr>
          <w:p w14:paraId="64A89216" w14:textId="77777777" w:rsidR="008D6614" w:rsidRDefault="008D6614">
            <w:pPr>
              <w:rPr>
                <w:rFonts w:ascii="宋体"/>
              </w:rPr>
            </w:pPr>
          </w:p>
        </w:tc>
        <w:tc>
          <w:tcPr>
            <w:tcW w:w="0" w:type="auto"/>
            <w:shd w:val="clear" w:color="auto" w:fill="auto"/>
            <w:vAlign w:val="center"/>
          </w:tcPr>
          <w:p w14:paraId="64A89217" w14:textId="77777777" w:rsidR="008D6614" w:rsidRDefault="008D6614">
            <w:pPr>
              <w:rPr>
                <w:rFonts w:ascii="宋体"/>
              </w:rPr>
            </w:pPr>
          </w:p>
        </w:tc>
        <w:tc>
          <w:tcPr>
            <w:tcW w:w="0" w:type="auto"/>
            <w:shd w:val="clear" w:color="auto" w:fill="auto"/>
            <w:vAlign w:val="center"/>
          </w:tcPr>
          <w:p w14:paraId="64A89218" w14:textId="77777777" w:rsidR="008D6614" w:rsidRDefault="008D6614">
            <w:pPr>
              <w:rPr>
                <w:rFonts w:ascii="宋体"/>
              </w:rPr>
            </w:pPr>
          </w:p>
        </w:tc>
        <w:tc>
          <w:tcPr>
            <w:tcW w:w="0" w:type="auto"/>
            <w:shd w:val="clear" w:color="auto" w:fill="auto"/>
            <w:vAlign w:val="center"/>
          </w:tcPr>
          <w:p w14:paraId="64A89219" w14:textId="77777777" w:rsidR="008D6614" w:rsidRDefault="008D6614">
            <w:pPr>
              <w:rPr>
                <w:rFonts w:ascii="宋体"/>
              </w:rPr>
            </w:pPr>
          </w:p>
        </w:tc>
        <w:tc>
          <w:tcPr>
            <w:tcW w:w="0" w:type="auto"/>
            <w:shd w:val="clear" w:color="auto" w:fill="auto"/>
            <w:vAlign w:val="center"/>
          </w:tcPr>
          <w:p w14:paraId="64A8921A" w14:textId="77777777" w:rsidR="008D6614" w:rsidRDefault="008D6614">
            <w:pPr>
              <w:rPr>
                <w:rFonts w:ascii="宋体"/>
              </w:rPr>
            </w:pPr>
          </w:p>
        </w:tc>
        <w:tc>
          <w:tcPr>
            <w:tcW w:w="0" w:type="auto"/>
            <w:shd w:val="clear" w:color="auto" w:fill="auto"/>
            <w:vAlign w:val="center"/>
          </w:tcPr>
          <w:p w14:paraId="64A8921B" w14:textId="77777777" w:rsidR="008D6614" w:rsidRDefault="008D6614">
            <w:pPr>
              <w:rPr>
                <w:rFonts w:ascii="宋体"/>
              </w:rPr>
            </w:pPr>
          </w:p>
        </w:tc>
      </w:tr>
      <w:tr w:rsidR="008D6614" w14:paraId="64A8922D" w14:textId="77777777">
        <w:trPr>
          <w:jc w:val="center"/>
        </w:trPr>
        <w:tc>
          <w:tcPr>
            <w:tcW w:w="0" w:type="auto"/>
            <w:gridSpan w:val="3"/>
            <w:shd w:val="clear" w:color="auto" w:fill="FFFFFF"/>
            <w:tcMar>
              <w:top w:w="40" w:type="dxa"/>
              <w:left w:w="855" w:type="dxa"/>
              <w:bottom w:w="40" w:type="dxa"/>
              <w:right w:w="20" w:type="dxa"/>
            </w:tcMar>
            <w:vAlign w:val="bottom"/>
          </w:tcPr>
          <w:p w14:paraId="64A8921D" w14:textId="77777777" w:rsidR="008D6614" w:rsidRDefault="00866AF2">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921E" w14:textId="77777777" w:rsidR="008D6614" w:rsidRDefault="00866AF2">
            <w:pPr>
              <w:jc w:val="right"/>
              <w:textAlignment w:val="bottom"/>
            </w:pPr>
            <w:r>
              <w:rPr>
                <w:rFonts w:ascii="Arial" w:eastAsia="宋体" w:hAnsi="Arial" w:cs="Arial"/>
                <w:color w:val="000000"/>
                <w:sz w:val="18"/>
                <w:szCs w:val="18"/>
              </w:rPr>
              <w:t>69 </w:t>
            </w:r>
          </w:p>
        </w:tc>
        <w:tc>
          <w:tcPr>
            <w:tcW w:w="0" w:type="auto"/>
            <w:tcBorders>
              <w:top w:val="single" w:sz="8" w:space="0" w:color="000000"/>
            </w:tcBorders>
            <w:shd w:val="clear" w:color="auto" w:fill="FFFFFF"/>
            <w:tcMar>
              <w:top w:w="40" w:type="dxa"/>
              <w:bottom w:w="40" w:type="dxa"/>
              <w:right w:w="20" w:type="dxa"/>
            </w:tcMar>
            <w:vAlign w:val="bottom"/>
          </w:tcPr>
          <w:p w14:paraId="64A8921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220"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9221" w14:textId="77777777" w:rsidR="008D6614" w:rsidRDefault="00866AF2">
            <w:pPr>
              <w:jc w:val="right"/>
              <w:textAlignment w:val="bottom"/>
            </w:pPr>
            <w:r>
              <w:rPr>
                <w:rFonts w:ascii="Arial" w:eastAsia="宋体" w:hAnsi="Arial" w:cs="Arial"/>
                <w:color w:val="000000"/>
                <w:sz w:val="18"/>
                <w:szCs w:val="18"/>
              </w:rPr>
              <w:t>168 </w:t>
            </w:r>
          </w:p>
        </w:tc>
        <w:tc>
          <w:tcPr>
            <w:tcW w:w="0" w:type="auto"/>
            <w:tcBorders>
              <w:top w:val="single" w:sz="8" w:space="0" w:color="000000"/>
            </w:tcBorders>
            <w:shd w:val="clear" w:color="auto" w:fill="FFFFFF"/>
            <w:tcMar>
              <w:top w:w="40" w:type="dxa"/>
              <w:bottom w:w="40" w:type="dxa"/>
              <w:right w:w="20" w:type="dxa"/>
            </w:tcMar>
            <w:vAlign w:val="bottom"/>
          </w:tcPr>
          <w:p w14:paraId="64A8922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23" w14:textId="77777777" w:rsidR="008D6614" w:rsidRDefault="008D6614">
            <w:pPr>
              <w:rPr>
                <w:rFonts w:ascii="宋体"/>
                <w:vanish/>
              </w:rPr>
            </w:pPr>
          </w:p>
        </w:tc>
        <w:tc>
          <w:tcPr>
            <w:tcW w:w="0" w:type="auto"/>
            <w:shd w:val="clear" w:color="auto" w:fill="auto"/>
            <w:vAlign w:val="center"/>
          </w:tcPr>
          <w:p w14:paraId="64A89224" w14:textId="77777777" w:rsidR="008D6614" w:rsidRDefault="008D6614">
            <w:pPr>
              <w:rPr>
                <w:rFonts w:ascii="宋体"/>
                <w:vanish/>
              </w:rPr>
            </w:pPr>
          </w:p>
        </w:tc>
        <w:tc>
          <w:tcPr>
            <w:tcW w:w="0" w:type="auto"/>
            <w:shd w:val="clear" w:color="auto" w:fill="auto"/>
            <w:vAlign w:val="center"/>
          </w:tcPr>
          <w:p w14:paraId="64A89225" w14:textId="77777777" w:rsidR="008D6614" w:rsidRDefault="008D6614">
            <w:pPr>
              <w:rPr>
                <w:rFonts w:ascii="宋体"/>
                <w:vanish/>
              </w:rPr>
            </w:pPr>
          </w:p>
        </w:tc>
        <w:tc>
          <w:tcPr>
            <w:tcW w:w="0" w:type="auto"/>
            <w:shd w:val="clear" w:color="auto" w:fill="auto"/>
            <w:vAlign w:val="center"/>
          </w:tcPr>
          <w:p w14:paraId="64A89226" w14:textId="77777777" w:rsidR="008D6614" w:rsidRDefault="008D6614">
            <w:pPr>
              <w:rPr>
                <w:rFonts w:ascii="宋体"/>
                <w:vanish/>
              </w:rPr>
            </w:pPr>
          </w:p>
        </w:tc>
        <w:tc>
          <w:tcPr>
            <w:tcW w:w="0" w:type="auto"/>
            <w:shd w:val="clear" w:color="auto" w:fill="auto"/>
            <w:vAlign w:val="center"/>
          </w:tcPr>
          <w:p w14:paraId="64A89227" w14:textId="77777777" w:rsidR="008D6614" w:rsidRDefault="008D6614">
            <w:pPr>
              <w:rPr>
                <w:rFonts w:ascii="宋体"/>
              </w:rPr>
            </w:pPr>
          </w:p>
        </w:tc>
        <w:tc>
          <w:tcPr>
            <w:tcW w:w="0" w:type="auto"/>
            <w:shd w:val="clear" w:color="auto" w:fill="auto"/>
            <w:vAlign w:val="center"/>
          </w:tcPr>
          <w:p w14:paraId="64A89228" w14:textId="77777777" w:rsidR="008D6614" w:rsidRDefault="008D6614">
            <w:pPr>
              <w:rPr>
                <w:rFonts w:ascii="宋体"/>
              </w:rPr>
            </w:pPr>
          </w:p>
        </w:tc>
        <w:tc>
          <w:tcPr>
            <w:tcW w:w="0" w:type="auto"/>
            <w:shd w:val="clear" w:color="auto" w:fill="auto"/>
            <w:vAlign w:val="center"/>
          </w:tcPr>
          <w:p w14:paraId="64A89229" w14:textId="77777777" w:rsidR="008D6614" w:rsidRDefault="008D6614">
            <w:pPr>
              <w:rPr>
                <w:rFonts w:ascii="宋体"/>
              </w:rPr>
            </w:pPr>
          </w:p>
        </w:tc>
        <w:tc>
          <w:tcPr>
            <w:tcW w:w="0" w:type="auto"/>
            <w:shd w:val="clear" w:color="auto" w:fill="auto"/>
            <w:vAlign w:val="center"/>
          </w:tcPr>
          <w:p w14:paraId="64A8922A" w14:textId="77777777" w:rsidR="008D6614" w:rsidRDefault="008D6614">
            <w:pPr>
              <w:rPr>
                <w:rFonts w:ascii="宋体"/>
              </w:rPr>
            </w:pPr>
          </w:p>
        </w:tc>
        <w:tc>
          <w:tcPr>
            <w:tcW w:w="0" w:type="auto"/>
            <w:shd w:val="clear" w:color="auto" w:fill="auto"/>
            <w:vAlign w:val="center"/>
          </w:tcPr>
          <w:p w14:paraId="64A8922B" w14:textId="77777777" w:rsidR="008D6614" w:rsidRDefault="008D6614">
            <w:pPr>
              <w:rPr>
                <w:rFonts w:ascii="宋体"/>
              </w:rPr>
            </w:pPr>
          </w:p>
        </w:tc>
        <w:tc>
          <w:tcPr>
            <w:tcW w:w="0" w:type="auto"/>
            <w:shd w:val="clear" w:color="auto" w:fill="auto"/>
            <w:vAlign w:val="center"/>
          </w:tcPr>
          <w:p w14:paraId="64A8922C" w14:textId="77777777" w:rsidR="008D6614" w:rsidRDefault="008D6614">
            <w:pPr>
              <w:rPr>
                <w:rFonts w:ascii="宋体"/>
              </w:rPr>
            </w:pPr>
          </w:p>
        </w:tc>
      </w:tr>
      <w:tr w:rsidR="008D6614" w14:paraId="64A8923C" w14:textId="77777777">
        <w:trPr>
          <w:jc w:val="center"/>
        </w:trPr>
        <w:tc>
          <w:tcPr>
            <w:tcW w:w="0" w:type="auto"/>
            <w:gridSpan w:val="3"/>
            <w:shd w:val="clear" w:color="auto" w:fill="E2E2E2"/>
            <w:tcMar>
              <w:top w:w="40" w:type="dxa"/>
              <w:left w:w="20" w:type="dxa"/>
              <w:bottom w:w="40" w:type="dxa"/>
              <w:right w:w="20" w:type="dxa"/>
            </w:tcMar>
            <w:vAlign w:val="bottom"/>
          </w:tcPr>
          <w:p w14:paraId="64A8922E" w14:textId="77777777" w:rsidR="008D6614" w:rsidRDefault="00866AF2">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E2E2E2"/>
            <w:tcMar>
              <w:left w:w="20" w:type="dxa"/>
              <w:right w:w="20" w:type="dxa"/>
            </w:tcMar>
            <w:vAlign w:val="bottom"/>
          </w:tcPr>
          <w:p w14:paraId="64A8922F"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230"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231" w14:textId="77777777" w:rsidR="008D6614" w:rsidRDefault="008D6614">
            <w:pPr>
              <w:rPr>
                <w:rFonts w:ascii="宋体"/>
              </w:rPr>
            </w:pPr>
          </w:p>
        </w:tc>
        <w:tc>
          <w:tcPr>
            <w:tcW w:w="0" w:type="auto"/>
            <w:shd w:val="clear" w:color="auto" w:fill="auto"/>
            <w:vAlign w:val="center"/>
          </w:tcPr>
          <w:p w14:paraId="64A89232" w14:textId="77777777" w:rsidR="008D6614" w:rsidRDefault="008D6614">
            <w:pPr>
              <w:rPr>
                <w:rFonts w:ascii="宋体"/>
                <w:vanish/>
              </w:rPr>
            </w:pPr>
          </w:p>
        </w:tc>
        <w:tc>
          <w:tcPr>
            <w:tcW w:w="0" w:type="auto"/>
            <w:shd w:val="clear" w:color="auto" w:fill="auto"/>
            <w:vAlign w:val="center"/>
          </w:tcPr>
          <w:p w14:paraId="64A89233" w14:textId="77777777" w:rsidR="008D6614" w:rsidRDefault="008D6614">
            <w:pPr>
              <w:rPr>
                <w:rFonts w:ascii="宋体"/>
                <w:vanish/>
              </w:rPr>
            </w:pPr>
          </w:p>
        </w:tc>
        <w:tc>
          <w:tcPr>
            <w:tcW w:w="0" w:type="auto"/>
            <w:shd w:val="clear" w:color="auto" w:fill="auto"/>
            <w:vAlign w:val="center"/>
          </w:tcPr>
          <w:p w14:paraId="64A89234" w14:textId="77777777" w:rsidR="008D6614" w:rsidRDefault="008D6614">
            <w:pPr>
              <w:rPr>
                <w:rFonts w:ascii="宋体"/>
                <w:vanish/>
              </w:rPr>
            </w:pPr>
          </w:p>
        </w:tc>
        <w:tc>
          <w:tcPr>
            <w:tcW w:w="0" w:type="auto"/>
            <w:shd w:val="clear" w:color="auto" w:fill="auto"/>
            <w:vAlign w:val="center"/>
          </w:tcPr>
          <w:p w14:paraId="64A89235" w14:textId="77777777" w:rsidR="008D6614" w:rsidRDefault="008D6614">
            <w:pPr>
              <w:rPr>
                <w:rFonts w:ascii="宋体"/>
                <w:vanish/>
              </w:rPr>
            </w:pPr>
          </w:p>
        </w:tc>
        <w:tc>
          <w:tcPr>
            <w:tcW w:w="0" w:type="auto"/>
            <w:shd w:val="clear" w:color="auto" w:fill="auto"/>
            <w:vAlign w:val="center"/>
          </w:tcPr>
          <w:p w14:paraId="64A89236" w14:textId="77777777" w:rsidR="008D6614" w:rsidRDefault="008D6614">
            <w:pPr>
              <w:rPr>
                <w:rFonts w:ascii="宋体"/>
              </w:rPr>
            </w:pPr>
          </w:p>
        </w:tc>
        <w:tc>
          <w:tcPr>
            <w:tcW w:w="0" w:type="auto"/>
            <w:shd w:val="clear" w:color="auto" w:fill="auto"/>
            <w:vAlign w:val="center"/>
          </w:tcPr>
          <w:p w14:paraId="64A89237" w14:textId="77777777" w:rsidR="008D6614" w:rsidRDefault="008D6614">
            <w:pPr>
              <w:rPr>
                <w:rFonts w:ascii="宋体"/>
              </w:rPr>
            </w:pPr>
          </w:p>
        </w:tc>
        <w:tc>
          <w:tcPr>
            <w:tcW w:w="0" w:type="auto"/>
            <w:shd w:val="clear" w:color="auto" w:fill="auto"/>
            <w:vAlign w:val="center"/>
          </w:tcPr>
          <w:p w14:paraId="64A89238" w14:textId="77777777" w:rsidR="008D6614" w:rsidRDefault="008D6614">
            <w:pPr>
              <w:rPr>
                <w:rFonts w:ascii="宋体"/>
              </w:rPr>
            </w:pPr>
          </w:p>
        </w:tc>
        <w:tc>
          <w:tcPr>
            <w:tcW w:w="0" w:type="auto"/>
            <w:shd w:val="clear" w:color="auto" w:fill="auto"/>
            <w:vAlign w:val="center"/>
          </w:tcPr>
          <w:p w14:paraId="64A89239" w14:textId="77777777" w:rsidR="008D6614" w:rsidRDefault="008D6614">
            <w:pPr>
              <w:rPr>
                <w:rFonts w:ascii="宋体"/>
              </w:rPr>
            </w:pPr>
          </w:p>
        </w:tc>
        <w:tc>
          <w:tcPr>
            <w:tcW w:w="0" w:type="auto"/>
            <w:shd w:val="clear" w:color="auto" w:fill="auto"/>
            <w:vAlign w:val="center"/>
          </w:tcPr>
          <w:p w14:paraId="64A8923A" w14:textId="77777777" w:rsidR="008D6614" w:rsidRDefault="008D6614">
            <w:pPr>
              <w:rPr>
                <w:rFonts w:ascii="宋体"/>
              </w:rPr>
            </w:pPr>
          </w:p>
        </w:tc>
        <w:tc>
          <w:tcPr>
            <w:tcW w:w="0" w:type="auto"/>
            <w:shd w:val="clear" w:color="auto" w:fill="auto"/>
            <w:vAlign w:val="center"/>
          </w:tcPr>
          <w:p w14:paraId="64A8923B" w14:textId="77777777" w:rsidR="008D6614" w:rsidRDefault="008D6614">
            <w:pPr>
              <w:rPr>
                <w:rFonts w:ascii="宋体"/>
              </w:rPr>
            </w:pPr>
          </w:p>
        </w:tc>
      </w:tr>
      <w:tr w:rsidR="008D6614" w14:paraId="64A8924D" w14:textId="77777777">
        <w:trPr>
          <w:jc w:val="center"/>
        </w:trPr>
        <w:tc>
          <w:tcPr>
            <w:tcW w:w="0" w:type="auto"/>
            <w:gridSpan w:val="3"/>
            <w:shd w:val="clear" w:color="auto" w:fill="FFFFFF"/>
            <w:tcMar>
              <w:top w:w="40" w:type="dxa"/>
              <w:left w:w="495" w:type="dxa"/>
              <w:bottom w:w="40" w:type="dxa"/>
              <w:right w:w="20" w:type="dxa"/>
            </w:tcMar>
            <w:vAlign w:val="bottom"/>
          </w:tcPr>
          <w:p w14:paraId="64A8923D" w14:textId="77777777" w:rsidR="008D6614" w:rsidRDefault="00866AF2">
            <w:pPr>
              <w:textAlignment w:val="bottom"/>
            </w:pPr>
            <w:r>
              <w:rPr>
                <w:rFonts w:ascii="Arial" w:eastAsia="宋体" w:hAnsi="Arial" w:cs="Arial"/>
                <w:color w:val="000000"/>
                <w:sz w:val="18"/>
                <w:szCs w:val="18"/>
              </w:rPr>
              <w:t>Sales and marketing</w:t>
            </w:r>
          </w:p>
        </w:tc>
        <w:tc>
          <w:tcPr>
            <w:tcW w:w="0" w:type="auto"/>
            <w:gridSpan w:val="2"/>
            <w:shd w:val="clear" w:color="auto" w:fill="FFFFFF"/>
            <w:tcMar>
              <w:top w:w="40" w:type="dxa"/>
              <w:left w:w="20" w:type="dxa"/>
              <w:bottom w:w="40" w:type="dxa"/>
              <w:right w:w="0" w:type="dxa"/>
            </w:tcMar>
            <w:vAlign w:val="bottom"/>
          </w:tcPr>
          <w:p w14:paraId="64A8923E" w14:textId="77777777" w:rsidR="008D6614" w:rsidRDefault="00866AF2">
            <w:pPr>
              <w:jc w:val="right"/>
              <w:textAlignment w:val="bottom"/>
            </w:pPr>
            <w:r>
              <w:rPr>
                <w:rFonts w:ascii="Arial" w:eastAsia="宋体" w:hAnsi="Arial" w:cs="Arial"/>
                <w:color w:val="000000"/>
                <w:sz w:val="18"/>
                <w:szCs w:val="18"/>
              </w:rPr>
              <w:t>51 </w:t>
            </w:r>
          </w:p>
        </w:tc>
        <w:tc>
          <w:tcPr>
            <w:tcW w:w="0" w:type="auto"/>
            <w:shd w:val="clear" w:color="auto" w:fill="FFFFFF"/>
            <w:tcMar>
              <w:top w:w="40" w:type="dxa"/>
              <w:bottom w:w="40" w:type="dxa"/>
              <w:right w:w="20" w:type="dxa"/>
            </w:tcMar>
            <w:vAlign w:val="bottom"/>
          </w:tcPr>
          <w:p w14:paraId="64A8923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24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241" w14:textId="77777777" w:rsidR="008D6614" w:rsidRDefault="00866AF2">
            <w:pPr>
              <w:jc w:val="right"/>
              <w:textAlignment w:val="bottom"/>
            </w:pPr>
            <w:r>
              <w:rPr>
                <w:rFonts w:ascii="Arial" w:eastAsia="宋体" w:hAnsi="Arial" w:cs="Arial"/>
                <w:color w:val="000000"/>
                <w:sz w:val="18"/>
                <w:szCs w:val="18"/>
              </w:rPr>
              <w:t>95 </w:t>
            </w:r>
          </w:p>
        </w:tc>
        <w:tc>
          <w:tcPr>
            <w:tcW w:w="0" w:type="auto"/>
            <w:shd w:val="clear" w:color="auto" w:fill="FFFFFF"/>
            <w:tcMar>
              <w:top w:w="40" w:type="dxa"/>
              <w:bottom w:w="40" w:type="dxa"/>
              <w:right w:w="20" w:type="dxa"/>
            </w:tcMar>
            <w:vAlign w:val="bottom"/>
          </w:tcPr>
          <w:p w14:paraId="64A8924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43" w14:textId="77777777" w:rsidR="008D6614" w:rsidRDefault="008D6614">
            <w:pPr>
              <w:rPr>
                <w:rFonts w:ascii="宋体"/>
                <w:vanish/>
              </w:rPr>
            </w:pPr>
          </w:p>
        </w:tc>
        <w:tc>
          <w:tcPr>
            <w:tcW w:w="0" w:type="auto"/>
            <w:shd w:val="clear" w:color="auto" w:fill="auto"/>
            <w:vAlign w:val="center"/>
          </w:tcPr>
          <w:p w14:paraId="64A89244" w14:textId="77777777" w:rsidR="008D6614" w:rsidRDefault="008D6614">
            <w:pPr>
              <w:rPr>
                <w:rFonts w:ascii="宋体"/>
                <w:vanish/>
              </w:rPr>
            </w:pPr>
          </w:p>
        </w:tc>
        <w:tc>
          <w:tcPr>
            <w:tcW w:w="0" w:type="auto"/>
            <w:shd w:val="clear" w:color="auto" w:fill="auto"/>
            <w:vAlign w:val="center"/>
          </w:tcPr>
          <w:p w14:paraId="64A89245" w14:textId="77777777" w:rsidR="008D6614" w:rsidRDefault="008D6614">
            <w:pPr>
              <w:rPr>
                <w:rFonts w:ascii="宋体"/>
                <w:vanish/>
              </w:rPr>
            </w:pPr>
          </w:p>
        </w:tc>
        <w:tc>
          <w:tcPr>
            <w:tcW w:w="0" w:type="auto"/>
            <w:shd w:val="clear" w:color="auto" w:fill="auto"/>
            <w:vAlign w:val="center"/>
          </w:tcPr>
          <w:p w14:paraId="64A89246" w14:textId="77777777" w:rsidR="008D6614" w:rsidRDefault="008D6614">
            <w:pPr>
              <w:rPr>
                <w:rFonts w:ascii="宋体"/>
                <w:vanish/>
              </w:rPr>
            </w:pPr>
          </w:p>
        </w:tc>
        <w:tc>
          <w:tcPr>
            <w:tcW w:w="0" w:type="auto"/>
            <w:shd w:val="clear" w:color="auto" w:fill="auto"/>
            <w:vAlign w:val="center"/>
          </w:tcPr>
          <w:p w14:paraId="64A89247" w14:textId="77777777" w:rsidR="008D6614" w:rsidRDefault="008D6614">
            <w:pPr>
              <w:rPr>
                <w:rFonts w:ascii="宋体"/>
              </w:rPr>
            </w:pPr>
          </w:p>
        </w:tc>
        <w:tc>
          <w:tcPr>
            <w:tcW w:w="0" w:type="auto"/>
            <w:shd w:val="clear" w:color="auto" w:fill="auto"/>
            <w:vAlign w:val="center"/>
          </w:tcPr>
          <w:p w14:paraId="64A89248" w14:textId="77777777" w:rsidR="008D6614" w:rsidRDefault="008D6614">
            <w:pPr>
              <w:rPr>
                <w:rFonts w:ascii="宋体"/>
              </w:rPr>
            </w:pPr>
          </w:p>
        </w:tc>
        <w:tc>
          <w:tcPr>
            <w:tcW w:w="0" w:type="auto"/>
            <w:shd w:val="clear" w:color="auto" w:fill="auto"/>
            <w:vAlign w:val="center"/>
          </w:tcPr>
          <w:p w14:paraId="64A89249" w14:textId="77777777" w:rsidR="008D6614" w:rsidRDefault="008D6614">
            <w:pPr>
              <w:rPr>
                <w:rFonts w:ascii="宋体"/>
              </w:rPr>
            </w:pPr>
          </w:p>
        </w:tc>
        <w:tc>
          <w:tcPr>
            <w:tcW w:w="0" w:type="auto"/>
            <w:shd w:val="clear" w:color="auto" w:fill="auto"/>
            <w:vAlign w:val="center"/>
          </w:tcPr>
          <w:p w14:paraId="64A8924A" w14:textId="77777777" w:rsidR="008D6614" w:rsidRDefault="008D6614">
            <w:pPr>
              <w:rPr>
                <w:rFonts w:ascii="宋体"/>
              </w:rPr>
            </w:pPr>
          </w:p>
        </w:tc>
        <w:tc>
          <w:tcPr>
            <w:tcW w:w="0" w:type="auto"/>
            <w:shd w:val="clear" w:color="auto" w:fill="auto"/>
            <w:vAlign w:val="center"/>
          </w:tcPr>
          <w:p w14:paraId="64A8924B" w14:textId="77777777" w:rsidR="008D6614" w:rsidRDefault="008D6614">
            <w:pPr>
              <w:rPr>
                <w:rFonts w:ascii="宋体"/>
              </w:rPr>
            </w:pPr>
          </w:p>
        </w:tc>
        <w:tc>
          <w:tcPr>
            <w:tcW w:w="0" w:type="auto"/>
            <w:shd w:val="clear" w:color="auto" w:fill="auto"/>
            <w:vAlign w:val="center"/>
          </w:tcPr>
          <w:p w14:paraId="64A8924C" w14:textId="77777777" w:rsidR="008D6614" w:rsidRDefault="008D6614">
            <w:pPr>
              <w:rPr>
                <w:rFonts w:ascii="宋体"/>
              </w:rPr>
            </w:pPr>
          </w:p>
        </w:tc>
      </w:tr>
      <w:tr w:rsidR="008D6614" w14:paraId="64A8925E" w14:textId="77777777">
        <w:trPr>
          <w:jc w:val="center"/>
        </w:trPr>
        <w:tc>
          <w:tcPr>
            <w:tcW w:w="0" w:type="auto"/>
            <w:gridSpan w:val="3"/>
            <w:shd w:val="clear" w:color="auto" w:fill="E2E2E2"/>
            <w:tcMar>
              <w:top w:w="40" w:type="dxa"/>
              <w:left w:w="495" w:type="dxa"/>
              <w:bottom w:w="40" w:type="dxa"/>
              <w:right w:w="20" w:type="dxa"/>
            </w:tcMar>
            <w:vAlign w:val="bottom"/>
          </w:tcPr>
          <w:p w14:paraId="64A8924E" w14:textId="77777777" w:rsidR="008D6614" w:rsidRDefault="00866AF2">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64A8924F" w14:textId="77777777" w:rsidR="008D6614" w:rsidRDefault="00866AF2">
            <w:pPr>
              <w:jc w:val="right"/>
              <w:textAlignment w:val="bottom"/>
            </w:pPr>
            <w:r>
              <w:rPr>
                <w:rFonts w:ascii="Arial" w:eastAsia="宋体" w:hAnsi="Arial" w:cs="Arial"/>
                <w:color w:val="000000"/>
                <w:sz w:val="18"/>
                <w:szCs w:val="18"/>
              </w:rPr>
              <w:t>29 </w:t>
            </w:r>
          </w:p>
        </w:tc>
        <w:tc>
          <w:tcPr>
            <w:tcW w:w="0" w:type="auto"/>
            <w:shd w:val="clear" w:color="auto" w:fill="E2E2E2"/>
            <w:tcMar>
              <w:top w:w="40" w:type="dxa"/>
              <w:bottom w:w="40" w:type="dxa"/>
              <w:right w:w="20" w:type="dxa"/>
            </w:tcMar>
            <w:vAlign w:val="bottom"/>
          </w:tcPr>
          <w:p w14:paraId="64A8925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251"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252" w14:textId="77777777" w:rsidR="008D6614" w:rsidRDefault="00866AF2">
            <w:pPr>
              <w:jc w:val="right"/>
              <w:textAlignment w:val="bottom"/>
            </w:pPr>
            <w:r>
              <w:rPr>
                <w:rFonts w:ascii="Arial" w:eastAsia="宋体" w:hAnsi="Arial" w:cs="Arial"/>
                <w:color w:val="000000"/>
                <w:sz w:val="18"/>
                <w:szCs w:val="18"/>
              </w:rPr>
              <w:t>25 </w:t>
            </w:r>
          </w:p>
        </w:tc>
        <w:tc>
          <w:tcPr>
            <w:tcW w:w="0" w:type="auto"/>
            <w:shd w:val="clear" w:color="auto" w:fill="E2E2E2"/>
            <w:tcMar>
              <w:top w:w="40" w:type="dxa"/>
              <w:bottom w:w="40" w:type="dxa"/>
              <w:right w:w="20" w:type="dxa"/>
            </w:tcMar>
            <w:vAlign w:val="bottom"/>
          </w:tcPr>
          <w:p w14:paraId="64A8925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54" w14:textId="77777777" w:rsidR="008D6614" w:rsidRDefault="008D6614">
            <w:pPr>
              <w:rPr>
                <w:rFonts w:ascii="宋体"/>
                <w:vanish/>
              </w:rPr>
            </w:pPr>
          </w:p>
        </w:tc>
        <w:tc>
          <w:tcPr>
            <w:tcW w:w="0" w:type="auto"/>
            <w:shd w:val="clear" w:color="auto" w:fill="auto"/>
            <w:vAlign w:val="center"/>
          </w:tcPr>
          <w:p w14:paraId="64A89255" w14:textId="77777777" w:rsidR="008D6614" w:rsidRDefault="008D6614">
            <w:pPr>
              <w:rPr>
                <w:rFonts w:ascii="宋体"/>
                <w:vanish/>
              </w:rPr>
            </w:pPr>
          </w:p>
        </w:tc>
        <w:tc>
          <w:tcPr>
            <w:tcW w:w="0" w:type="auto"/>
            <w:shd w:val="clear" w:color="auto" w:fill="auto"/>
            <w:vAlign w:val="center"/>
          </w:tcPr>
          <w:p w14:paraId="64A89256" w14:textId="77777777" w:rsidR="008D6614" w:rsidRDefault="008D6614">
            <w:pPr>
              <w:rPr>
                <w:rFonts w:ascii="宋体"/>
                <w:vanish/>
              </w:rPr>
            </w:pPr>
          </w:p>
        </w:tc>
        <w:tc>
          <w:tcPr>
            <w:tcW w:w="0" w:type="auto"/>
            <w:shd w:val="clear" w:color="auto" w:fill="auto"/>
            <w:vAlign w:val="center"/>
          </w:tcPr>
          <w:p w14:paraId="64A89257" w14:textId="77777777" w:rsidR="008D6614" w:rsidRDefault="008D6614">
            <w:pPr>
              <w:rPr>
                <w:rFonts w:ascii="宋体"/>
                <w:vanish/>
              </w:rPr>
            </w:pPr>
          </w:p>
        </w:tc>
        <w:tc>
          <w:tcPr>
            <w:tcW w:w="0" w:type="auto"/>
            <w:shd w:val="clear" w:color="auto" w:fill="auto"/>
            <w:vAlign w:val="center"/>
          </w:tcPr>
          <w:p w14:paraId="64A89258" w14:textId="77777777" w:rsidR="008D6614" w:rsidRDefault="008D6614">
            <w:pPr>
              <w:rPr>
                <w:rFonts w:ascii="宋体"/>
              </w:rPr>
            </w:pPr>
          </w:p>
        </w:tc>
        <w:tc>
          <w:tcPr>
            <w:tcW w:w="0" w:type="auto"/>
            <w:shd w:val="clear" w:color="auto" w:fill="auto"/>
            <w:vAlign w:val="center"/>
          </w:tcPr>
          <w:p w14:paraId="64A89259" w14:textId="77777777" w:rsidR="008D6614" w:rsidRDefault="008D6614">
            <w:pPr>
              <w:rPr>
                <w:rFonts w:ascii="宋体"/>
              </w:rPr>
            </w:pPr>
          </w:p>
        </w:tc>
        <w:tc>
          <w:tcPr>
            <w:tcW w:w="0" w:type="auto"/>
            <w:shd w:val="clear" w:color="auto" w:fill="auto"/>
            <w:vAlign w:val="center"/>
          </w:tcPr>
          <w:p w14:paraId="64A8925A" w14:textId="77777777" w:rsidR="008D6614" w:rsidRDefault="008D6614">
            <w:pPr>
              <w:rPr>
                <w:rFonts w:ascii="宋体"/>
              </w:rPr>
            </w:pPr>
          </w:p>
        </w:tc>
        <w:tc>
          <w:tcPr>
            <w:tcW w:w="0" w:type="auto"/>
            <w:shd w:val="clear" w:color="auto" w:fill="auto"/>
            <w:vAlign w:val="center"/>
          </w:tcPr>
          <w:p w14:paraId="64A8925B" w14:textId="77777777" w:rsidR="008D6614" w:rsidRDefault="008D6614">
            <w:pPr>
              <w:rPr>
                <w:rFonts w:ascii="宋体"/>
              </w:rPr>
            </w:pPr>
          </w:p>
        </w:tc>
        <w:tc>
          <w:tcPr>
            <w:tcW w:w="0" w:type="auto"/>
            <w:shd w:val="clear" w:color="auto" w:fill="auto"/>
            <w:vAlign w:val="center"/>
          </w:tcPr>
          <w:p w14:paraId="64A8925C" w14:textId="77777777" w:rsidR="008D6614" w:rsidRDefault="008D6614">
            <w:pPr>
              <w:rPr>
                <w:rFonts w:ascii="宋体"/>
              </w:rPr>
            </w:pPr>
          </w:p>
        </w:tc>
        <w:tc>
          <w:tcPr>
            <w:tcW w:w="0" w:type="auto"/>
            <w:shd w:val="clear" w:color="auto" w:fill="auto"/>
            <w:vAlign w:val="center"/>
          </w:tcPr>
          <w:p w14:paraId="64A8925D" w14:textId="77777777" w:rsidR="008D6614" w:rsidRDefault="008D6614">
            <w:pPr>
              <w:rPr>
                <w:rFonts w:ascii="宋体"/>
              </w:rPr>
            </w:pPr>
          </w:p>
        </w:tc>
      </w:tr>
      <w:tr w:rsidR="008D6614" w14:paraId="64A8926F" w14:textId="77777777">
        <w:trPr>
          <w:jc w:val="center"/>
        </w:trPr>
        <w:tc>
          <w:tcPr>
            <w:tcW w:w="0" w:type="auto"/>
            <w:gridSpan w:val="3"/>
            <w:shd w:val="clear" w:color="auto" w:fill="FFFFFF"/>
            <w:tcMar>
              <w:top w:w="40" w:type="dxa"/>
              <w:left w:w="495" w:type="dxa"/>
              <w:bottom w:w="40" w:type="dxa"/>
              <w:right w:w="20" w:type="dxa"/>
            </w:tcMar>
            <w:vAlign w:val="bottom"/>
          </w:tcPr>
          <w:p w14:paraId="64A8925F" w14:textId="77777777" w:rsidR="008D6614" w:rsidRDefault="00866AF2">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64A89260" w14:textId="77777777" w:rsidR="008D6614" w:rsidRDefault="00866AF2">
            <w:pPr>
              <w:jc w:val="right"/>
              <w:textAlignment w:val="bottom"/>
            </w:pPr>
            <w:r>
              <w:rPr>
                <w:rFonts w:ascii="Arial" w:eastAsia="宋体" w:hAnsi="Arial" w:cs="Arial"/>
                <w:color w:val="000000"/>
                <w:sz w:val="18"/>
                <w:szCs w:val="18"/>
              </w:rPr>
              <w:t>33 </w:t>
            </w:r>
          </w:p>
        </w:tc>
        <w:tc>
          <w:tcPr>
            <w:tcW w:w="0" w:type="auto"/>
            <w:shd w:val="clear" w:color="auto" w:fill="FFFFFF"/>
            <w:tcMar>
              <w:top w:w="40" w:type="dxa"/>
              <w:bottom w:w="40" w:type="dxa"/>
              <w:right w:w="20" w:type="dxa"/>
            </w:tcMar>
            <w:vAlign w:val="bottom"/>
          </w:tcPr>
          <w:p w14:paraId="64A8926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262"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263" w14:textId="77777777" w:rsidR="008D6614" w:rsidRDefault="00866AF2">
            <w:pPr>
              <w:jc w:val="right"/>
              <w:textAlignment w:val="bottom"/>
            </w:pPr>
            <w:r>
              <w:rPr>
                <w:rFonts w:ascii="Arial" w:eastAsia="宋体" w:hAnsi="Arial" w:cs="Arial"/>
                <w:color w:val="000000"/>
                <w:sz w:val="18"/>
                <w:szCs w:val="18"/>
              </w:rPr>
              <w:t>25 </w:t>
            </w:r>
          </w:p>
        </w:tc>
        <w:tc>
          <w:tcPr>
            <w:tcW w:w="0" w:type="auto"/>
            <w:shd w:val="clear" w:color="auto" w:fill="FFFFFF"/>
            <w:tcMar>
              <w:top w:w="40" w:type="dxa"/>
              <w:bottom w:w="40" w:type="dxa"/>
              <w:right w:w="20" w:type="dxa"/>
            </w:tcMar>
            <w:vAlign w:val="bottom"/>
          </w:tcPr>
          <w:p w14:paraId="64A8926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65" w14:textId="77777777" w:rsidR="008D6614" w:rsidRDefault="008D6614">
            <w:pPr>
              <w:rPr>
                <w:rFonts w:ascii="宋体"/>
                <w:vanish/>
              </w:rPr>
            </w:pPr>
          </w:p>
        </w:tc>
        <w:tc>
          <w:tcPr>
            <w:tcW w:w="0" w:type="auto"/>
            <w:shd w:val="clear" w:color="auto" w:fill="auto"/>
            <w:vAlign w:val="center"/>
          </w:tcPr>
          <w:p w14:paraId="64A89266" w14:textId="77777777" w:rsidR="008D6614" w:rsidRDefault="008D6614">
            <w:pPr>
              <w:rPr>
                <w:rFonts w:ascii="宋体"/>
                <w:vanish/>
              </w:rPr>
            </w:pPr>
          </w:p>
        </w:tc>
        <w:tc>
          <w:tcPr>
            <w:tcW w:w="0" w:type="auto"/>
            <w:shd w:val="clear" w:color="auto" w:fill="auto"/>
            <w:vAlign w:val="center"/>
          </w:tcPr>
          <w:p w14:paraId="64A89267" w14:textId="77777777" w:rsidR="008D6614" w:rsidRDefault="008D6614">
            <w:pPr>
              <w:rPr>
                <w:rFonts w:ascii="宋体"/>
                <w:vanish/>
              </w:rPr>
            </w:pPr>
          </w:p>
        </w:tc>
        <w:tc>
          <w:tcPr>
            <w:tcW w:w="0" w:type="auto"/>
            <w:shd w:val="clear" w:color="auto" w:fill="auto"/>
            <w:vAlign w:val="center"/>
          </w:tcPr>
          <w:p w14:paraId="64A89268" w14:textId="77777777" w:rsidR="008D6614" w:rsidRDefault="008D6614">
            <w:pPr>
              <w:rPr>
                <w:rFonts w:ascii="宋体"/>
                <w:vanish/>
              </w:rPr>
            </w:pPr>
          </w:p>
        </w:tc>
        <w:tc>
          <w:tcPr>
            <w:tcW w:w="0" w:type="auto"/>
            <w:shd w:val="clear" w:color="auto" w:fill="auto"/>
            <w:vAlign w:val="center"/>
          </w:tcPr>
          <w:p w14:paraId="64A89269" w14:textId="77777777" w:rsidR="008D6614" w:rsidRDefault="008D6614">
            <w:pPr>
              <w:rPr>
                <w:rFonts w:ascii="宋体"/>
              </w:rPr>
            </w:pPr>
          </w:p>
        </w:tc>
        <w:tc>
          <w:tcPr>
            <w:tcW w:w="0" w:type="auto"/>
            <w:shd w:val="clear" w:color="auto" w:fill="auto"/>
            <w:vAlign w:val="center"/>
          </w:tcPr>
          <w:p w14:paraId="64A8926A" w14:textId="77777777" w:rsidR="008D6614" w:rsidRDefault="008D6614">
            <w:pPr>
              <w:rPr>
                <w:rFonts w:ascii="宋体"/>
              </w:rPr>
            </w:pPr>
          </w:p>
        </w:tc>
        <w:tc>
          <w:tcPr>
            <w:tcW w:w="0" w:type="auto"/>
            <w:shd w:val="clear" w:color="auto" w:fill="auto"/>
            <w:vAlign w:val="center"/>
          </w:tcPr>
          <w:p w14:paraId="64A8926B" w14:textId="77777777" w:rsidR="008D6614" w:rsidRDefault="008D6614">
            <w:pPr>
              <w:rPr>
                <w:rFonts w:ascii="宋体"/>
              </w:rPr>
            </w:pPr>
          </w:p>
        </w:tc>
        <w:tc>
          <w:tcPr>
            <w:tcW w:w="0" w:type="auto"/>
            <w:shd w:val="clear" w:color="auto" w:fill="auto"/>
            <w:vAlign w:val="center"/>
          </w:tcPr>
          <w:p w14:paraId="64A8926C" w14:textId="77777777" w:rsidR="008D6614" w:rsidRDefault="008D6614">
            <w:pPr>
              <w:rPr>
                <w:rFonts w:ascii="宋体"/>
              </w:rPr>
            </w:pPr>
          </w:p>
        </w:tc>
        <w:tc>
          <w:tcPr>
            <w:tcW w:w="0" w:type="auto"/>
            <w:shd w:val="clear" w:color="auto" w:fill="auto"/>
            <w:vAlign w:val="center"/>
          </w:tcPr>
          <w:p w14:paraId="64A8926D" w14:textId="77777777" w:rsidR="008D6614" w:rsidRDefault="008D6614">
            <w:pPr>
              <w:rPr>
                <w:rFonts w:ascii="宋体"/>
              </w:rPr>
            </w:pPr>
          </w:p>
        </w:tc>
        <w:tc>
          <w:tcPr>
            <w:tcW w:w="0" w:type="auto"/>
            <w:shd w:val="clear" w:color="auto" w:fill="auto"/>
            <w:vAlign w:val="center"/>
          </w:tcPr>
          <w:p w14:paraId="64A8926E" w14:textId="77777777" w:rsidR="008D6614" w:rsidRDefault="008D6614">
            <w:pPr>
              <w:rPr>
                <w:rFonts w:ascii="宋体"/>
              </w:rPr>
            </w:pPr>
          </w:p>
        </w:tc>
      </w:tr>
      <w:tr w:rsidR="008D6614" w14:paraId="64A89280" w14:textId="77777777">
        <w:trPr>
          <w:jc w:val="center"/>
        </w:trPr>
        <w:tc>
          <w:tcPr>
            <w:tcW w:w="0" w:type="auto"/>
            <w:gridSpan w:val="3"/>
            <w:shd w:val="clear" w:color="auto" w:fill="E2E2E2"/>
            <w:tcMar>
              <w:top w:w="40" w:type="dxa"/>
              <w:left w:w="495" w:type="dxa"/>
              <w:bottom w:w="40" w:type="dxa"/>
              <w:right w:w="20" w:type="dxa"/>
            </w:tcMar>
            <w:vAlign w:val="bottom"/>
          </w:tcPr>
          <w:p w14:paraId="64A89270" w14:textId="77777777" w:rsidR="008D6614" w:rsidRDefault="00866AF2">
            <w:pPr>
              <w:textAlignment w:val="bottom"/>
            </w:pPr>
            <w:r>
              <w:rPr>
                <w:rFonts w:ascii="Arial" w:eastAsia="宋体" w:hAnsi="Arial" w:cs="Arial"/>
                <w:color w:val="000000"/>
                <w:sz w:val="18"/>
                <w:szCs w:val="18"/>
              </w:rPr>
              <w:t>Provision for transaction losses</w:t>
            </w:r>
          </w:p>
        </w:tc>
        <w:tc>
          <w:tcPr>
            <w:tcW w:w="0" w:type="auto"/>
            <w:gridSpan w:val="2"/>
            <w:shd w:val="clear" w:color="auto" w:fill="E2E2E2"/>
            <w:tcMar>
              <w:top w:w="40" w:type="dxa"/>
              <w:left w:w="20" w:type="dxa"/>
              <w:bottom w:w="40" w:type="dxa"/>
              <w:right w:w="0" w:type="dxa"/>
            </w:tcMar>
            <w:vAlign w:val="bottom"/>
          </w:tcPr>
          <w:p w14:paraId="64A89271" w14:textId="77777777" w:rsidR="008D6614" w:rsidRDefault="00866AF2">
            <w:pPr>
              <w:jc w:val="right"/>
              <w:textAlignment w:val="bottom"/>
            </w:pPr>
            <w:r>
              <w:rPr>
                <w:rFonts w:ascii="Arial" w:eastAsia="宋体" w:hAnsi="Arial" w:cs="Arial"/>
                <w:color w:val="000000"/>
                <w:sz w:val="18"/>
                <w:szCs w:val="18"/>
              </w:rPr>
              <w:t>3 </w:t>
            </w:r>
          </w:p>
        </w:tc>
        <w:tc>
          <w:tcPr>
            <w:tcW w:w="0" w:type="auto"/>
            <w:shd w:val="clear" w:color="auto" w:fill="E2E2E2"/>
            <w:tcMar>
              <w:top w:w="40" w:type="dxa"/>
              <w:bottom w:w="40" w:type="dxa"/>
              <w:right w:w="20" w:type="dxa"/>
            </w:tcMar>
            <w:vAlign w:val="bottom"/>
          </w:tcPr>
          <w:p w14:paraId="64A8927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27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274" w14:textId="77777777" w:rsidR="008D6614" w:rsidRDefault="00866AF2">
            <w:pPr>
              <w:jc w:val="right"/>
              <w:textAlignment w:val="bottom"/>
            </w:pPr>
            <w:r>
              <w:rPr>
                <w:rFonts w:ascii="Arial" w:eastAsia="宋体" w:hAnsi="Arial" w:cs="Arial"/>
                <w:color w:val="000000"/>
                <w:sz w:val="18"/>
                <w:szCs w:val="18"/>
              </w:rPr>
              <w:t>5 </w:t>
            </w:r>
          </w:p>
        </w:tc>
        <w:tc>
          <w:tcPr>
            <w:tcW w:w="0" w:type="auto"/>
            <w:shd w:val="clear" w:color="auto" w:fill="E2E2E2"/>
            <w:tcMar>
              <w:top w:w="40" w:type="dxa"/>
              <w:bottom w:w="40" w:type="dxa"/>
              <w:right w:w="20" w:type="dxa"/>
            </w:tcMar>
            <w:vAlign w:val="bottom"/>
          </w:tcPr>
          <w:p w14:paraId="64A8927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76" w14:textId="77777777" w:rsidR="008D6614" w:rsidRDefault="008D6614">
            <w:pPr>
              <w:rPr>
                <w:rFonts w:ascii="宋体"/>
                <w:vanish/>
              </w:rPr>
            </w:pPr>
          </w:p>
        </w:tc>
        <w:tc>
          <w:tcPr>
            <w:tcW w:w="0" w:type="auto"/>
            <w:shd w:val="clear" w:color="auto" w:fill="auto"/>
            <w:vAlign w:val="center"/>
          </w:tcPr>
          <w:p w14:paraId="64A89277" w14:textId="77777777" w:rsidR="008D6614" w:rsidRDefault="008D6614">
            <w:pPr>
              <w:rPr>
                <w:rFonts w:ascii="宋体"/>
                <w:vanish/>
              </w:rPr>
            </w:pPr>
          </w:p>
        </w:tc>
        <w:tc>
          <w:tcPr>
            <w:tcW w:w="0" w:type="auto"/>
            <w:shd w:val="clear" w:color="auto" w:fill="auto"/>
            <w:vAlign w:val="center"/>
          </w:tcPr>
          <w:p w14:paraId="64A89278" w14:textId="77777777" w:rsidR="008D6614" w:rsidRDefault="008D6614">
            <w:pPr>
              <w:rPr>
                <w:rFonts w:ascii="宋体"/>
                <w:vanish/>
              </w:rPr>
            </w:pPr>
          </w:p>
        </w:tc>
        <w:tc>
          <w:tcPr>
            <w:tcW w:w="0" w:type="auto"/>
            <w:shd w:val="clear" w:color="auto" w:fill="auto"/>
            <w:vAlign w:val="center"/>
          </w:tcPr>
          <w:p w14:paraId="64A89279" w14:textId="77777777" w:rsidR="008D6614" w:rsidRDefault="008D6614">
            <w:pPr>
              <w:rPr>
                <w:rFonts w:ascii="宋体"/>
                <w:vanish/>
              </w:rPr>
            </w:pPr>
          </w:p>
        </w:tc>
        <w:tc>
          <w:tcPr>
            <w:tcW w:w="0" w:type="auto"/>
            <w:shd w:val="clear" w:color="auto" w:fill="auto"/>
            <w:vAlign w:val="center"/>
          </w:tcPr>
          <w:p w14:paraId="64A8927A" w14:textId="77777777" w:rsidR="008D6614" w:rsidRDefault="008D6614">
            <w:pPr>
              <w:rPr>
                <w:rFonts w:ascii="宋体"/>
              </w:rPr>
            </w:pPr>
          </w:p>
        </w:tc>
        <w:tc>
          <w:tcPr>
            <w:tcW w:w="0" w:type="auto"/>
            <w:shd w:val="clear" w:color="auto" w:fill="auto"/>
            <w:vAlign w:val="center"/>
          </w:tcPr>
          <w:p w14:paraId="64A8927B" w14:textId="77777777" w:rsidR="008D6614" w:rsidRDefault="008D6614">
            <w:pPr>
              <w:rPr>
                <w:rFonts w:ascii="宋体"/>
              </w:rPr>
            </w:pPr>
          </w:p>
        </w:tc>
        <w:tc>
          <w:tcPr>
            <w:tcW w:w="0" w:type="auto"/>
            <w:shd w:val="clear" w:color="auto" w:fill="auto"/>
            <w:vAlign w:val="center"/>
          </w:tcPr>
          <w:p w14:paraId="64A8927C" w14:textId="77777777" w:rsidR="008D6614" w:rsidRDefault="008D6614">
            <w:pPr>
              <w:rPr>
                <w:rFonts w:ascii="宋体"/>
              </w:rPr>
            </w:pPr>
          </w:p>
        </w:tc>
        <w:tc>
          <w:tcPr>
            <w:tcW w:w="0" w:type="auto"/>
            <w:shd w:val="clear" w:color="auto" w:fill="auto"/>
            <w:vAlign w:val="center"/>
          </w:tcPr>
          <w:p w14:paraId="64A8927D" w14:textId="77777777" w:rsidR="008D6614" w:rsidRDefault="008D6614">
            <w:pPr>
              <w:rPr>
                <w:rFonts w:ascii="宋体"/>
              </w:rPr>
            </w:pPr>
          </w:p>
        </w:tc>
        <w:tc>
          <w:tcPr>
            <w:tcW w:w="0" w:type="auto"/>
            <w:shd w:val="clear" w:color="auto" w:fill="auto"/>
            <w:vAlign w:val="center"/>
          </w:tcPr>
          <w:p w14:paraId="64A8927E" w14:textId="77777777" w:rsidR="008D6614" w:rsidRDefault="008D6614">
            <w:pPr>
              <w:rPr>
                <w:rFonts w:ascii="宋体"/>
              </w:rPr>
            </w:pPr>
          </w:p>
        </w:tc>
        <w:tc>
          <w:tcPr>
            <w:tcW w:w="0" w:type="auto"/>
            <w:shd w:val="clear" w:color="auto" w:fill="auto"/>
            <w:vAlign w:val="center"/>
          </w:tcPr>
          <w:p w14:paraId="64A8927F" w14:textId="77777777" w:rsidR="008D6614" w:rsidRDefault="008D6614">
            <w:pPr>
              <w:rPr>
                <w:rFonts w:ascii="宋体"/>
              </w:rPr>
            </w:pPr>
          </w:p>
        </w:tc>
      </w:tr>
      <w:tr w:rsidR="008D6614" w14:paraId="64A89291" w14:textId="77777777">
        <w:trPr>
          <w:jc w:val="center"/>
        </w:trPr>
        <w:tc>
          <w:tcPr>
            <w:tcW w:w="0" w:type="auto"/>
            <w:gridSpan w:val="3"/>
            <w:shd w:val="clear" w:color="auto" w:fill="FFFFFF"/>
            <w:tcMar>
              <w:top w:w="40" w:type="dxa"/>
              <w:left w:w="495" w:type="dxa"/>
              <w:bottom w:w="40" w:type="dxa"/>
              <w:right w:w="20" w:type="dxa"/>
            </w:tcMar>
            <w:vAlign w:val="bottom"/>
          </w:tcPr>
          <w:p w14:paraId="64A89281" w14:textId="77777777" w:rsidR="008D6614" w:rsidRDefault="00866AF2">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FFFFFF"/>
            <w:tcMar>
              <w:top w:w="40" w:type="dxa"/>
              <w:left w:w="20" w:type="dxa"/>
              <w:bottom w:w="40" w:type="dxa"/>
              <w:right w:w="0" w:type="dxa"/>
            </w:tcMar>
            <w:vAlign w:val="bottom"/>
          </w:tcPr>
          <w:p w14:paraId="64A89282" w14:textId="77777777" w:rsidR="008D6614" w:rsidRDefault="00866AF2">
            <w:pPr>
              <w:jc w:val="right"/>
              <w:textAlignment w:val="bottom"/>
            </w:pPr>
            <w:r>
              <w:rPr>
                <w:rFonts w:ascii="Arial" w:eastAsia="宋体" w:hAnsi="Arial" w:cs="Arial"/>
                <w:color w:val="000000"/>
                <w:sz w:val="18"/>
                <w:szCs w:val="18"/>
              </w:rPr>
              <w:t>1 </w:t>
            </w:r>
          </w:p>
        </w:tc>
        <w:tc>
          <w:tcPr>
            <w:tcW w:w="0" w:type="auto"/>
            <w:shd w:val="clear" w:color="auto" w:fill="FFFFFF"/>
            <w:tcMar>
              <w:top w:w="40" w:type="dxa"/>
              <w:bottom w:w="40" w:type="dxa"/>
              <w:right w:w="20" w:type="dxa"/>
            </w:tcMar>
            <w:vAlign w:val="bottom"/>
          </w:tcPr>
          <w:p w14:paraId="64A8928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28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285"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928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87" w14:textId="77777777" w:rsidR="008D6614" w:rsidRDefault="008D6614">
            <w:pPr>
              <w:rPr>
                <w:rFonts w:ascii="宋体"/>
                <w:vanish/>
              </w:rPr>
            </w:pPr>
          </w:p>
        </w:tc>
        <w:tc>
          <w:tcPr>
            <w:tcW w:w="0" w:type="auto"/>
            <w:shd w:val="clear" w:color="auto" w:fill="auto"/>
            <w:vAlign w:val="center"/>
          </w:tcPr>
          <w:p w14:paraId="64A89288" w14:textId="77777777" w:rsidR="008D6614" w:rsidRDefault="008D6614">
            <w:pPr>
              <w:rPr>
                <w:rFonts w:ascii="宋体"/>
                <w:vanish/>
              </w:rPr>
            </w:pPr>
          </w:p>
        </w:tc>
        <w:tc>
          <w:tcPr>
            <w:tcW w:w="0" w:type="auto"/>
            <w:shd w:val="clear" w:color="auto" w:fill="auto"/>
            <w:vAlign w:val="center"/>
          </w:tcPr>
          <w:p w14:paraId="64A89289" w14:textId="77777777" w:rsidR="008D6614" w:rsidRDefault="008D6614">
            <w:pPr>
              <w:rPr>
                <w:rFonts w:ascii="宋体"/>
                <w:vanish/>
              </w:rPr>
            </w:pPr>
          </w:p>
        </w:tc>
        <w:tc>
          <w:tcPr>
            <w:tcW w:w="0" w:type="auto"/>
            <w:shd w:val="clear" w:color="auto" w:fill="auto"/>
            <w:vAlign w:val="center"/>
          </w:tcPr>
          <w:p w14:paraId="64A8928A" w14:textId="77777777" w:rsidR="008D6614" w:rsidRDefault="008D6614">
            <w:pPr>
              <w:rPr>
                <w:rFonts w:ascii="宋体"/>
                <w:vanish/>
              </w:rPr>
            </w:pPr>
          </w:p>
        </w:tc>
        <w:tc>
          <w:tcPr>
            <w:tcW w:w="0" w:type="auto"/>
            <w:shd w:val="clear" w:color="auto" w:fill="auto"/>
            <w:vAlign w:val="center"/>
          </w:tcPr>
          <w:p w14:paraId="64A8928B" w14:textId="77777777" w:rsidR="008D6614" w:rsidRDefault="008D6614">
            <w:pPr>
              <w:rPr>
                <w:rFonts w:ascii="宋体"/>
              </w:rPr>
            </w:pPr>
          </w:p>
        </w:tc>
        <w:tc>
          <w:tcPr>
            <w:tcW w:w="0" w:type="auto"/>
            <w:shd w:val="clear" w:color="auto" w:fill="auto"/>
            <w:vAlign w:val="center"/>
          </w:tcPr>
          <w:p w14:paraId="64A8928C" w14:textId="77777777" w:rsidR="008D6614" w:rsidRDefault="008D6614">
            <w:pPr>
              <w:rPr>
                <w:rFonts w:ascii="宋体"/>
              </w:rPr>
            </w:pPr>
          </w:p>
        </w:tc>
        <w:tc>
          <w:tcPr>
            <w:tcW w:w="0" w:type="auto"/>
            <w:shd w:val="clear" w:color="auto" w:fill="auto"/>
            <w:vAlign w:val="center"/>
          </w:tcPr>
          <w:p w14:paraId="64A8928D" w14:textId="77777777" w:rsidR="008D6614" w:rsidRDefault="008D6614">
            <w:pPr>
              <w:rPr>
                <w:rFonts w:ascii="宋体"/>
              </w:rPr>
            </w:pPr>
          </w:p>
        </w:tc>
        <w:tc>
          <w:tcPr>
            <w:tcW w:w="0" w:type="auto"/>
            <w:shd w:val="clear" w:color="auto" w:fill="auto"/>
            <w:vAlign w:val="center"/>
          </w:tcPr>
          <w:p w14:paraId="64A8928E" w14:textId="77777777" w:rsidR="008D6614" w:rsidRDefault="008D6614">
            <w:pPr>
              <w:rPr>
                <w:rFonts w:ascii="宋体"/>
              </w:rPr>
            </w:pPr>
          </w:p>
        </w:tc>
        <w:tc>
          <w:tcPr>
            <w:tcW w:w="0" w:type="auto"/>
            <w:shd w:val="clear" w:color="auto" w:fill="auto"/>
            <w:vAlign w:val="center"/>
          </w:tcPr>
          <w:p w14:paraId="64A8928F" w14:textId="77777777" w:rsidR="008D6614" w:rsidRDefault="008D6614">
            <w:pPr>
              <w:rPr>
                <w:rFonts w:ascii="宋体"/>
              </w:rPr>
            </w:pPr>
          </w:p>
        </w:tc>
        <w:tc>
          <w:tcPr>
            <w:tcW w:w="0" w:type="auto"/>
            <w:shd w:val="clear" w:color="auto" w:fill="auto"/>
            <w:vAlign w:val="center"/>
          </w:tcPr>
          <w:p w14:paraId="64A89290" w14:textId="77777777" w:rsidR="008D6614" w:rsidRDefault="008D6614">
            <w:pPr>
              <w:rPr>
                <w:rFonts w:ascii="宋体"/>
              </w:rPr>
            </w:pPr>
          </w:p>
        </w:tc>
      </w:tr>
      <w:tr w:rsidR="008D6614" w14:paraId="64A892A2" w14:textId="77777777">
        <w:trPr>
          <w:jc w:val="center"/>
        </w:trPr>
        <w:tc>
          <w:tcPr>
            <w:tcW w:w="0" w:type="auto"/>
            <w:gridSpan w:val="3"/>
            <w:shd w:val="clear" w:color="auto" w:fill="E2E2E2"/>
            <w:tcMar>
              <w:top w:w="40" w:type="dxa"/>
              <w:left w:w="855" w:type="dxa"/>
              <w:bottom w:w="40" w:type="dxa"/>
              <w:right w:w="20" w:type="dxa"/>
            </w:tcMar>
            <w:vAlign w:val="bottom"/>
          </w:tcPr>
          <w:p w14:paraId="64A89292" w14:textId="77777777" w:rsidR="008D6614" w:rsidRDefault="00866AF2">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9293" w14:textId="77777777" w:rsidR="008D6614" w:rsidRDefault="00866AF2">
            <w:pPr>
              <w:jc w:val="right"/>
              <w:textAlignment w:val="bottom"/>
            </w:pPr>
            <w:r>
              <w:rPr>
                <w:rFonts w:ascii="Arial" w:eastAsia="宋体" w:hAnsi="Arial" w:cs="Arial"/>
                <w:color w:val="000000"/>
                <w:sz w:val="18"/>
                <w:szCs w:val="18"/>
              </w:rPr>
              <w:t>117 </w:t>
            </w:r>
          </w:p>
        </w:tc>
        <w:tc>
          <w:tcPr>
            <w:tcW w:w="0" w:type="auto"/>
            <w:tcBorders>
              <w:top w:val="single" w:sz="8" w:space="0" w:color="000000"/>
            </w:tcBorders>
            <w:shd w:val="clear" w:color="auto" w:fill="E2E2E2"/>
            <w:tcMar>
              <w:top w:w="40" w:type="dxa"/>
              <w:bottom w:w="40" w:type="dxa"/>
              <w:right w:w="20" w:type="dxa"/>
            </w:tcMar>
            <w:vAlign w:val="bottom"/>
          </w:tcPr>
          <w:p w14:paraId="64A8929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295"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9296" w14:textId="77777777" w:rsidR="008D6614" w:rsidRDefault="00866AF2">
            <w:pPr>
              <w:jc w:val="right"/>
              <w:textAlignment w:val="bottom"/>
            </w:pPr>
            <w:r>
              <w:rPr>
                <w:rFonts w:ascii="Arial" w:eastAsia="宋体" w:hAnsi="Arial" w:cs="Arial"/>
                <w:color w:val="000000"/>
                <w:sz w:val="18"/>
                <w:szCs w:val="18"/>
              </w:rPr>
              <w:t>152 </w:t>
            </w:r>
          </w:p>
        </w:tc>
        <w:tc>
          <w:tcPr>
            <w:tcW w:w="0" w:type="auto"/>
            <w:tcBorders>
              <w:top w:val="single" w:sz="8" w:space="0" w:color="000000"/>
            </w:tcBorders>
            <w:shd w:val="clear" w:color="auto" w:fill="E2E2E2"/>
            <w:tcMar>
              <w:top w:w="40" w:type="dxa"/>
              <w:bottom w:w="40" w:type="dxa"/>
              <w:right w:w="20" w:type="dxa"/>
            </w:tcMar>
            <w:vAlign w:val="bottom"/>
          </w:tcPr>
          <w:p w14:paraId="64A8929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98" w14:textId="77777777" w:rsidR="008D6614" w:rsidRDefault="008D6614">
            <w:pPr>
              <w:rPr>
                <w:rFonts w:ascii="宋体"/>
                <w:vanish/>
              </w:rPr>
            </w:pPr>
          </w:p>
        </w:tc>
        <w:tc>
          <w:tcPr>
            <w:tcW w:w="0" w:type="auto"/>
            <w:shd w:val="clear" w:color="auto" w:fill="auto"/>
            <w:vAlign w:val="center"/>
          </w:tcPr>
          <w:p w14:paraId="64A89299" w14:textId="77777777" w:rsidR="008D6614" w:rsidRDefault="008D6614">
            <w:pPr>
              <w:rPr>
                <w:rFonts w:ascii="宋体"/>
                <w:vanish/>
              </w:rPr>
            </w:pPr>
          </w:p>
        </w:tc>
        <w:tc>
          <w:tcPr>
            <w:tcW w:w="0" w:type="auto"/>
            <w:shd w:val="clear" w:color="auto" w:fill="auto"/>
            <w:vAlign w:val="center"/>
          </w:tcPr>
          <w:p w14:paraId="64A8929A" w14:textId="77777777" w:rsidR="008D6614" w:rsidRDefault="008D6614">
            <w:pPr>
              <w:rPr>
                <w:rFonts w:ascii="宋体"/>
                <w:vanish/>
              </w:rPr>
            </w:pPr>
          </w:p>
        </w:tc>
        <w:tc>
          <w:tcPr>
            <w:tcW w:w="0" w:type="auto"/>
            <w:shd w:val="clear" w:color="auto" w:fill="auto"/>
            <w:vAlign w:val="center"/>
          </w:tcPr>
          <w:p w14:paraId="64A8929B" w14:textId="77777777" w:rsidR="008D6614" w:rsidRDefault="008D6614">
            <w:pPr>
              <w:rPr>
                <w:rFonts w:ascii="宋体"/>
                <w:vanish/>
              </w:rPr>
            </w:pPr>
          </w:p>
        </w:tc>
        <w:tc>
          <w:tcPr>
            <w:tcW w:w="0" w:type="auto"/>
            <w:shd w:val="clear" w:color="auto" w:fill="auto"/>
            <w:vAlign w:val="center"/>
          </w:tcPr>
          <w:p w14:paraId="64A8929C" w14:textId="77777777" w:rsidR="008D6614" w:rsidRDefault="008D6614">
            <w:pPr>
              <w:rPr>
                <w:rFonts w:ascii="宋体"/>
              </w:rPr>
            </w:pPr>
          </w:p>
        </w:tc>
        <w:tc>
          <w:tcPr>
            <w:tcW w:w="0" w:type="auto"/>
            <w:shd w:val="clear" w:color="auto" w:fill="auto"/>
            <w:vAlign w:val="center"/>
          </w:tcPr>
          <w:p w14:paraId="64A8929D" w14:textId="77777777" w:rsidR="008D6614" w:rsidRDefault="008D6614">
            <w:pPr>
              <w:rPr>
                <w:rFonts w:ascii="宋体"/>
              </w:rPr>
            </w:pPr>
          </w:p>
        </w:tc>
        <w:tc>
          <w:tcPr>
            <w:tcW w:w="0" w:type="auto"/>
            <w:shd w:val="clear" w:color="auto" w:fill="auto"/>
            <w:vAlign w:val="center"/>
          </w:tcPr>
          <w:p w14:paraId="64A8929E" w14:textId="77777777" w:rsidR="008D6614" w:rsidRDefault="008D6614">
            <w:pPr>
              <w:rPr>
                <w:rFonts w:ascii="宋体"/>
              </w:rPr>
            </w:pPr>
          </w:p>
        </w:tc>
        <w:tc>
          <w:tcPr>
            <w:tcW w:w="0" w:type="auto"/>
            <w:shd w:val="clear" w:color="auto" w:fill="auto"/>
            <w:vAlign w:val="center"/>
          </w:tcPr>
          <w:p w14:paraId="64A8929F" w14:textId="77777777" w:rsidR="008D6614" w:rsidRDefault="008D6614">
            <w:pPr>
              <w:rPr>
                <w:rFonts w:ascii="宋体"/>
              </w:rPr>
            </w:pPr>
          </w:p>
        </w:tc>
        <w:tc>
          <w:tcPr>
            <w:tcW w:w="0" w:type="auto"/>
            <w:shd w:val="clear" w:color="auto" w:fill="auto"/>
            <w:vAlign w:val="center"/>
          </w:tcPr>
          <w:p w14:paraId="64A892A0" w14:textId="77777777" w:rsidR="008D6614" w:rsidRDefault="008D6614">
            <w:pPr>
              <w:rPr>
                <w:rFonts w:ascii="宋体"/>
              </w:rPr>
            </w:pPr>
          </w:p>
        </w:tc>
        <w:tc>
          <w:tcPr>
            <w:tcW w:w="0" w:type="auto"/>
            <w:shd w:val="clear" w:color="auto" w:fill="auto"/>
            <w:vAlign w:val="center"/>
          </w:tcPr>
          <w:p w14:paraId="64A892A1" w14:textId="77777777" w:rsidR="008D6614" w:rsidRDefault="008D6614">
            <w:pPr>
              <w:rPr>
                <w:rFonts w:ascii="宋体"/>
              </w:rPr>
            </w:pPr>
          </w:p>
        </w:tc>
      </w:tr>
      <w:tr w:rsidR="008D6614" w14:paraId="64A892B3" w14:textId="77777777">
        <w:trPr>
          <w:jc w:val="center"/>
        </w:trPr>
        <w:tc>
          <w:tcPr>
            <w:tcW w:w="0" w:type="auto"/>
            <w:gridSpan w:val="3"/>
            <w:shd w:val="clear" w:color="auto" w:fill="FFFFFF"/>
            <w:tcMar>
              <w:top w:w="40" w:type="dxa"/>
              <w:left w:w="20" w:type="dxa"/>
              <w:bottom w:w="40" w:type="dxa"/>
              <w:right w:w="20" w:type="dxa"/>
            </w:tcMar>
            <w:vAlign w:val="bottom"/>
          </w:tcPr>
          <w:p w14:paraId="64A892A3" w14:textId="77777777" w:rsidR="008D6614" w:rsidRDefault="00866AF2">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FFFFFF"/>
            <w:tcMar>
              <w:top w:w="40" w:type="dxa"/>
              <w:left w:w="20" w:type="dxa"/>
              <w:bottom w:w="40" w:type="dxa"/>
              <w:right w:w="0" w:type="dxa"/>
            </w:tcMar>
            <w:vAlign w:val="bottom"/>
          </w:tcPr>
          <w:p w14:paraId="64A892A4" w14:textId="77777777" w:rsidR="008D6614" w:rsidRDefault="00866AF2">
            <w:pPr>
              <w:jc w:val="right"/>
              <w:textAlignment w:val="bottom"/>
            </w:pPr>
            <w:r>
              <w:rPr>
                <w:rFonts w:ascii="Arial" w:eastAsia="宋体" w:hAnsi="Arial" w:cs="Arial"/>
                <w:color w:val="000000"/>
                <w:sz w:val="18"/>
                <w:szCs w:val="18"/>
              </w:rPr>
              <w:t>(48)</w:t>
            </w:r>
          </w:p>
        </w:tc>
        <w:tc>
          <w:tcPr>
            <w:tcW w:w="0" w:type="auto"/>
            <w:shd w:val="clear" w:color="auto" w:fill="FFFFFF"/>
            <w:tcMar>
              <w:top w:w="40" w:type="dxa"/>
              <w:bottom w:w="40" w:type="dxa"/>
              <w:right w:w="20" w:type="dxa"/>
            </w:tcMar>
            <w:vAlign w:val="bottom"/>
          </w:tcPr>
          <w:p w14:paraId="64A892A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2A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2A7" w14:textId="77777777" w:rsidR="008D6614" w:rsidRDefault="00866AF2">
            <w:pPr>
              <w:jc w:val="right"/>
              <w:textAlignment w:val="bottom"/>
            </w:pPr>
            <w:r>
              <w:rPr>
                <w:rFonts w:ascii="Arial" w:eastAsia="宋体" w:hAnsi="Arial" w:cs="Arial"/>
                <w:color w:val="000000"/>
                <w:sz w:val="18"/>
                <w:szCs w:val="18"/>
              </w:rPr>
              <w:t>16 </w:t>
            </w:r>
          </w:p>
        </w:tc>
        <w:tc>
          <w:tcPr>
            <w:tcW w:w="0" w:type="auto"/>
            <w:shd w:val="clear" w:color="auto" w:fill="FFFFFF"/>
            <w:tcMar>
              <w:top w:w="40" w:type="dxa"/>
              <w:bottom w:w="40" w:type="dxa"/>
              <w:right w:w="20" w:type="dxa"/>
            </w:tcMar>
            <w:vAlign w:val="bottom"/>
          </w:tcPr>
          <w:p w14:paraId="64A892A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A9" w14:textId="77777777" w:rsidR="008D6614" w:rsidRDefault="008D6614">
            <w:pPr>
              <w:rPr>
                <w:rFonts w:ascii="宋体"/>
                <w:vanish/>
              </w:rPr>
            </w:pPr>
          </w:p>
        </w:tc>
        <w:tc>
          <w:tcPr>
            <w:tcW w:w="0" w:type="auto"/>
            <w:shd w:val="clear" w:color="auto" w:fill="auto"/>
            <w:vAlign w:val="center"/>
          </w:tcPr>
          <w:p w14:paraId="64A892AA" w14:textId="77777777" w:rsidR="008D6614" w:rsidRDefault="008D6614">
            <w:pPr>
              <w:rPr>
                <w:rFonts w:ascii="宋体"/>
                <w:vanish/>
              </w:rPr>
            </w:pPr>
          </w:p>
        </w:tc>
        <w:tc>
          <w:tcPr>
            <w:tcW w:w="0" w:type="auto"/>
            <w:shd w:val="clear" w:color="auto" w:fill="auto"/>
            <w:vAlign w:val="center"/>
          </w:tcPr>
          <w:p w14:paraId="64A892AB" w14:textId="77777777" w:rsidR="008D6614" w:rsidRDefault="008D6614">
            <w:pPr>
              <w:rPr>
                <w:rFonts w:ascii="宋体"/>
                <w:vanish/>
              </w:rPr>
            </w:pPr>
          </w:p>
        </w:tc>
        <w:tc>
          <w:tcPr>
            <w:tcW w:w="0" w:type="auto"/>
            <w:shd w:val="clear" w:color="auto" w:fill="auto"/>
            <w:vAlign w:val="center"/>
          </w:tcPr>
          <w:p w14:paraId="64A892AC" w14:textId="77777777" w:rsidR="008D6614" w:rsidRDefault="008D6614">
            <w:pPr>
              <w:rPr>
                <w:rFonts w:ascii="宋体"/>
                <w:vanish/>
              </w:rPr>
            </w:pPr>
          </w:p>
        </w:tc>
        <w:tc>
          <w:tcPr>
            <w:tcW w:w="0" w:type="auto"/>
            <w:shd w:val="clear" w:color="auto" w:fill="auto"/>
            <w:vAlign w:val="center"/>
          </w:tcPr>
          <w:p w14:paraId="64A892AD" w14:textId="77777777" w:rsidR="008D6614" w:rsidRDefault="008D6614">
            <w:pPr>
              <w:rPr>
                <w:rFonts w:ascii="宋体"/>
              </w:rPr>
            </w:pPr>
          </w:p>
        </w:tc>
        <w:tc>
          <w:tcPr>
            <w:tcW w:w="0" w:type="auto"/>
            <w:shd w:val="clear" w:color="auto" w:fill="auto"/>
            <w:vAlign w:val="center"/>
          </w:tcPr>
          <w:p w14:paraId="64A892AE" w14:textId="77777777" w:rsidR="008D6614" w:rsidRDefault="008D6614">
            <w:pPr>
              <w:rPr>
                <w:rFonts w:ascii="宋体"/>
              </w:rPr>
            </w:pPr>
          </w:p>
        </w:tc>
        <w:tc>
          <w:tcPr>
            <w:tcW w:w="0" w:type="auto"/>
            <w:shd w:val="clear" w:color="auto" w:fill="auto"/>
            <w:vAlign w:val="center"/>
          </w:tcPr>
          <w:p w14:paraId="64A892AF" w14:textId="77777777" w:rsidR="008D6614" w:rsidRDefault="008D6614">
            <w:pPr>
              <w:rPr>
                <w:rFonts w:ascii="宋体"/>
              </w:rPr>
            </w:pPr>
          </w:p>
        </w:tc>
        <w:tc>
          <w:tcPr>
            <w:tcW w:w="0" w:type="auto"/>
            <w:shd w:val="clear" w:color="auto" w:fill="auto"/>
            <w:vAlign w:val="center"/>
          </w:tcPr>
          <w:p w14:paraId="64A892B0" w14:textId="77777777" w:rsidR="008D6614" w:rsidRDefault="008D6614">
            <w:pPr>
              <w:rPr>
                <w:rFonts w:ascii="宋体"/>
              </w:rPr>
            </w:pPr>
          </w:p>
        </w:tc>
        <w:tc>
          <w:tcPr>
            <w:tcW w:w="0" w:type="auto"/>
            <w:shd w:val="clear" w:color="auto" w:fill="auto"/>
            <w:vAlign w:val="center"/>
          </w:tcPr>
          <w:p w14:paraId="64A892B1" w14:textId="77777777" w:rsidR="008D6614" w:rsidRDefault="008D6614">
            <w:pPr>
              <w:rPr>
                <w:rFonts w:ascii="宋体"/>
              </w:rPr>
            </w:pPr>
          </w:p>
        </w:tc>
        <w:tc>
          <w:tcPr>
            <w:tcW w:w="0" w:type="auto"/>
            <w:shd w:val="clear" w:color="auto" w:fill="auto"/>
            <w:vAlign w:val="center"/>
          </w:tcPr>
          <w:p w14:paraId="64A892B2" w14:textId="77777777" w:rsidR="008D6614" w:rsidRDefault="008D6614">
            <w:pPr>
              <w:rPr>
                <w:rFonts w:ascii="宋体"/>
              </w:rPr>
            </w:pPr>
          </w:p>
        </w:tc>
      </w:tr>
      <w:tr w:rsidR="008D6614" w14:paraId="64A892C4" w14:textId="77777777">
        <w:trPr>
          <w:jc w:val="center"/>
        </w:trPr>
        <w:tc>
          <w:tcPr>
            <w:tcW w:w="0" w:type="auto"/>
            <w:gridSpan w:val="3"/>
            <w:shd w:val="clear" w:color="auto" w:fill="E2E2E2"/>
            <w:tcMar>
              <w:top w:w="40" w:type="dxa"/>
              <w:left w:w="20" w:type="dxa"/>
              <w:bottom w:w="40" w:type="dxa"/>
              <w:right w:w="20" w:type="dxa"/>
            </w:tcMar>
            <w:vAlign w:val="bottom"/>
          </w:tcPr>
          <w:p w14:paraId="64A892B4" w14:textId="77777777" w:rsidR="008D6614" w:rsidRDefault="00866AF2">
            <w:pPr>
              <w:textAlignment w:val="bottom"/>
            </w:pPr>
            <w:r>
              <w:rPr>
                <w:rFonts w:ascii="Arial" w:eastAsia="宋体" w:hAnsi="Arial" w:cs="Arial"/>
                <w:color w:val="000000"/>
                <w:sz w:val="18"/>
                <w:szCs w:val="18"/>
              </w:rPr>
              <w:t>Pre-tax gain on sale</w:t>
            </w:r>
          </w:p>
        </w:tc>
        <w:tc>
          <w:tcPr>
            <w:tcW w:w="0" w:type="auto"/>
            <w:gridSpan w:val="2"/>
            <w:shd w:val="clear" w:color="auto" w:fill="E2E2E2"/>
            <w:tcMar>
              <w:top w:w="40" w:type="dxa"/>
              <w:left w:w="20" w:type="dxa"/>
              <w:bottom w:w="40" w:type="dxa"/>
              <w:right w:w="0" w:type="dxa"/>
            </w:tcMar>
            <w:vAlign w:val="bottom"/>
          </w:tcPr>
          <w:p w14:paraId="64A892B5" w14:textId="77777777" w:rsidR="008D6614" w:rsidRDefault="00866AF2">
            <w:pPr>
              <w:jc w:val="right"/>
              <w:textAlignment w:val="bottom"/>
            </w:pPr>
            <w:r>
              <w:rPr>
                <w:rFonts w:ascii="Arial" w:eastAsia="宋体" w:hAnsi="Arial" w:cs="Arial"/>
                <w:color w:val="000000"/>
                <w:sz w:val="18"/>
                <w:szCs w:val="18"/>
              </w:rPr>
              <w:t>3,876 </w:t>
            </w:r>
          </w:p>
        </w:tc>
        <w:tc>
          <w:tcPr>
            <w:tcW w:w="0" w:type="auto"/>
            <w:shd w:val="clear" w:color="auto" w:fill="E2E2E2"/>
            <w:tcMar>
              <w:top w:w="40" w:type="dxa"/>
              <w:bottom w:w="40" w:type="dxa"/>
              <w:right w:w="20" w:type="dxa"/>
            </w:tcMar>
            <w:vAlign w:val="bottom"/>
          </w:tcPr>
          <w:p w14:paraId="64A892B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2B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2B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92B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BA" w14:textId="77777777" w:rsidR="008D6614" w:rsidRDefault="008D6614">
            <w:pPr>
              <w:rPr>
                <w:rFonts w:ascii="宋体"/>
                <w:vanish/>
              </w:rPr>
            </w:pPr>
          </w:p>
        </w:tc>
        <w:tc>
          <w:tcPr>
            <w:tcW w:w="0" w:type="auto"/>
            <w:shd w:val="clear" w:color="auto" w:fill="auto"/>
            <w:vAlign w:val="center"/>
          </w:tcPr>
          <w:p w14:paraId="64A892BB" w14:textId="77777777" w:rsidR="008D6614" w:rsidRDefault="008D6614">
            <w:pPr>
              <w:rPr>
                <w:rFonts w:ascii="宋体"/>
                <w:vanish/>
              </w:rPr>
            </w:pPr>
          </w:p>
        </w:tc>
        <w:tc>
          <w:tcPr>
            <w:tcW w:w="0" w:type="auto"/>
            <w:shd w:val="clear" w:color="auto" w:fill="auto"/>
            <w:vAlign w:val="center"/>
          </w:tcPr>
          <w:p w14:paraId="64A892BC" w14:textId="77777777" w:rsidR="008D6614" w:rsidRDefault="008D6614">
            <w:pPr>
              <w:rPr>
                <w:rFonts w:ascii="宋体"/>
                <w:vanish/>
              </w:rPr>
            </w:pPr>
          </w:p>
        </w:tc>
        <w:tc>
          <w:tcPr>
            <w:tcW w:w="0" w:type="auto"/>
            <w:shd w:val="clear" w:color="auto" w:fill="auto"/>
            <w:vAlign w:val="center"/>
          </w:tcPr>
          <w:p w14:paraId="64A892BD" w14:textId="77777777" w:rsidR="008D6614" w:rsidRDefault="008D6614">
            <w:pPr>
              <w:rPr>
                <w:rFonts w:ascii="宋体"/>
                <w:vanish/>
              </w:rPr>
            </w:pPr>
          </w:p>
        </w:tc>
        <w:tc>
          <w:tcPr>
            <w:tcW w:w="0" w:type="auto"/>
            <w:shd w:val="clear" w:color="auto" w:fill="auto"/>
            <w:vAlign w:val="center"/>
          </w:tcPr>
          <w:p w14:paraId="64A892BE" w14:textId="77777777" w:rsidR="008D6614" w:rsidRDefault="008D6614">
            <w:pPr>
              <w:rPr>
                <w:rFonts w:ascii="宋体"/>
              </w:rPr>
            </w:pPr>
          </w:p>
        </w:tc>
        <w:tc>
          <w:tcPr>
            <w:tcW w:w="0" w:type="auto"/>
            <w:shd w:val="clear" w:color="auto" w:fill="auto"/>
            <w:vAlign w:val="center"/>
          </w:tcPr>
          <w:p w14:paraId="64A892BF" w14:textId="77777777" w:rsidR="008D6614" w:rsidRDefault="008D6614">
            <w:pPr>
              <w:rPr>
                <w:rFonts w:ascii="宋体"/>
              </w:rPr>
            </w:pPr>
          </w:p>
        </w:tc>
        <w:tc>
          <w:tcPr>
            <w:tcW w:w="0" w:type="auto"/>
            <w:shd w:val="clear" w:color="auto" w:fill="auto"/>
            <w:vAlign w:val="center"/>
          </w:tcPr>
          <w:p w14:paraId="64A892C0" w14:textId="77777777" w:rsidR="008D6614" w:rsidRDefault="008D6614">
            <w:pPr>
              <w:rPr>
                <w:rFonts w:ascii="宋体"/>
              </w:rPr>
            </w:pPr>
          </w:p>
        </w:tc>
        <w:tc>
          <w:tcPr>
            <w:tcW w:w="0" w:type="auto"/>
            <w:shd w:val="clear" w:color="auto" w:fill="auto"/>
            <w:vAlign w:val="center"/>
          </w:tcPr>
          <w:p w14:paraId="64A892C1" w14:textId="77777777" w:rsidR="008D6614" w:rsidRDefault="008D6614">
            <w:pPr>
              <w:rPr>
                <w:rFonts w:ascii="宋体"/>
              </w:rPr>
            </w:pPr>
          </w:p>
        </w:tc>
        <w:tc>
          <w:tcPr>
            <w:tcW w:w="0" w:type="auto"/>
            <w:shd w:val="clear" w:color="auto" w:fill="auto"/>
            <w:vAlign w:val="center"/>
          </w:tcPr>
          <w:p w14:paraId="64A892C2" w14:textId="77777777" w:rsidR="008D6614" w:rsidRDefault="008D6614">
            <w:pPr>
              <w:rPr>
                <w:rFonts w:ascii="宋体"/>
              </w:rPr>
            </w:pPr>
          </w:p>
        </w:tc>
        <w:tc>
          <w:tcPr>
            <w:tcW w:w="0" w:type="auto"/>
            <w:shd w:val="clear" w:color="auto" w:fill="auto"/>
            <w:vAlign w:val="center"/>
          </w:tcPr>
          <w:p w14:paraId="64A892C3" w14:textId="77777777" w:rsidR="008D6614" w:rsidRDefault="008D6614">
            <w:pPr>
              <w:rPr>
                <w:rFonts w:ascii="宋体"/>
              </w:rPr>
            </w:pPr>
          </w:p>
        </w:tc>
      </w:tr>
      <w:tr w:rsidR="008D6614" w14:paraId="64A892D5" w14:textId="77777777">
        <w:trPr>
          <w:jc w:val="center"/>
        </w:trPr>
        <w:tc>
          <w:tcPr>
            <w:tcW w:w="0" w:type="auto"/>
            <w:gridSpan w:val="3"/>
            <w:shd w:val="clear" w:color="auto" w:fill="FFFFFF"/>
            <w:tcMar>
              <w:top w:w="40" w:type="dxa"/>
              <w:left w:w="20" w:type="dxa"/>
              <w:bottom w:w="40" w:type="dxa"/>
              <w:right w:w="20" w:type="dxa"/>
            </w:tcMar>
            <w:vAlign w:val="bottom"/>
          </w:tcPr>
          <w:p w14:paraId="64A892C5" w14:textId="77777777" w:rsidR="008D6614" w:rsidRDefault="00866AF2">
            <w:pPr>
              <w:textAlignment w:val="bottom"/>
            </w:pPr>
            <w:r>
              <w:rPr>
                <w:rFonts w:ascii="Arial" w:eastAsia="宋体" w:hAnsi="Arial" w:cs="Arial"/>
                <w:color w:val="000000"/>
                <w:sz w:val="18"/>
                <w:szCs w:val="18"/>
              </w:rPr>
              <w:t>Income from discontinued operations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92C6" w14:textId="77777777" w:rsidR="008D6614" w:rsidRDefault="00866AF2">
            <w:pPr>
              <w:jc w:val="right"/>
              <w:textAlignment w:val="bottom"/>
            </w:pPr>
            <w:r>
              <w:rPr>
                <w:rFonts w:ascii="Arial" w:eastAsia="宋体" w:hAnsi="Arial" w:cs="Arial"/>
                <w:color w:val="000000"/>
                <w:sz w:val="18"/>
                <w:szCs w:val="18"/>
              </w:rPr>
              <w:t>3,828 </w:t>
            </w:r>
          </w:p>
        </w:tc>
        <w:tc>
          <w:tcPr>
            <w:tcW w:w="0" w:type="auto"/>
            <w:tcBorders>
              <w:top w:val="single" w:sz="8" w:space="0" w:color="000000"/>
            </w:tcBorders>
            <w:shd w:val="clear" w:color="auto" w:fill="FFFFFF"/>
            <w:tcMar>
              <w:top w:w="40" w:type="dxa"/>
              <w:bottom w:w="40" w:type="dxa"/>
              <w:right w:w="20" w:type="dxa"/>
            </w:tcMar>
            <w:vAlign w:val="bottom"/>
          </w:tcPr>
          <w:p w14:paraId="64A892C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2C8"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92C9" w14:textId="77777777" w:rsidR="008D6614" w:rsidRDefault="00866AF2">
            <w:pPr>
              <w:jc w:val="right"/>
              <w:textAlignment w:val="bottom"/>
            </w:pPr>
            <w:r>
              <w:rPr>
                <w:rFonts w:ascii="Arial" w:eastAsia="宋体" w:hAnsi="Arial" w:cs="Arial"/>
                <w:color w:val="000000"/>
                <w:sz w:val="18"/>
                <w:szCs w:val="18"/>
              </w:rPr>
              <w:t>16 </w:t>
            </w:r>
          </w:p>
        </w:tc>
        <w:tc>
          <w:tcPr>
            <w:tcW w:w="0" w:type="auto"/>
            <w:tcBorders>
              <w:top w:val="single" w:sz="8" w:space="0" w:color="000000"/>
            </w:tcBorders>
            <w:shd w:val="clear" w:color="auto" w:fill="FFFFFF"/>
            <w:tcMar>
              <w:top w:w="40" w:type="dxa"/>
              <w:bottom w:w="40" w:type="dxa"/>
              <w:right w:w="20" w:type="dxa"/>
            </w:tcMar>
            <w:vAlign w:val="bottom"/>
          </w:tcPr>
          <w:p w14:paraId="64A892C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CB" w14:textId="77777777" w:rsidR="008D6614" w:rsidRDefault="008D6614">
            <w:pPr>
              <w:rPr>
                <w:rFonts w:ascii="宋体"/>
                <w:vanish/>
              </w:rPr>
            </w:pPr>
          </w:p>
        </w:tc>
        <w:tc>
          <w:tcPr>
            <w:tcW w:w="0" w:type="auto"/>
            <w:shd w:val="clear" w:color="auto" w:fill="auto"/>
            <w:vAlign w:val="center"/>
          </w:tcPr>
          <w:p w14:paraId="64A892CC" w14:textId="77777777" w:rsidR="008D6614" w:rsidRDefault="008D6614">
            <w:pPr>
              <w:rPr>
                <w:rFonts w:ascii="宋体"/>
                <w:vanish/>
              </w:rPr>
            </w:pPr>
          </w:p>
        </w:tc>
        <w:tc>
          <w:tcPr>
            <w:tcW w:w="0" w:type="auto"/>
            <w:shd w:val="clear" w:color="auto" w:fill="auto"/>
            <w:vAlign w:val="center"/>
          </w:tcPr>
          <w:p w14:paraId="64A892CD" w14:textId="77777777" w:rsidR="008D6614" w:rsidRDefault="008D6614">
            <w:pPr>
              <w:rPr>
                <w:rFonts w:ascii="宋体"/>
                <w:vanish/>
              </w:rPr>
            </w:pPr>
          </w:p>
        </w:tc>
        <w:tc>
          <w:tcPr>
            <w:tcW w:w="0" w:type="auto"/>
            <w:shd w:val="clear" w:color="auto" w:fill="auto"/>
            <w:vAlign w:val="center"/>
          </w:tcPr>
          <w:p w14:paraId="64A892CE" w14:textId="77777777" w:rsidR="008D6614" w:rsidRDefault="008D6614">
            <w:pPr>
              <w:rPr>
                <w:rFonts w:ascii="宋体"/>
                <w:vanish/>
              </w:rPr>
            </w:pPr>
          </w:p>
        </w:tc>
        <w:tc>
          <w:tcPr>
            <w:tcW w:w="0" w:type="auto"/>
            <w:shd w:val="clear" w:color="auto" w:fill="auto"/>
            <w:vAlign w:val="center"/>
          </w:tcPr>
          <w:p w14:paraId="64A892CF" w14:textId="77777777" w:rsidR="008D6614" w:rsidRDefault="008D6614">
            <w:pPr>
              <w:rPr>
                <w:rFonts w:ascii="宋体"/>
              </w:rPr>
            </w:pPr>
          </w:p>
        </w:tc>
        <w:tc>
          <w:tcPr>
            <w:tcW w:w="0" w:type="auto"/>
            <w:shd w:val="clear" w:color="auto" w:fill="auto"/>
            <w:vAlign w:val="center"/>
          </w:tcPr>
          <w:p w14:paraId="64A892D0" w14:textId="77777777" w:rsidR="008D6614" w:rsidRDefault="008D6614">
            <w:pPr>
              <w:rPr>
                <w:rFonts w:ascii="宋体"/>
              </w:rPr>
            </w:pPr>
          </w:p>
        </w:tc>
        <w:tc>
          <w:tcPr>
            <w:tcW w:w="0" w:type="auto"/>
            <w:shd w:val="clear" w:color="auto" w:fill="auto"/>
            <w:vAlign w:val="center"/>
          </w:tcPr>
          <w:p w14:paraId="64A892D1" w14:textId="77777777" w:rsidR="008D6614" w:rsidRDefault="008D6614">
            <w:pPr>
              <w:rPr>
                <w:rFonts w:ascii="宋体"/>
              </w:rPr>
            </w:pPr>
          </w:p>
        </w:tc>
        <w:tc>
          <w:tcPr>
            <w:tcW w:w="0" w:type="auto"/>
            <w:shd w:val="clear" w:color="auto" w:fill="auto"/>
            <w:vAlign w:val="center"/>
          </w:tcPr>
          <w:p w14:paraId="64A892D2" w14:textId="77777777" w:rsidR="008D6614" w:rsidRDefault="008D6614">
            <w:pPr>
              <w:rPr>
                <w:rFonts w:ascii="宋体"/>
              </w:rPr>
            </w:pPr>
          </w:p>
        </w:tc>
        <w:tc>
          <w:tcPr>
            <w:tcW w:w="0" w:type="auto"/>
            <w:shd w:val="clear" w:color="auto" w:fill="auto"/>
            <w:vAlign w:val="center"/>
          </w:tcPr>
          <w:p w14:paraId="64A892D3" w14:textId="77777777" w:rsidR="008D6614" w:rsidRDefault="008D6614">
            <w:pPr>
              <w:rPr>
                <w:rFonts w:ascii="宋体"/>
              </w:rPr>
            </w:pPr>
          </w:p>
        </w:tc>
        <w:tc>
          <w:tcPr>
            <w:tcW w:w="0" w:type="auto"/>
            <w:shd w:val="clear" w:color="auto" w:fill="auto"/>
            <w:vAlign w:val="center"/>
          </w:tcPr>
          <w:p w14:paraId="64A892D4" w14:textId="77777777" w:rsidR="008D6614" w:rsidRDefault="008D6614">
            <w:pPr>
              <w:rPr>
                <w:rFonts w:ascii="宋体"/>
              </w:rPr>
            </w:pPr>
          </w:p>
        </w:tc>
      </w:tr>
      <w:tr w:rsidR="008D6614" w14:paraId="64A892E6" w14:textId="77777777">
        <w:trPr>
          <w:jc w:val="center"/>
        </w:trPr>
        <w:tc>
          <w:tcPr>
            <w:tcW w:w="0" w:type="auto"/>
            <w:gridSpan w:val="3"/>
            <w:shd w:val="clear" w:color="auto" w:fill="E2E2E2"/>
            <w:tcMar>
              <w:top w:w="40" w:type="dxa"/>
              <w:left w:w="20" w:type="dxa"/>
              <w:bottom w:w="40" w:type="dxa"/>
              <w:right w:w="20" w:type="dxa"/>
            </w:tcMar>
            <w:vAlign w:val="bottom"/>
          </w:tcPr>
          <w:p w14:paraId="64A892D6" w14:textId="77777777" w:rsidR="008D6614" w:rsidRDefault="00866AF2">
            <w:pPr>
              <w:textAlignment w:val="bottom"/>
            </w:pPr>
            <w:r>
              <w:rPr>
                <w:rFonts w:ascii="Arial" w:eastAsia="宋体" w:hAnsi="Arial" w:cs="Arial"/>
                <w:color w:val="000000"/>
                <w:sz w:val="18"/>
                <w:szCs w:val="18"/>
              </w:rPr>
              <w:t>Income tax provision</w:t>
            </w:r>
          </w:p>
        </w:tc>
        <w:tc>
          <w:tcPr>
            <w:tcW w:w="0" w:type="auto"/>
            <w:gridSpan w:val="2"/>
            <w:shd w:val="clear" w:color="auto" w:fill="E2E2E2"/>
            <w:tcMar>
              <w:top w:w="40" w:type="dxa"/>
              <w:left w:w="20" w:type="dxa"/>
              <w:bottom w:w="40" w:type="dxa"/>
              <w:right w:w="0" w:type="dxa"/>
            </w:tcMar>
            <w:vAlign w:val="bottom"/>
          </w:tcPr>
          <w:p w14:paraId="64A892D7" w14:textId="77777777" w:rsidR="008D6614" w:rsidRDefault="00866AF2">
            <w:pPr>
              <w:jc w:val="right"/>
              <w:textAlignment w:val="bottom"/>
            </w:pPr>
            <w:r>
              <w:rPr>
                <w:rFonts w:ascii="Arial" w:eastAsia="宋体" w:hAnsi="Arial" w:cs="Arial"/>
                <w:color w:val="000000"/>
                <w:sz w:val="18"/>
                <w:szCs w:val="18"/>
              </w:rPr>
              <w:t>(900)</w:t>
            </w:r>
          </w:p>
        </w:tc>
        <w:tc>
          <w:tcPr>
            <w:tcW w:w="0" w:type="auto"/>
            <w:shd w:val="clear" w:color="auto" w:fill="E2E2E2"/>
            <w:tcMar>
              <w:top w:w="40" w:type="dxa"/>
              <w:bottom w:w="40" w:type="dxa"/>
              <w:right w:w="20" w:type="dxa"/>
            </w:tcMar>
            <w:vAlign w:val="bottom"/>
          </w:tcPr>
          <w:p w14:paraId="64A892D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2D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2DA" w14:textId="77777777" w:rsidR="008D6614" w:rsidRDefault="00866AF2">
            <w:pPr>
              <w:jc w:val="right"/>
              <w:textAlignment w:val="bottom"/>
            </w:pPr>
            <w:r>
              <w:rPr>
                <w:rFonts w:ascii="Arial" w:eastAsia="宋体" w:hAnsi="Arial" w:cs="Arial"/>
                <w:color w:val="000000"/>
                <w:sz w:val="18"/>
                <w:szCs w:val="18"/>
              </w:rPr>
              <w:t>(11)</w:t>
            </w:r>
          </w:p>
        </w:tc>
        <w:tc>
          <w:tcPr>
            <w:tcW w:w="0" w:type="auto"/>
            <w:shd w:val="clear" w:color="auto" w:fill="E2E2E2"/>
            <w:tcMar>
              <w:top w:w="40" w:type="dxa"/>
              <w:bottom w:w="40" w:type="dxa"/>
              <w:right w:w="20" w:type="dxa"/>
            </w:tcMar>
            <w:vAlign w:val="bottom"/>
          </w:tcPr>
          <w:p w14:paraId="64A892D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DC" w14:textId="77777777" w:rsidR="008D6614" w:rsidRDefault="008D6614">
            <w:pPr>
              <w:rPr>
                <w:rFonts w:ascii="宋体"/>
                <w:vanish/>
              </w:rPr>
            </w:pPr>
          </w:p>
        </w:tc>
        <w:tc>
          <w:tcPr>
            <w:tcW w:w="0" w:type="auto"/>
            <w:shd w:val="clear" w:color="auto" w:fill="auto"/>
            <w:vAlign w:val="center"/>
          </w:tcPr>
          <w:p w14:paraId="64A892DD" w14:textId="77777777" w:rsidR="008D6614" w:rsidRDefault="008D6614">
            <w:pPr>
              <w:rPr>
                <w:rFonts w:ascii="宋体"/>
                <w:vanish/>
              </w:rPr>
            </w:pPr>
          </w:p>
        </w:tc>
        <w:tc>
          <w:tcPr>
            <w:tcW w:w="0" w:type="auto"/>
            <w:shd w:val="clear" w:color="auto" w:fill="auto"/>
            <w:vAlign w:val="center"/>
          </w:tcPr>
          <w:p w14:paraId="64A892DE" w14:textId="77777777" w:rsidR="008D6614" w:rsidRDefault="008D6614">
            <w:pPr>
              <w:rPr>
                <w:rFonts w:ascii="宋体"/>
                <w:vanish/>
              </w:rPr>
            </w:pPr>
          </w:p>
        </w:tc>
        <w:tc>
          <w:tcPr>
            <w:tcW w:w="0" w:type="auto"/>
            <w:shd w:val="clear" w:color="auto" w:fill="auto"/>
            <w:vAlign w:val="center"/>
          </w:tcPr>
          <w:p w14:paraId="64A892DF" w14:textId="77777777" w:rsidR="008D6614" w:rsidRDefault="008D6614">
            <w:pPr>
              <w:rPr>
                <w:rFonts w:ascii="宋体"/>
                <w:vanish/>
              </w:rPr>
            </w:pPr>
          </w:p>
        </w:tc>
        <w:tc>
          <w:tcPr>
            <w:tcW w:w="0" w:type="auto"/>
            <w:shd w:val="clear" w:color="auto" w:fill="auto"/>
            <w:vAlign w:val="center"/>
          </w:tcPr>
          <w:p w14:paraId="64A892E0" w14:textId="77777777" w:rsidR="008D6614" w:rsidRDefault="008D6614">
            <w:pPr>
              <w:rPr>
                <w:rFonts w:ascii="宋体"/>
              </w:rPr>
            </w:pPr>
          </w:p>
        </w:tc>
        <w:tc>
          <w:tcPr>
            <w:tcW w:w="0" w:type="auto"/>
            <w:shd w:val="clear" w:color="auto" w:fill="auto"/>
            <w:vAlign w:val="center"/>
          </w:tcPr>
          <w:p w14:paraId="64A892E1" w14:textId="77777777" w:rsidR="008D6614" w:rsidRDefault="008D6614">
            <w:pPr>
              <w:rPr>
                <w:rFonts w:ascii="宋体"/>
              </w:rPr>
            </w:pPr>
          </w:p>
        </w:tc>
        <w:tc>
          <w:tcPr>
            <w:tcW w:w="0" w:type="auto"/>
            <w:shd w:val="clear" w:color="auto" w:fill="auto"/>
            <w:vAlign w:val="center"/>
          </w:tcPr>
          <w:p w14:paraId="64A892E2" w14:textId="77777777" w:rsidR="008D6614" w:rsidRDefault="008D6614">
            <w:pPr>
              <w:rPr>
                <w:rFonts w:ascii="宋体"/>
              </w:rPr>
            </w:pPr>
          </w:p>
        </w:tc>
        <w:tc>
          <w:tcPr>
            <w:tcW w:w="0" w:type="auto"/>
            <w:shd w:val="clear" w:color="auto" w:fill="auto"/>
            <w:vAlign w:val="center"/>
          </w:tcPr>
          <w:p w14:paraId="64A892E3" w14:textId="77777777" w:rsidR="008D6614" w:rsidRDefault="008D6614">
            <w:pPr>
              <w:rPr>
                <w:rFonts w:ascii="宋体"/>
              </w:rPr>
            </w:pPr>
          </w:p>
        </w:tc>
        <w:tc>
          <w:tcPr>
            <w:tcW w:w="0" w:type="auto"/>
            <w:shd w:val="clear" w:color="auto" w:fill="auto"/>
            <w:vAlign w:val="center"/>
          </w:tcPr>
          <w:p w14:paraId="64A892E4" w14:textId="77777777" w:rsidR="008D6614" w:rsidRDefault="008D6614">
            <w:pPr>
              <w:rPr>
                <w:rFonts w:ascii="宋体"/>
              </w:rPr>
            </w:pPr>
          </w:p>
        </w:tc>
        <w:tc>
          <w:tcPr>
            <w:tcW w:w="0" w:type="auto"/>
            <w:shd w:val="clear" w:color="auto" w:fill="auto"/>
            <w:vAlign w:val="center"/>
          </w:tcPr>
          <w:p w14:paraId="64A892E5" w14:textId="77777777" w:rsidR="008D6614" w:rsidRDefault="008D6614">
            <w:pPr>
              <w:rPr>
                <w:rFonts w:ascii="宋体"/>
              </w:rPr>
            </w:pPr>
          </w:p>
        </w:tc>
      </w:tr>
      <w:tr w:rsidR="008D6614" w14:paraId="64A892F9" w14:textId="77777777">
        <w:trPr>
          <w:jc w:val="center"/>
        </w:trPr>
        <w:tc>
          <w:tcPr>
            <w:tcW w:w="0" w:type="auto"/>
            <w:gridSpan w:val="3"/>
            <w:shd w:val="clear" w:color="auto" w:fill="FFFFFF"/>
            <w:tcMar>
              <w:top w:w="40" w:type="dxa"/>
              <w:left w:w="20" w:type="dxa"/>
              <w:bottom w:w="40" w:type="dxa"/>
              <w:right w:w="20" w:type="dxa"/>
            </w:tcMar>
            <w:vAlign w:val="bottom"/>
          </w:tcPr>
          <w:p w14:paraId="64A892E7" w14:textId="77777777" w:rsidR="008D6614" w:rsidRDefault="00866AF2">
            <w:pPr>
              <w:textAlignment w:val="bottom"/>
            </w:pPr>
            <w:r>
              <w:rPr>
                <w:rFonts w:ascii="Arial" w:eastAsia="宋体" w:hAnsi="Arial" w:cs="Arial"/>
                <w:color w:val="000000"/>
                <w:sz w:val="18"/>
                <w:szCs w:val="18"/>
              </w:rPr>
              <w:t>Income from discontinued operations, net of income taxes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2E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2E9" w14:textId="77777777" w:rsidR="008D6614" w:rsidRDefault="00866AF2">
            <w:pPr>
              <w:jc w:val="right"/>
              <w:textAlignment w:val="bottom"/>
            </w:pPr>
            <w:r>
              <w:rPr>
                <w:rFonts w:ascii="Arial" w:eastAsia="宋体" w:hAnsi="Arial" w:cs="Arial"/>
                <w:color w:val="000000"/>
                <w:sz w:val="18"/>
                <w:szCs w:val="18"/>
              </w:rPr>
              <w:t>2,928 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2E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2EB"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2E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2ED" w14:textId="77777777" w:rsidR="008D6614" w:rsidRDefault="00866AF2">
            <w:pPr>
              <w:jc w:val="right"/>
              <w:textAlignment w:val="bottom"/>
            </w:pPr>
            <w:r>
              <w:rPr>
                <w:rFonts w:ascii="Arial" w:eastAsia="宋体" w:hAnsi="Arial" w:cs="Arial"/>
                <w:color w:val="000000"/>
                <w:sz w:val="18"/>
                <w:szCs w:val="18"/>
              </w:rPr>
              <w:t>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2E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2EF" w14:textId="77777777" w:rsidR="008D6614" w:rsidRDefault="008D6614">
            <w:pPr>
              <w:rPr>
                <w:rFonts w:ascii="宋体"/>
                <w:vanish/>
              </w:rPr>
            </w:pPr>
          </w:p>
        </w:tc>
        <w:tc>
          <w:tcPr>
            <w:tcW w:w="0" w:type="auto"/>
            <w:shd w:val="clear" w:color="auto" w:fill="auto"/>
            <w:vAlign w:val="center"/>
          </w:tcPr>
          <w:p w14:paraId="64A892F0" w14:textId="77777777" w:rsidR="008D6614" w:rsidRDefault="008D6614">
            <w:pPr>
              <w:rPr>
                <w:rFonts w:ascii="宋体"/>
                <w:vanish/>
              </w:rPr>
            </w:pPr>
          </w:p>
        </w:tc>
        <w:tc>
          <w:tcPr>
            <w:tcW w:w="0" w:type="auto"/>
            <w:shd w:val="clear" w:color="auto" w:fill="auto"/>
            <w:vAlign w:val="center"/>
          </w:tcPr>
          <w:p w14:paraId="64A892F1" w14:textId="77777777" w:rsidR="008D6614" w:rsidRDefault="008D6614">
            <w:pPr>
              <w:rPr>
                <w:rFonts w:ascii="宋体"/>
                <w:vanish/>
              </w:rPr>
            </w:pPr>
          </w:p>
        </w:tc>
        <w:tc>
          <w:tcPr>
            <w:tcW w:w="0" w:type="auto"/>
            <w:shd w:val="clear" w:color="auto" w:fill="auto"/>
            <w:vAlign w:val="center"/>
          </w:tcPr>
          <w:p w14:paraId="64A892F2" w14:textId="77777777" w:rsidR="008D6614" w:rsidRDefault="008D6614">
            <w:pPr>
              <w:rPr>
                <w:rFonts w:ascii="宋体"/>
                <w:vanish/>
              </w:rPr>
            </w:pPr>
          </w:p>
        </w:tc>
        <w:tc>
          <w:tcPr>
            <w:tcW w:w="0" w:type="auto"/>
            <w:shd w:val="clear" w:color="auto" w:fill="auto"/>
            <w:vAlign w:val="center"/>
          </w:tcPr>
          <w:p w14:paraId="64A892F3" w14:textId="77777777" w:rsidR="008D6614" w:rsidRDefault="008D6614">
            <w:pPr>
              <w:rPr>
                <w:rFonts w:ascii="宋体"/>
              </w:rPr>
            </w:pPr>
          </w:p>
        </w:tc>
        <w:tc>
          <w:tcPr>
            <w:tcW w:w="0" w:type="auto"/>
            <w:shd w:val="clear" w:color="auto" w:fill="auto"/>
            <w:vAlign w:val="center"/>
          </w:tcPr>
          <w:p w14:paraId="64A892F4" w14:textId="77777777" w:rsidR="008D6614" w:rsidRDefault="008D6614">
            <w:pPr>
              <w:rPr>
                <w:rFonts w:ascii="宋体"/>
              </w:rPr>
            </w:pPr>
          </w:p>
        </w:tc>
        <w:tc>
          <w:tcPr>
            <w:tcW w:w="0" w:type="auto"/>
            <w:shd w:val="clear" w:color="auto" w:fill="auto"/>
            <w:vAlign w:val="center"/>
          </w:tcPr>
          <w:p w14:paraId="64A892F5" w14:textId="77777777" w:rsidR="008D6614" w:rsidRDefault="008D6614">
            <w:pPr>
              <w:rPr>
                <w:rFonts w:ascii="宋体"/>
              </w:rPr>
            </w:pPr>
          </w:p>
        </w:tc>
        <w:tc>
          <w:tcPr>
            <w:tcW w:w="0" w:type="auto"/>
            <w:shd w:val="clear" w:color="auto" w:fill="auto"/>
            <w:vAlign w:val="center"/>
          </w:tcPr>
          <w:p w14:paraId="64A892F6" w14:textId="77777777" w:rsidR="008D6614" w:rsidRDefault="008D6614">
            <w:pPr>
              <w:rPr>
                <w:rFonts w:ascii="宋体"/>
              </w:rPr>
            </w:pPr>
          </w:p>
        </w:tc>
        <w:tc>
          <w:tcPr>
            <w:tcW w:w="0" w:type="auto"/>
            <w:shd w:val="clear" w:color="auto" w:fill="auto"/>
            <w:vAlign w:val="center"/>
          </w:tcPr>
          <w:p w14:paraId="64A892F7" w14:textId="77777777" w:rsidR="008D6614" w:rsidRDefault="008D6614">
            <w:pPr>
              <w:rPr>
                <w:rFonts w:ascii="宋体"/>
              </w:rPr>
            </w:pPr>
          </w:p>
        </w:tc>
        <w:tc>
          <w:tcPr>
            <w:tcW w:w="0" w:type="auto"/>
            <w:shd w:val="clear" w:color="auto" w:fill="auto"/>
            <w:vAlign w:val="center"/>
          </w:tcPr>
          <w:p w14:paraId="64A892F8" w14:textId="77777777" w:rsidR="008D6614" w:rsidRDefault="008D6614">
            <w:pPr>
              <w:rPr>
                <w:rFonts w:ascii="宋体"/>
              </w:rPr>
            </w:pPr>
          </w:p>
        </w:tc>
      </w:tr>
    </w:tbl>
    <w:p w14:paraId="64A892FA" w14:textId="77777777" w:rsidR="008D6614" w:rsidRDefault="00866AF2">
      <w:pPr>
        <w:ind w:hanging="180"/>
      </w:pPr>
      <w:r>
        <w:rPr>
          <w:rFonts w:ascii="Arial" w:eastAsia="宋体" w:hAnsi="Arial" w:cs="Arial"/>
          <w:color w:val="000000"/>
          <w:sz w:val="13"/>
          <w:szCs w:val="13"/>
        </w:rPr>
        <w:t>(</w:t>
      </w:r>
      <w:r>
        <w:rPr>
          <w:rFonts w:ascii="Arial" w:eastAsia="宋体" w:hAnsi="Arial" w:cs="Arial"/>
          <w:color w:val="000000"/>
          <w:sz w:val="13"/>
          <w:szCs w:val="13"/>
        </w:rPr>
        <w:t xml:space="preserve">1) </w:t>
      </w:r>
      <w:r>
        <w:rPr>
          <w:rFonts w:ascii="Arial" w:eastAsia="宋体" w:hAnsi="Arial" w:cs="Arial"/>
          <w:color w:val="000000"/>
          <w:sz w:val="16"/>
          <w:szCs w:val="16"/>
        </w:rPr>
        <w:t>Includes StubHub financial results from January 1, 2020 to February 13, 2020, in addition to the gain on sale recorded during the three months ended March 31, 2020.</w:t>
      </w:r>
    </w:p>
    <w:p w14:paraId="64A892FB" w14:textId="77777777" w:rsidR="008D6614" w:rsidRDefault="008D6614">
      <w:pPr>
        <w:ind w:hanging="180"/>
      </w:pPr>
    </w:p>
    <w:p w14:paraId="64A892FC" w14:textId="77777777" w:rsidR="008D6614" w:rsidRDefault="00866AF2">
      <w:pPr>
        <w:ind w:firstLine="540"/>
      </w:pPr>
      <w:r>
        <w:rPr>
          <w:rFonts w:ascii="Arial" w:eastAsia="宋体" w:hAnsi="Arial" w:cs="Arial"/>
          <w:color w:val="000000"/>
          <w:sz w:val="20"/>
          <w:szCs w:val="20"/>
        </w:rPr>
        <w:t>For the three months ended March 31, 2020 and 2019, the loss from discontinued operatio</w:t>
      </w:r>
      <w:r>
        <w:rPr>
          <w:rFonts w:ascii="Arial" w:eastAsia="宋体" w:hAnsi="Arial" w:cs="Arial"/>
          <w:color w:val="000000"/>
          <w:sz w:val="20"/>
          <w:szCs w:val="20"/>
        </w:rPr>
        <w:t xml:space="preserve">ns related to PayPal and Enterprise was immaterial. </w:t>
      </w:r>
    </w:p>
    <w:p w14:paraId="64A892FD" w14:textId="77777777" w:rsidR="008D6614" w:rsidRDefault="008D6614">
      <w:pPr>
        <w:ind w:firstLine="540"/>
      </w:pPr>
    </w:p>
    <w:p w14:paraId="64A892FE" w14:textId="77777777" w:rsidR="008D6614" w:rsidRDefault="00866AF2">
      <w:pPr>
        <w:jc w:val="center"/>
      </w:pPr>
      <w:r>
        <w:rPr>
          <w:rFonts w:ascii="Arial" w:eastAsia="宋体" w:hAnsi="Arial" w:cs="Arial"/>
          <w:color w:val="000000"/>
          <w:sz w:val="20"/>
          <w:szCs w:val="20"/>
        </w:rPr>
        <w:t>12</w:t>
      </w:r>
    </w:p>
    <w:p w14:paraId="64A892FF" w14:textId="77777777" w:rsidR="008D6614" w:rsidRDefault="00866AF2">
      <w:r>
        <w:pict w14:anchorId="64A8B9E9">
          <v:rect id="_x0000_i1036" style="width:415.3pt;height:1.5pt" o:hralign="center" o:hrstd="t" o:hr="t" fillcolor="#a0a0a0" stroked="f"/>
        </w:pict>
      </w:r>
    </w:p>
    <w:p w14:paraId="64A89300" w14:textId="77777777" w:rsidR="008D6614" w:rsidRDefault="008D6614"/>
    <w:p w14:paraId="64A89301" w14:textId="77777777" w:rsidR="008D6614" w:rsidRDefault="008D6614">
      <w:pPr>
        <w:ind w:firstLine="540"/>
      </w:pPr>
    </w:p>
    <w:p w14:paraId="64A89302" w14:textId="77777777" w:rsidR="008D6614" w:rsidRDefault="00866AF2">
      <w:pPr>
        <w:ind w:firstLine="540"/>
      </w:pPr>
      <w:r>
        <w:rPr>
          <w:rFonts w:ascii="Arial" w:eastAsia="宋体" w:hAnsi="Arial" w:cs="Arial"/>
          <w:color w:val="000000"/>
          <w:sz w:val="20"/>
          <w:szCs w:val="20"/>
        </w:rPr>
        <w:t xml:space="preserve">The following table presents the aggregate carrying amounts of the classes of assets and liabilities of discontinued operations in the condensed consolidated balance sheet (in </w:t>
      </w:r>
      <w:r>
        <w:rPr>
          <w:rFonts w:ascii="Arial" w:eastAsia="宋体" w:hAnsi="Arial" w:cs="Arial"/>
          <w:color w:val="000000"/>
          <w:sz w:val="20"/>
          <w:szCs w:val="20"/>
        </w:rPr>
        <w:t>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994"/>
        <w:gridCol w:w="52"/>
        <w:gridCol w:w="36"/>
        <w:gridCol w:w="36"/>
        <w:gridCol w:w="36"/>
        <w:gridCol w:w="137"/>
        <w:gridCol w:w="764"/>
        <w:gridCol w:w="86"/>
        <w:gridCol w:w="36"/>
        <w:gridCol w:w="36"/>
        <w:gridCol w:w="36"/>
        <w:gridCol w:w="36"/>
      </w:tblGrid>
      <w:tr w:rsidR="008D6614" w14:paraId="64A89310" w14:textId="77777777">
        <w:trPr>
          <w:jc w:val="center"/>
        </w:trPr>
        <w:tc>
          <w:tcPr>
            <w:tcW w:w="50" w:type="pct"/>
            <w:shd w:val="clear" w:color="auto" w:fill="auto"/>
            <w:vAlign w:val="center"/>
          </w:tcPr>
          <w:p w14:paraId="64A89303" w14:textId="77777777" w:rsidR="008D6614" w:rsidRDefault="008D6614">
            <w:pPr>
              <w:rPr>
                <w:rFonts w:ascii="宋体"/>
              </w:rPr>
            </w:pPr>
          </w:p>
        </w:tc>
        <w:tc>
          <w:tcPr>
            <w:tcW w:w="4285" w:type="pct"/>
            <w:shd w:val="clear" w:color="auto" w:fill="auto"/>
            <w:vAlign w:val="center"/>
          </w:tcPr>
          <w:p w14:paraId="64A89304" w14:textId="77777777" w:rsidR="008D6614" w:rsidRDefault="008D6614">
            <w:pPr>
              <w:rPr>
                <w:rFonts w:ascii="宋体"/>
              </w:rPr>
            </w:pPr>
          </w:p>
        </w:tc>
        <w:tc>
          <w:tcPr>
            <w:tcW w:w="50" w:type="pct"/>
            <w:shd w:val="clear" w:color="auto" w:fill="auto"/>
            <w:vAlign w:val="center"/>
          </w:tcPr>
          <w:p w14:paraId="64A89305" w14:textId="77777777" w:rsidR="008D6614" w:rsidRDefault="008D6614">
            <w:pPr>
              <w:rPr>
                <w:rFonts w:ascii="宋体"/>
              </w:rPr>
            </w:pPr>
          </w:p>
        </w:tc>
        <w:tc>
          <w:tcPr>
            <w:tcW w:w="5" w:type="pct"/>
            <w:shd w:val="clear" w:color="auto" w:fill="auto"/>
            <w:vAlign w:val="center"/>
          </w:tcPr>
          <w:p w14:paraId="64A89306" w14:textId="77777777" w:rsidR="008D6614" w:rsidRDefault="008D6614">
            <w:pPr>
              <w:rPr>
                <w:rFonts w:ascii="宋体"/>
              </w:rPr>
            </w:pPr>
          </w:p>
        </w:tc>
        <w:tc>
          <w:tcPr>
            <w:tcW w:w="19" w:type="pct"/>
            <w:shd w:val="clear" w:color="auto" w:fill="auto"/>
            <w:vAlign w:val="center"/>
          </w:tcPr>
          <w:p w14:paraId="64A89307" w14:textId="77777777" w:rsidR="008D6614" w:rsidRDefault="008D6614">
            <w:pPr>
              <w:rPr>
                <w:rFonts w:ascii="宋体"/>
              </w:rPr>
            </w:pPr>
          </w:p>
        </w:tc>
        <w:tc>
          <w:tcPr>
            <w:tcW w:w="5" w:type="pct"/>
            <w:shd w:val="clear" w:color="auto" w:fill="auto"/>
            <w:vAlign w:val="center"/>
          </w:tcPr>
          <w:p w14:paraId="64A89308" w14:textId="77777777" w:rsidR="008D6614" w:rsidRDefault="008D6614">
            <w:pPr>
              <w:rPr>
                <w:rFonts w:ascii="宋体"/>
              </w:rPr>
            </w:pPr>
          </w:p>
        </w:tc>
        <w:tc>
          <w:tcPr>
            <w:tcW w:w="50" w:type="pct"/>
            <w:shd w:val="clear" w:color="auto" w:fill="auto"/>
            <w:vAlign w:val="center"/>
          </w:tcPr>
          <w:p w14:paraId="64A89309" w14:textId="77777777" w:rsidR="008D6614" w:rsidRDefault="008D6614">
            <w:pPr>
              <w:rPr>
                <w:rFonts w:ascii="宋体"/>
              </w:rPr>
            </w:pPr>
          </w:p>
        </w:tc>
        <w:tc>
          <w:tcPr>
            <w:tcW w:w="484" w:type="pct"/>
            <w:shd w:val="clear" w:color="auto" w:fill="auto"/>
            <w:vAlign w:val="center"/>
          </w:tcPr>
          <w:p w14:paraId="64A8930A" w14:textId="77777777" w:rsidR="008D6614" w:rsidRDefault="008D6614">
            <w:pPr>
              <w:rPr>
                <w:rFonts w:ascii="宋体"/>
              </w:rPr>
            </w:pPr>
          </w:p>
        </w:tc>
        <w:tc>
          <w:tcPr>
            <w:tcW w:w="50" w:type="pct"/>
            <w:shd w:val="clear" w:color="auto" w:fill="auto"/>
            <w:vAlign w:val="center"/>
          </w:tcPr>
          <w:p w14:paraId="64A8930B" w14:textId="77777777" w:rsidR="008D6614" w:rsidRDefault="008D6614">
            <w:pPr>
              <w:rPr>
                <w:rFonts w:ascii="宋体"/>
              </w:rPr>
            </w:pPr>
          </w:p>
        </w:tc>
        <w:tc>
          <w:tcPr>
            <w:tcW w:w="0" w:type="auto"/>
            <w:shd w:val="clear" w:color="auto" w:fill="auto"/>
            <w:vAlign w:val="center"/>
          </w:tcPr>
          <w:p w14:paraId="64A8930C" w14:textId="77777777" w:rsidR="008D6614" w:rsidRDefault="008D6614">
            <w:pPr>
              <w:rPr>
                <w:rFonts w:ascii="宋体"/>
                <w:vanish/>
              </w:rPr>
            </w:pPr>
          </w:p>
        </w:tc>
        <w:tc>
          <w:tcPr>
            <w:tcW w:w="0" w:type="auto"/>
            <w:shd w:val="clear" w:color="auto" w:fill="auto"/>
            <w:vAlign w:val="center"/>
          </w:tcPr>
          <w:p w14:paraId="64A8930D" w14:textId="77777777" w:rsidR="008D6614" w:rsidRDefault="008D6614">
            <w:pPr>
              <w:rPr>
                <w:rFonts w:ascii="宋体"/>
                <w:vanish/>
              </w:rPr>
            </w:pPr>
          </w:p>
        </w:tc>
        <w:tc>
          <w:tcPr>
            <w:tcW w:w="0" w:type="auto"/>
            <w:shd w:val="clear" w:color="auto" w:fill="auto"/>
            <w:vAlign w:val="center"/>
          </w:tcPr>
          <w:p w14:paraId="64A8930E" w14:textId="77777777" w:rsidR="008D6614" w:rsidRDefault="008D6614">
            <w:pPr>
              <w:rPr>
                <w:rFonts w:ascii="宋体"/>
                <w:vanish/>
              </w:rPr>
            </w:pPr>
          </w:p>
        </w:tc>
        <w:tc>
          <w:tcPr>
            <w:tcW w:w="0" w:type="auto"/>
            <w:shd w:val="clear" w:color="auto" w:fill="auto"/>
            <w:vAlign w:val="center"/>
          </w:tcPr>
          <w:p w14:paraId="64A8930F" w14:textId="77777777" w:rsidR="008D6614" w:rsidRDefault="008D6614">
            <w:pPr>
              <w:rPr>
                <w:rFonts w:ascii="宋体"/>
                <w:vanish/>
              </w:rPr>
            </w:pPr>
          </w:p>
        </w:tc>
      </w:tr>
      <w:tr w:rsidR="008D6614" w14:paraId="64A89318" w14:textId="77777777">
        <w:trPr>
          <w:jc w:val="center"/>
        </w:trPr>
        <w:tc>
          <w:tcPr>
            <w:tcW w:w="0" w:type="auto"/>
            <w:gridSpan w:val="3"/>
            <w:shd w:val="clear" w:color="auto" w:fill="auto"/>
            <w:tcMar>
              <w:top w:w="40" w:type="dxa"/>
              <w:left w:w="20" w:type="dxa"/>
              <w:bottom w:w="40" w:type="dxa"/>
              <w:right w:w="20" w:type="dxa"/>
            </w:tcMar>
            <w:vAlign w:val="bottom"/>
          </w:tcPr>
          <w:p w14:paraId="64A89311" w14:textId="77777777" w:rsidR="008D6614" w:rsidRDefault="00866AF2">
            <w:pPr>
              <w:textAlignment w:val="bottom"/>
            </w:pPr>
            <w:r>
              <w:rPr>
                <w:rFonts w:ascii="Arial" w:eastAsia="宋体" w:hAnsi="Arial" w:cs="Arial"/>
                <w:b/>
                <w:bCs/>
                <w:color w:val="000000"/>
                <w:sz w:val="18"/>
                <w:szCs w:val="18"/>
              </w:rPr>
              <w:t> </w:t>
            </w:r>
          </w:p>
        </w:tc>
        <w:tc>
          <w:tcPr>
            <w:tcW w:w="0" w:type="auto"/>
            <w:gridSpan w:val="3"/>
            <w:shd w:val="clear" w:color="auto" w:fill="auto"/>
            <w:tcMar>
              <w:left w:w="20" w:type="dxa"/>
              <w:right w:w="20" w:type="dxa"/>
            </w:tcMar>
            <w:vAlign w:val="bottom"/>
          </w:tcPr>
          <w:p w14:paraId="64A89312"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313" w14:textId="77777777" w:rsidR="008D6614" w:rsidRDefault="00866AF2">
            <w:pPr>
              <w:jc w:val="center"/>
              <w:textAlignment w:val="bottom"/>
            </w:pPr>
            <w:r>
              <w:rPr>
                <w:rFonts w:ascii="Arial" w:eastAsia="宋体" w:hAnsi="Arial" w:cs="Arial"/>
                <w:b/>
                <w:bCs/>
                <w:color w:val="000000"/>
                <w:sz w:val="16"/>
                <w:szCs w:val="16"/>
              </w:rPr>
              <w:t>December 31, 2019</w:t>
            </w:r>
          </w:p>
        </w:tc>
        <w:tc>
          <w:tcPr>
            <w:tcW w:w="0" w:type="auto"/>
            <w:shd w:val="clear" w:color="auto" w:fill="auto"/>
            <w:vAlign w:val="center"/>
          </w:tcPr>
          <w:p w14:paraId="64A89314" w14:textId="77777777" w:rsidR="008D6614" w:rsidRDefault="008D6614">
            <w:pPr>
              <w:rPr>
                <w:rFonts w:ascii="宋体"/>
                <w:vanish/>
              </w:rPr>
            </w:pPr>
          </w:p>
        </w:tc>
        <w:tc>
          <w:tcPr>
            <w:tcW w:w="0" w:type="auto"/>
            <w:shd w:val="clear" w:color="auto" w:fill="auto"/>
            <w:vAlign w:val="center"/>
          </w:tcPr>
          <w:p w14:paraId="64A89315" w14:textId="77777777" w:rsidR="008D6614" w:rsidRDefault="008D6614">
            <w:pPr>
              <w:rPr>
                <w:rFonts w:ascii="宋体"/>
                <w:vanish/>
              </w:rPr>
            </w:pPr>
          </w:p>
        </w:tc>
        <w:tc>
          <w:tcPr>
            <w:tcW w:w="0" w:type="auto"/>
            <w:shd w:val="clear" w:color="auto" w:fill="auto"/>
            <w:vAlign w:val="center"/>
          </w:tcPr>
          <w:p w14:paraId="64A89316" w14:textId="77777777" w:rsidR="008D6614" w:rsidRDefault="008D6614">
            <w:pPr>
              <w:rPr>
                <w:rFonts w:ascii="宋体"/>
                <w:vanish/>
              </w:rPr>
            </w:pPr>
          </w:p>
        </w:tc>
        <w:tc>
          <w:tcPr>
            <w:tcW w:w="0" w:type="auto"/>
            <w:shd w:val="clear" w:color="auto" w:fill="auto"/>
            <w:vAlign w:val="center"/>
          </w:tcPr>
          <w:p w14:paraId="64A89317" w14:textId="77777777" w:rsidR="008D6614" w:rsidRDefault="008D6614">
            <w:pPr>
              <w:rPr>
                <w:rFonts w:ascii="宋体"/>
                <w:vanish/>
              </w:rPr>
            </w:pPr>
          </w:p>
        </w:tc>
      </w:tr>
      <w:tr w:rsidR="008D6614" w14:paraId="64A89320" w14:textId="77777777">
        <w:trPr>
          <w:jc w:val="center"/>
        </w:trPr>
        <w:tc>
          <w:tcPr>
            <w:tcW w:w="0" w:type="auto"/>
            <w:gridSpan w:val="3"/>
            <w:shd w:val="clear" w:color="auto" w:fill="FFFFFF"/>
            <w:tcMar>
              <w:top w:w="40" w:type="dxa"/>
              <w:left w:w="20" w:type="dxa"/>
              <w:bottom w:w="40" w:type="dxa"/>
              <w:right w:w="20" w:type="dxa"/>
            </w:tcMar>
            <w:vAlign w:val="bottom"/>
          </w:tcPr>
          <w:p w14:paraId="64A89319" w14:textId="77777777" w:rsidR="008D6614" w:rsidRDefault="00866AF2">
            <w:pPr>
              <w:textAlignment w:val="bottom"/>
            </w:pPr>
            <w:r>
              <w:rPr>
                <w:rFonts w:ascii="Arial" w:eastAsia="宋体" w:hAnsi="Arial" w:cs="Arial"/>
                <w:color w:val="000000"/>
                <w:sz w:val="18"/>
                <w:szCs w:val="18"/>
              </w:rPr>
              <w:t>Carrying amounts of assets included as part of discontinued operations:</w:t>
            </w:r>
          </w:p>
        </w:tc>
        <w:tc>
          <w:tcPr>
            <w:tcW w:w="0" w:type="auto"/>
            <w:gridSpan w:val="3"/>
            <w:shd w:val="clear" w:color="auto" w:fill="FFFFFF"/>
            <w:tcMar>
              <w:left w:w="20" w:type="dxa"/>
              <w:right w:w="20" w:type="dxa"/>
            </w:tcMar>
            <w:vAlign w:val="bottom"/>
          </w:tcPr>
          <w:p w14:paraId="64A8931A"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931B" w14:textId="77777777" w:rsidR="008D6614" w:rsidRDefault="008D6614">
            <w:pPr>
              <w:rPr>
                <w:rFonts w:ascii="宋体"/>
              </w:rPr>
            </w:pPr>
          </w:p>
        </w:tc>
        <w:tc>
          <w:tcPr>
            <w:tcW w:w="0" w:type="auto"/>
            <w:shd w:val="clear" w:color="auto" w:fill="auto"/>
            <w:vAlign w:val="center"/>
          </w:tcPr>
          <w:p w14:paraId="64A8931C" w14:textId="77777777" w:rsidR="008D6614" w:rsidRDefault="008D6614">
            <w:pPr>
              <w:rPr>
                <w:rFonts w:ascii="宋体"/>
                <w:vanish/>
              </w:rPr>
            </w:pPr>
          </w:p>
        </w:tc>
        <w:tc>
          <w:tcPr>
            <w:tcW w:w="0" w:type="auto"/>
            <w:shd w:val="clear" w:color="auto" w:fill="auto"/>
            <w:vAlign w:val="center"/>
          </w:tcPr>
          <w:p w14:paraId="64A8931D" w14:textId="77777777" w:rsidR="008D6614" w:rsidRDefault="008D6614">
            <w:pPr>
              <w:rPr>
                <w:rFonts w:ascii="宋体"/>
                <w:vanish/>
              </w:rPr>
            </w:pPr>
          </w:p>
        </w:tc>
        <w:tc>
          <w:tcPr>
            <w:tcW w:w="0" w:type="auto"/>
            <w:shd w:val="clear" w:color="auto" w:fill="auto"/>
            <w:vAlign w:val="center"/>
          </w:tcPr>
          <w:p w14:paraId="64A8931E" w14:textId="77777777" w:rsidR="008D6614" w:rsidRDefault="008D6614">
            <w:pPr>
              <w:rPr>
                <w:rFonts w:ascii="宋体"/>
                <w:vanish/>
              </w:rPr>
            </w:pPr>
          </w:p>
        </w:tc>
        <w:tc>
          <w:tcPr>
            <w:tcW w:w="0" w:type="auto"/>
            <w:shd w:val="clear" w:color="auto" w:fill="auto"/>
            <w:vAlign w:val="center"/>
          </w:tcPr>
          <w:p w14:paraId="64A8931F" w14:textId="77777777" w:rsidR="008D6614" w:rsidRDefault="008D6614">
            <w:pPr>
              <w:rPr>
                <w:rFonts w:ascii="宋体"/>
                <w:vanish/>
              </w:rPr>
            </w:pPr>
          </w:p>
        </w:tc>
      </w:tr>
      <w:tr w:rsidR="008D6614" w14:paraId="64A8932A" w14:textId="77777777">
        <w:trPr>
          <w:jc w:val="center"/>
        </w:trPr>
        <w:tc>
          <w:tcPr>
            <w:tcW w:w="0" w:type="auto"/>
            <w:gridSpan w:val="3"/>
            <w:shd w:val="clear" w:color="auto" w:fill="E2E2E2"/>
            <w:tcMar>
              <w:top w:w="40" w:type="dxa"/>
              <w:left w:w="20" w:type="dxa"/>
              <w:bottom w:w="40" w:type="dxa"/>
              <w:right w:w="20" w:type="dxa"/>
            </w:tcMar>
            <w:vAlign w:val="bottom"/>
          </w:tcPr>
          <w:p w14:paraId="64A89321" w14:textId="77777777" w:rsidR="008D6614" w:rsidRDefault="00866AF2">
            <w:pPr>
              <w:textAlignment w:val="bottom"/>
            </w:pPr>
            <w:r>
              <w:rPr>
                <w:rFonts w:ascii="Arial" w:eastAsia="宋体" w:hAnsi="Arial" w:cs="Arial"/>
                <w:color w:val="000000"/>
                <w:sz w:val="18"/>
                <w:szCs w:val="18"/>
              </w:rPr>
              <w:t>Cash and cash equivalents</w:t>
            </w:r>
          </w:p>
        </w:tc>
        <w:tc>
          <w:tcPr>
            <w:tcW w:w="0" w:type="auto"/>
            <w:gridSpan w:val="3"/>
            <w:shd w:val="clear" w:color="auto" w:fill="E2E2E2"/>
            <w:tcMar>
              <w:left w:w="20" w:type="dxa"/>
              <w:right w:w="20" w:type="dxa"/>
            </w:tcMar>
            <w:vAlign w:val="bottom"/>
          </w:tcPr>
          <w:p w14:paraId="64A89322"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9323"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324" w14:textId="77777777" w:rsidR="008D6614" w:rsidRDefault="00866AF2">
            <w:pPr>
              <w:jc w:val="right"/>
              <w:textAlignment w:val="bottom"/>
            </w:pPr>
            <w:r>
              <w:rPr>
                <w:rFonts w:ascii="Arial" w:eastAsia="宋体" w:hAnsi="Arial" w:cs="Arial"/>
                <w:color w:val="000000"/>
                <w:sz w:val="18"/>
                <w:szCs w:val="18"/>
              </w:rPr>
              <w:t>52 </w:t>
            </w:r>
          </w:p>
        </w:tc>
        <w:tc>
          <w:tcPr>
            <w:tcW w:w="0" w:type="auto"/>
            <w:shd w:val="clear" w:color="auto" w:fill="E2E2E2"/>
            <w:tcMar>
              <w:top w:w="40" w:type="dxa"/>
              <w:bottom w:w="40" w:type="dxa"/>
              <w:right w:w="20" w:type="dxa"/>
            </w:tcMar>
            <w:vAlign w:val="bottom"/>
          </w:tcPr>
          <w:p w14:paraId="64A8932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26" w14:textId="77777777" w:rsidR="008D6614" w:rsidRDefault="008D6614">
            <w:pPr>
              <w:rPr>
                <w:rFonts w:ascii="宋体"/>
                <w:vanish/>
              </w:rPr>
            </w:pPr>
          </w:p>
        </w:tc>
        <w:tc>
          <w:tcPr>
            <w:tcW w:w="0" w:type="auto"/>
            <w:shd w:val="clear" w:color="auto" w:fill="auto"/>
            <w:vAlign w:val="center"/>
          </w:tcPr>
          <w:p w14:paraId="64A89327" w14:textId="77777777" w:rsidR="008D6614" w:rsidRDefault="008D6614">
            <w:pPr>
              <w:rPr>
                <w:rFonts w:ascii="宋体"/>
                <w:vanish/>
              </w:rPr>
            </w:pPr>
          </w:p>
        </w:tc>
        <w:tc>
          <w:tcPr>
            <w:tcW w:w="0" w:type="auto"/>
            <w:shd w:val="clear" w:color="auto" w:fill="auto"/>
            <w:vAlign w:val="center"/>
          </w:tcPr>
          <w:p w14:paraId="64A89328" w14:textId="77777777" w:rsidR="008D6614" w:rsidRDefault="008D6614">
            <w:pPr>
              <w:rPr>
                <w:rFonts w:ascii="宋体"/>
                <w:vanish/>
              </w:rPr>
            </w:pPr>
          </w:p>
        </w:tc>
        <w:tc>
          <w:tcPr>
            <w:tcW w:w="0" w:type="auto"/>
            <w:shd w:val="clear" w:color="auto" w:fill="auto"/>
            <w:vAlign w:val="center"/>
          </w:tcPr>
          <w:p w14:paraId="64A89329" w14:textId="77777777" w:rsidR="008D6614" w:rsidRDefault="008D6614">
            <w:pPr>
              <w:rPr>
                <w:rFonts w:ascii="宋体"/>
                <w:vanish/>
              </w:rPr>
            </w:pPr>
          </w:p>
        </w:tc>
      </w:tr>
      <w:tr w:rsidR="008D6614" w14:paraId="64A89333" w14:textId="77777777">
        <w:trPr>
          <w:jc w:val="center"/>
        </w:trPr>
        <w:tc>
          <w:tcPr>
            <w:tcW w:w="0" w:type="auto"/>
            <w:gridSpan w:val="3"/>
            <w:shd w:val="clear" w:color="auto" w:fill="FFFFFF"/>
            <w:tcMar>
              <w:top w:w="40" w:type="dxa"/>
              <w:left w:w="20" w:type="dxa"/>
              <w:bottom w:w="40" w:type="dxa"/>
              <w:right w:w="20" w:type="dxa"/>
            </w:tcMar>
            <w:vAlign w:val="bottom"/>
          </w:tcPr>
          <w:p w14:paraId="64A8932B" w14:textId="77777777" w:rsidR="008D6614" w:rsidRDefault="00866AF2">
            <w:pPr>
              <w:textAlignment w:val="bottom"/>
            </w:pPr>
            <w:r>
              <w:rPr>
                <w:rFonts w:ascii="Arial" w:eastAsia="宋体" w:hAnsi="Arial" w:cs="Arial"/>
                <w:color w:val="000000"/>
                <w:sz w:val="18"/>
                <w:szCs w:val="18"/>
              </w:rPr>
              <w:t>Accounts receivable, net</w:t>
            </w:r>
          </w:p>
        </w:tc>
        <w:tc>
          <w:tcPr>
            <w:tcW w:w="0" w:type="auto"/>
            <w:gridSpan w:val="3"/>
            <w:shd w:val="clear" w:color="auto" w:fill="FFFFFF"/>
            <w:tcMar>
              <w:left w:w="20" w:type="dxa"/>
              <w:right w:w="20" w:type="dxa"/>
            </w:tcMar>
            <w:vAlign w:val="bottom"/>
          </w:tcPr>
          <w:p w14:paraId="64A8932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32D" w14:textId="77777777" w:rsidR="008D6614" w:rsidRDefault="00866AF2">
            <w:pPr>
              <w:jc w:val="right"/>
              <w:textAlignment w:val="bottom"/>
            </w:pPr>
            <w:r>
              <w:rPr>
                <w:rFonts w:ascii="Arial" w:eastAsia="宋体" w:hAnsi="Arial" w:cs="Arial"/>
                <w:color w:val="000000"/>
                <w:sz w:val="18"/>
                <w:szCs w:val="18"/>
              </w:rPr>
              <w:t>9 </w:t>
            </w:r>
          </w:p>
        </w:tc>
        <w:tc>
          <w:tcPr>
            <w:tcW w:w="0" w:type="auto"/>
            <w:shd w:val="clear" w:color="auto" w:fill="FFFFFF"/>
            <w:tcMar>
              <w:top w:w="40" w:type="dxa"/>
              <w:bottom w:w="40" w:type="dxa"/>
              <w:right w:w="20" w:type="dxa"/>
            </w:tcMar>
            <w:vAlign w:val="bottom"/>
          </w:tcPr>
          <w:p w14:paraId="64A8932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2F" w14:textId="77777777" w:rsidR="008D6614" w:rsidRDefault="008D6614">
            <w:pPr>
              <w:rPr>
                <w:rFonts w:ascii="宋体"/>
                <w:vanish/>
              </w:rPr>
            </w:pPr>
          </w:p>
        </w:tc>
        <w:tc>
          <w:tcPr>
            <w:tcW w:w="0" w:type="auto"/>
            <w:shd w:val="clear" w:color="auto" w:fill="auto"/>
            <w:vAlign w:val="center"/>
          </w:tcPr>
          <w:p w14:paraId="64A89330" w14:textId="77777777" w:rsidR="008D6614" w:rsidRDefault="008D6614">
            <w:pPr>
              <w:rPr>
                <w:rFonts w:ascii="宋体"/>
                <w:vanish/>
              </w:rPr>
            </w:pPr>
          </w:p>
        </w:tc>
        <w:tc>
          <w:tcPr>
            <w:tcW w:w="0" w:type="auto"/>
            <w:shd w:val="clear" w:color="auto" w:fill="auto"/>
            <w:vAlign w:val="center"/>
          </w:tcPr>
          <w:p w14:paraId="64A89331" w14:textId="77777777" w:rsidR="008D6614" w:rsidRDefault="008D6614">
            <w:pPr>
              <w:rPr>
                <w:rFonts w:ascii="宋体"/>
                <w:vanish/>
              </w:rPr>
            </w:pPr>
          </w:p>
        </w:tc>
        <w:tc>
          <w:tcPr>
            <w:tcW w:w="0" w:type="auto"/>
            <w:shd w:val="clear" w:color="auto" w:fill="auto"/>
            <w:vAlign w:val="center"/>
          </w:tcPr>
          <w:p w14:paraId="64A89332" w14:textId="77777777" w:rsidR="008D6614" w:rsidRDefault="008D6614">
            <w:pPr>
              <w:rPr>
                <w:rFonts w:ascii="宋体"/>
                <w:vanish/>
              </w:rPr>
            </w:pPr>
          </w:p>
        </w:tc>
      </w:tr>
      <w:tr w:rsidR="008D6614" w14:paraId="64A8933C" w14:textId="77777777">
        <w:trPr>
          <w:jc w:val="center"/>
        </w:trPr>
        <w:tc>
          <w:tcPr>
            <w:tcW w:w="0" w:type="auto"/>
            <w:gridSpan w:val="3"/>
            <w:shd w:val="clear" w:color="auto" w:fill="E2E2E2"/>
            <w:tcMar>
              <w:top w:w="40" w:type="dxa"/>
              <w:left w:w="20" w:type="dxa"/>
              <w:bottom w:w="40" w:type="dxa"/>
              <w:right w:w="20" w:type="dxa"/>
            </w:tcMar>
            <w:vAlign w:val="bottom"/>
          </w:tcPr>
          <w:p w14:paraId="64A89334" w14:textId="77777777" w:rsidR="008D6614" w:rsidRDefault="00866AF2">
            <w:pPr>
              <w:textAlignment w:val="bottom"/>
            </w:pPr>
            <w:r>
              <w:rPr>
                <w:rFonts w:ascii="Arial" w:eastAsia="宋体" w:hAnsi="Arial" w:cs="Arial"/>
                <w:color w:val="000000"/>
                <w:sz w:val="18"/>
                <w:szCs w:val="18"/>
              </w:rPr>
              <w:t>Other current assets</w:t>
            </w:r>
          </w:p>
        </w:tc>
        <w:tc>
          <w:tcPr>
            <w:tcW w:w="0" w:type="auto"/>
            <w:gridSpan w:val="3"/>
            <w:shd w:val="clear" w:color="auto" w:fill="E2E2E2"/>
            <w:tcMar>
              <w:left w:w="20" w:type="dxa"/>
              <w:right w:w="20" w:type="dxa"/>
            </w:tcMar>
            <w:vAlign w:val="bottom"/>
          </w:tcPr>
          <w:p w14:paraId="64A8933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336" w14:textId="77777777" w:rsidR="008D6614" w:rsidRDefault="00866AF2">
            <w:pPr>
              <w:jc w:val="right"/>
              <w:textAlignment w:val="bottom"/>
            </w:pPr>
            <w:r>
              <w:rPr>
                <w:rFonts w:ascii="Arial" w:eastAsia="宋体" w:hAnsi="Arial" w:cs="Arial"/>
                <w:color w:val="000000"/>
                <w:sz w:val="18"/>
                <w:szCs w:val="18"/>
              </w:rPr>
              <w:t>80 </w:t>
            </w:r>
          </w:p>
        </w:tc>
        <w:tc>
          <w:tcPr>
            <w:tcW w:w="0" w:type="auto"/>
            <w:shd w:val="clear" w:color="auto" w:fill="E2E2E2"/>
            <w:tcMar>
              <w:top w:w="40" w:type="dxa"/>
              <w:bottom w:w="40" w:type="dxa"/>
              <w:right w:w="20" w:type="dxa"/>
            </w:tcMar>
            <w:vAlign w:val="bottom"/>
          </w:tcPr>
          <w:p w14:paraId="64A8933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38" w14:textId="77777777" w:rsidR="008D6614" w:rsidRDefault="008D6614">
            <w:pPr>
              <w:rPr>
                <w:rFonts w:ascii="宋体"/>
                <w:vanish/>
              </w:rPr>
            </w:pPr>
          </w:p>
        </w:tc>
        <w:tc>
          <w:tcPr>
            <w:tcW w:w="0" w:type="auto"/>
            <w:shd w:val="clear" w:color="auto" w:fill="auto"/>
            <w:vAlign w:val="center"/>
          </w:tcPr>
          <w:p w14:paraId="64A89339" w14:textId="77777777" w:rsidR="008D6614" w:rsidRDefault="008D6614">
            <w:pPr>
              <w:rPr>
                <w:rFonts w:ascii="宋体"/>
                <w:vanish/>
              </w:rPr>
            </w:pPr>
          </w:p>
        </w:tc>
        <w:tc>
          <w:tcPr>
            <w:tcW w:w="0" w:type="auto"/>
            <w:shd w:val="clear" w:color="auto" w:fill="auto"/>
            <w:vAlign w:val="center"/>
          </w:tcPr>
          <w:p w14:paraId="64A8933A" w14:textId="77777777" w:rsidR="008D6614" w:rsidRDefault="008D6614">
            <w:pPr>
              <w:rPr>
                <w:rFonts w:ascii="宋体"/>
                <w:vanish/>
              </w:rPr>
            </w:pPr>
          </w:p>
        </w:tc>
        <w:tc>
          <w:tcPr>
            <w:tcW w:w="0" w:type="auto"/>
            <w:shd w:val="clear" w:color="auto" w:fill="auto"/>
            <w:vAlign w:val="center"/>
          </w:tcPr>
          <w:p w14:paraId="64A8933B" w14:textId="77777777" w:rsidR="008D6614" w:rsidRDefault="008D6614">
            <w:pPr>
              <w:rPr>
                <w:rFonts w:ascii="宋体"/>
                <w:vanish/>
              </w:rPr>
            </w:pPr>
          </w:p>
        </w:tc>
      </w:tr>
      <w:tr w:rsidR="008D6614" w14:paraId="64A89346" w14:textId="77777777">
        <w:trPr>
          <w:jc w:val="center"/>
        </w:trPr>
        <w:tc>
          <w:tcPr>
            <w:tcW w:w="0" w:type="auto"/>
            <w:gridSpan w:val="3"/>
            <w:shd w:val="clear" w:color="auto" w:fill="FFFFFF"/>
            <w:tcMar>
              <w:top w:w="40" w:type="dxa"/>
              <w:left w:w="20" w:type="dxa"/>
              <w:bottom w:w="40" w:type="dxa"/>
              <w:right w:w="20" w:type="dxa"/>
            </w:tcMar>
            <w:vAlign w:val="bottom"/>
          </w:tcPr>
          <w:p w14:paraId="64A8933D" w14:textId="77777777" w:rsidR="008D6614" w:rsidRDefault="00866AF2">
            <w:pPr>
              <w:ind w:firstLine="360"/>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current assets of discontinued operations</w:t>
            </w:r>
          </w:p>
        </w:tc>
        <w:tc>
          <w:tcPr>
            <w:tcW w:w="0" w:type="auto"/>
            <w:gridSpan w:val="3"/>
            <w:shd w:val="clear" w:color="auto" w:fill="FFFFFF"/>
            <w:tcMar>
              <w:left w:w="20" w:type="dxa"/>
              <w:right w:w="20" w:type="dxa"/>
            </w:tcMar>
            <w:vAlign w:val="bottom"/>
          </w:tcPr>
          <w:p w14:paraId="64A8933E"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33F"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340" w14:textId="77777777" w:rsidR="008D6614" w:rsidRDefault="00866AF2">
            <w:pPr>
              <w:jc w:val="right"/>
              <w:textAlignment w:val="bottom"/>
            </w:pPr>
            <w:r>
              <w:rPr>
                <w:rFonts w:ascii="Arial" w:eastAsia="宋体" w:hAnsi="Arial" w:cs="Arial"/>
                <w:color w:val="000000"/>
                <w:sz w:val="18"/>
                <w:szCs w:val="18"/>
              </w:rPr>
              <w:t>141 </w:t>
            </w:r>
          </w:p>
        </w:tc>
        <w:tc>
          <w:tcPr>
            <w:tcW w:w="0" w:type="auto"/>
            <w:tcBorders>
              <w:top w:val="single" w:sz="8" w:space="0" w:color="000000"/>
            </w:tcBorders>
            <w:shd w:val="clear" w:color="auto" w:fill="FFFFFF"/>
            <w:tcMar>
              <w:top w:w="40" w:type="dxa"/>
              <w:bottom w:w="40" w:type="dxa"/>
              <w:right w:w="20" w:type="dxa"/>
            </w:tcMar>
            <w:vAlign w:val="bottom"/>
          </w:tcPr>
          <w:p w14:paraId="64A8934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42" w14:textId="77777777" w:rsidR="008D6614" w:rsidRDefault="008D6614">
            <w:pPr>
              <w:rPr>
                <w:rFonts w:ascii="宋体"/>
                <w:vanish/>
              </w:rPr>
            </w:pPr>
          </w:p>
        </w:tc>
        <w:tc>
          <w:tcPr>
            <w:tcW w:w="0" w:type="auto"/>
            <w:shd w:val="clear" w:color="auto" w:fill="auto"/>
            <w:vAlign w:val="center"/>
          </w:tcPr>
          <w:p w14:paraId="64A89343" w14:textId="77777777" w:rsidR="008D6614" w:rsidRDefault="008D6614">
            <w:pPr>
              <w:rPr>
                <w:rFonts w:ascii="宋体"/>
                <w:vanish/>
              </w:rPr>
            </w:pPr>
          </w:p>
        </w:tc>
        <w:tc>
          <w:tcPr>
            <w:tcW w:w="0" w:type="auto"/>
            <w:shd w:val="clear" w:color="auto" w:fill="auto"/>
            <w:vAlign w:val="center"/>
          </w:tcPr>
          <w:p w14:paraId="64A89344" w14:textId="77777777" w:rsidR="008D6614" w:rsidRDefault="008D6614">
            <w:pPr>
              <w:rPr>
                <w:rFonts w:ascii="宋体"/>
                <w:vanish/>
              </w:rPr>
            </w:pPr>
          </w:p>
        </w:tc>
        <w:tc>
          <w:tcPr>
            <w:tcW w:w="0" w:type="auto"/>
            <w:shd w:val="clear" w:color="auto" w:fill="auto"/>
            <w:vAlign w:val="center"/>
          </w:tcPr>
          <w:p w14:paraId="64A89345" w14:textId="77777777" w:rsidR="008D6614" w:rsidRDefault="008D6614">
            <w:pPr>
              <w:rPr>
                <w:rFonts w:ascii="宋体"/>
                <w:vanish/>
              </w:rPr>
            </w:pPr>
          </w:p>
        </w:tc>
      </w:tr>
      <w:tr w:rsidR="008D6614" w14:paraId="64A8934F" w14:textId="77777777">
        <w:trPr>
          <w:jc w:val="center"/>
        </w:trPr>
        <w:tc>
          <w:tcPr>
            <w:tcW w:w="0" w:type="auto"/>
            <w:gridSpan w:val="3"/>
            <w:shd w:val="clear" w:color="auto" w:fill="E2E2E2"/>
            <w:tcMar>
              <w:top w:w="40" w:type="dxa"/>
              <w:left w:w="20" w:type="dxa"/>
              <w:bottom w:w="40" w:type="dxa"/>
              <w:right w:w="20" w:type="dxa"/>
            </w:tcMar>
            <w:vAlign w:val="bottom"/>
          </w:tcPr>
          <w:p w14:paraId="64A89347" w14:textId="77777777" w:rsidR="008D6614" w:rsidRDefault="00866AF2">
            <w:pPr>
              <w:textAlignment w:val="bottom"/>
            </w:pPr>
            <w:r>
              <w:rPr>
                <w:rFonts w:ascii="Arial" w:eastAsia="宋体" w:hAnsi="Arial" w:cs="Arial"/>
                <w:color w:val="000000"/>
                <w:sz w:val="18"/>
                <w:szCs w:val="18"/>
              </w:rPr>
              <w:t>Long-term investments</w:t>
            </w:r>
          </w:p>
        </w:tc>
        <w:tc>
          <w:tcPr>
            <w:tcW w:w="0" w:type="auto"/>
            <w:gridSpan w:val="3"/>
            <w:shd w:val="clear" w:color="auto" w:fill="E2E2E2"/>
            <w:tcMar>
              <w:left w:w="20" w:type="dxa"/>
              <w:right w:w="20" w:type="dxa"/>
            </w:tcMar>
            <w:vAlign w:val="bottom"/>
          </w:tcPr>
          <w:p w14:paraId="64A89348" w14:textId="77777777" w:rsidR="008D6614" w:rsidRDefault="008D6614">
            <w:pPr>
              <w:rPr>
                <w:rFonts w:ascii="宋体"/>
              </w:rPr>
            </w:pPr>
          </w:p>
        </w:tc>
        <w:tc>
          <w:tcPr>
            <w:tcW w:w="0" w:type="auto"/>
            <w:gridSpan w:val="2"/>
            <w:tcBorders>
              <w:top w:val="double" w:sz="6" w:space="0" w:color="000000"/>
            </w:tcBorders>
            <w:shd w:val="clear" w:color="auto" w:fill="E2E2E2"/>
            <w:tcMar>
              <w:top w:w="40" w:type="dxa"/>
              <w:left w:w="20" w:type="dxa"/>
              <w:bottom w:w="40" w:type="dxa"/>
              <w:right w:w="0" w:type="dxa"/>
            </w:tcMar>
            <w:vAlign w:val="bottom"/>
          </w:tcPr>
          <w:p w14:paraId="64A89349" w14:textId="77777777" w:rsidR="008D6614" w:rsidRDefault="00866AF2">
            <w:pPr>
              <w:jc w:val="right"/>
              <w:textAlignment w:val="bottom"/>
            </w:pPr>
            <w:r>
              <w:rPr>
                <w:rFonts w:ascii="Arial" w:eastAsia="宋体" w:hAnsi="Arial" w:cs="Arial"/>
                <w:color w:val="000000"/>
                <w:sz w:val="18"/>
                <w:szCs w:val="18"/>
              </w:rPr>
              <w:t>11 </w:t>
            </w:r>
          </w:p>
        </w:tc>
        <w:tc>
          <w:tcPr>
            <w:tcW w:w="0" w:type="auto"/>
            <w:tcBorders>
              <w:top w:val="double" w:sz="6" w:space="0" w:color="000000"/>
            </w:tcBorders>
            <w:shd w:val="clear" w:color="auto" w:fill="E2E2E2"/>
            <w:tcMar>
              <w:top w:w="40" w:type="dxa"/>
              <w:bottom w:w="40" w:type="dxa"/>
              <w:right w:w="20" w:type="dxa"/>
            </w:tcMar>
            <w:vAlign w:val="bottom"/>
          </w:tcPr>
          <w:p w14:paraId="64A8934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4B" w14:textId="77777777" w:rsidR="008D6614" w:rsidRDefault="008D6614">
            <w:pPr>
              <w:rPr>
                <w:rFonts w:ascii="宋体"/>
                <w:vanish/>
              </w:rPr>
            </w:pPr>
          </w:p>
        </w:tc>
        <w:tc>
          <w:tcPr>
            <w:tcW w:w="0" w:type="auto"/>
            <w:shd w:val="clear" w:color="auto" w:fill="auto"/>
            <w:vAlign w:val="center"/>
          </w:tcPr>
          <w:p w14:paraId="64A8934C" w14:textId="77777777" w:rsidR="008D6614" w:rsidRDefault="008D6614">
            <w:pPr>
              <w:rPr>
                <w:rFonts w:ascii="宋体"/>
                <w:vanish/>
              </w:rPr>
            </w:pPr>
          </w:p>
        </w:tc>
        <w:tc>
          <w:tcPr>
            <w:tcW w:w="0" w:type="auto"/>
            <w:shd w:val="clear" w:color="auto" w:fill="auto"/>
            <w:vAlign w:val="center"/>
          </w:tcPr>
          <w:p w14:paraId="64A8934D" w14:textId="77777777" w:rsidR="008D6614" w:rsidRDefault="008D6614">
            <w:pPr>
              <w:rPr>
                <w:rFonts w:ascii="宋体"/>
                <w:vanish/>
              </w:rPr>
            </w:pPr>
          </w:p>
        </w:tc>
        <w:tc>
          <w:tcPr>
            <w:tcW w:w="0" w:type="auto"/>
            <w:shd w:val="clear" w:color="auto" w:fill="auto"/>
            <w:vAlign w:val="center"/>
          </w:tcPr>
          <w:p w14:paraId="64A8934E" w14:textId="77777777" w:rsidR="008D6614" w:rsidRDefault="008D6614">
            <w:pPr>
              <w:rPr>
                <w:rFonts w:ascii="宋体"/>
                <w:vanish/>
              </w:rPr>
            </w:pPr>
          </w:p>
        </w:tc>
      </w:tr>
      <w:tr w:rsidR="008D6614" w14:paraId="64A89358" w14:textId="77777777">
        <w:trPr>
          <w:jc w:val="center"/>
        </w:trPr>
        <w:tc>
          <w:tcPr>
            <w:tcW w:w="0" w:type="auto"/>
            <w:gridSpan w:val="3"/>
            <w:shd w:val="clear" w:color="auto" w:fill="FFFFFF"/>
            <w:tcMar>
              <w:top w:w="40" w:type="dxa"/>
              <w:left w:w="20" w:type="dxa"/>
              <w:bottom w:w="40" w:type="dxa"/>
              <w:right w:w="20" w:type="dxa"/>
            </w:tcMar>
            <w:vAlign w:val="bottom"/>
          </w:tcPr>
          <w:p w14:paraId="64A89350" w14:textId="77777777" w:rsidR="008D6614" w:rsidRDefault="00866AF2">
            <w:pPr>
              <w:textAlignment w:val="bottom"/>
            </w:pPr>
            <w:r>
              <w:rPr>
                <w:rFonts w:ascii="Arial" w:eastAsia="宋体" w:hAnsi="Arial" w:cs="Arial"/>
                <w:color w:val="000000"/>
                <w:sz w:val="18"/>
                <w:szCs w:val="18"/>
              </w:rPr>
              <w:t>Property and equipment, net</w:t>
            </w:r>
          </w:p>
        </w:tc>
        <w:tc>
          <w:tcPr>
            <w:tcW w:w="0" w:type="auto"/>
            <w:gridSpan w:val="3"/>
            <w:shd w:val="clear" w:color="auto" w:fill="FFFFFF"/>
            <w:tcMar>
              <w:left w:w="20" w:type="dxa"/>
              <w:right w:w="20" w:type="dxa"/>
            </w:tcMar>
            <w:vAlign w:val="bottom"/>
          </w:tcPr>
          <w:p w14:paraId="64A8935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352" w14:textId="77777777" w:rsidR="008D6614" w:rsidRDefault="00866AF2">
            <w:pPr>
              <w:jc w:val="right"/>
              <w:textAlignment w:val="bottom"/>
            </w:pPr>
            <w:r>
              <w:rPr>
                <w:rFonts w:ascii="Arial" w:eastAsia="宋体" w:hAnsi="Arial" w:cs="Arial"/>
                <w:color w:val="000000"/>
                <w:sz w:val="18"/>
                <w:szCs w:val="18"/>
              </w:rPr>
              <w:t>26 </w:t>
            </w:r>
          </w:p>
        </w:tc>
        <w:tc>
          <w:tcPr>
            <w:tcW w:w="0" w:type="auto"/>
            <w:shd w:val="clear" w:color="auto" w:fill="FFFFFF"/>
            <w:tcMar>
              <w:top w:w="40" w:type="dxa"/>
              <w:bottom w:w="40" w:type="dxa"/>
              <w:right w:w="20" w:type="dxa"/>
            </w:tcMar>
            <w:vAlign w:val="bottom"/>
          </w:tcPr>
          <w:p w14:paraId="64A8935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54" w14:textId="77777777" w:rsidR="008D6614" w:rsidRDefault="008D6614">
            <w:pPr>
              <w:rPr>
                <w:rFonts w:ascii="宋体"/>
                <w:vanish/>
              </w:rPr>
            </w:pPr>
          </w:p>
        </w:tc>
        <w:tc>
          <w:tcPr>
            <w:tcW w:w="0" w:type="auto"/>
            <w:shd w:val="clear" w:color="auto" w:fill="auto"/>
            <w:vAlign w:val="center"/>
          </w:tcPr>
          <w:p w14:paraId="64A89355" w14:textId="77777777" w:rsidR="008D6614" w:rsidRDefault="008D6614">
            <w:pPr>
              <w:rPr>
                <w:rFonts w:ascii="宋体"/>
                <w:vanish/>
              </w:rPr>
            </w:pPr>
          </w:p>
        </w:tc>
        <w:tc>
          <w:tcPr>
            <w:tcW w:w="0" w:type="auto"/>
            <w:shd w:val="clear" w:color="auto" w:fill="auto"/>
            <w:vAlign w:val="center"/>
          </w:tcPr>
          <w:p w14:paraId="64A89356" w14:textId="77777777" w:rsidR="008D6614" w:rsidRDefault="008D6614">
            <w:pPr>
              <w:rPr>
                <w:rFonts w:ascii="宋体"/>
                <w:vanish/>
              </w:rPr>
            </w:pPr>
          </w:p>
        </w:tc>
        <w:tc>
          <w:tcPr>
            <w:tcW w:w="0" w:type="auto"/>
            <w:shd w:val="clear" w:color="auto" w:fill="auto"/>
            <w:vAlign w:val="center"/>
          </w:tcPr>
          <w:p w14:paraId="64A89357" w14:textId="77777777" w:rsidR="008D6614" w:rsidRDefault="008D6614">
            <w:pPr>
              <w:rPr>
                <w:rFonts w:ascii="宋体"/>
                <w:vanish/>
              </w:rPr>
            </w:pPr>
          </w:p>
        </w:tc>
      </w:tr>
      <w:tr w:rsidR="008D6614" w14:paraId="64A89361" w14:textId="77777777">
        <w:trPr>
          <w:jc w:val="center"/>
        </w:trPr>
        <w:tc>
          <w:tcPr>
            <w:tcW w:w="0" w:type="auto"/>
            <w:gridSpan w:val="3"/>
            <w:shd w:val="clear" w:color="auto" w:fill="E2E2E2"/>
            <w:tcMar>
              <w:top w:w="40" w:type="dxa"/>
              <w:left w:w="20" w:type="dxa"/>
              <w:bottom w:w="40" w:type="dxa"/>
              <w:right w:w="20" w:type="dxa"/>
            </w:tcMar>
            <w:vAlign w:val="bottom"/>
          </w:tcPr>
          <w:p w14:paraId="64A89359" w14:textId="77777777" w:rsidR="008D6614" w:rsidRDefault="00866AF2">
            <w:pPr>
              <w:textAlignment w:val="bottom"/>
            </w:pPr>
            <w:r>
              <w:rPr>
                <w:rFonts w:ascii="Arial" w:eastAsia="宋体" w:hAnsi="Arial" w:cs="Arial"/>
                <w:color w:val="000000"/>
                <w:sz w:val="18"/>
                <w:szCs w:val="18"/>
              </w:rPr>
              <w:t>Goodwill</w:t>
            </w:r>
          </w:p>
        </w:tc>
        <w:tc>
          <w:tcPr>
            <w:tcW w:w="0" w:type="auto"/>
            <w:gridSpan w:val="3"/>
            <w:shd w:val="clear" w:color="auto" w:fill="E2E2E2"/>
            <w:tcMar>
              <w:left w:w="20" w:type="dxa"/>
              <w:right w:w="20" w:type="dxa"/>
            </w:tcMar>
            <w:vAlign w:val="bottom"/>
          </w:tcPr>
          <w:p w14:paraId="64A8935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35B" w14:textId="77777777" w:rsidR="008D6614" w:rsidRDefault="00866AF2">
            <w:pPr>
              <w:jc w:val="right"/>
              <w:textAlignment w:val="bottom"/>
            </w:pPr>
            <w:r>
              <w:rPr>
                <w:rFonts w:ascii="Arial" w:eastAsia="宋体" w:hAnsi="Arial" w:cs="Arial"/>
                <w:color w:val="000000"/>
                <w:sz w:val="18"/>
                <w:szCs w:val="18"/>
              </w:rPr>
              <w:t>224 </w:t>
            </w:r>
          </w:p>
        </w:tc>
        <w:tc>
          <w:tcPr>
            <w:tcW w:w="0" w:type="auto"/>
            <w:shd w:val="clear" w:color="auto" w:fill="E2E2E2"/>
            <w:tcMar>
              <w:top w:w="40" w:type="dxa"/>
              <w:bottom w:w="40" w:type="dxa"/>
              <w:right w:w="20" w:type="dxa"/>
            </w:tcMar>
            <w:vAlign w:val="bottom"/>
          </w:tcPr>
          <w:p w14:paraId="64A8935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5D" w14:textId="77777777" w:rsidR="008D6614" w:rsidRDefault="008D6614">
            <w:pPr>
              <w:rPr>
                <w:rFonts w:ascii="宋体"/>
                <w:vanish/>
              </w:rPr>
            </w:pPr>
          </w:p>
        </w:tc>
        <w:tc>
          <w:tcPr>
            <w:tcW w:w="0" w:type="auto"/>
            <w:shd w:val="clear" w:color="auto" w:fill="auto"/>
            <w:vAlign w:val="center"/>
          </w:tcPr>
          <w:p w14:paraId="64A8935E" w14:textId="77777777" w:rsidR="008D6614" w:rsidRDefault="008D6614">
            <w:pPr>
              <w:rPr>
                <w:rFonts w:ascii="宋体"/>
                <w:vanish/>
              </w:rPr>
            </w:pPr>
          </w:p>
        </w:tc>
        <w:tc>
          <w:tcPr>
            <w:tcW w:w="0" w:type="auto"/>
            <w:shd w:val="clear" w:color="auto" w:fill="auto"/>
            <w:vAlign w:val="center"/>
          </w:tcPr>
          <w:p w14:paraId="64A8935F" w14:textId="77777777" w:rsidR="008D6614" w:rsidRDefault="008D6614">
            <w:pPr>
              <w:rPr>
                <w:rFonts w:ascii="宋体"/>
                <w:vanish/>
              </w:rPr>
            </w:pPr>
          </w:p>
        </w:tc>
        <w:tc>
          <w:tcPr>
            <w:tcW w:w="0" w:type="auto"/>
            <w:shd w:val="clear" w:color="auto" w:fill="auto"/>
            <w:vAlign w:val="center"/>
          </w:tcPr>
          <w:p w14:paraId="64A89360" w14:textId="77777777" w:rsidR="008D6614" w:rsidRDefault="008D6614">
            <w:pPr>
              <w:rPr>
                <w:rFonts w:ascii="宋体"/>
                <w:vanish/>
              </w:rPr>
            </w:pPr>
          </w:p>
        </w:tc>
      </w:tr>
      <w:tr w:rsidR="008D6614" w14:paraId="64A8936A" w14:textId="77777777">
        <w:trPr>
          <w:jc w:val="center"/>
        </w:trPr>
        <w:tc>
          <w:tcPr>
            <w:tcW w:w="0" w:type="auto"/>
            <w:gridSpan w:val="3"/>
            <w:shd w:val="clear" w:color="auto" w:fill="FFFFFF"/>
            <w:tcMar>
              <w:top w:w="40" w:type="dxa"/>
              <w:left w:w="20" w:type="dxa"/>
              <w:bottom w:w="40" w:type="dxa"/>
              <w:right w:w="20" w:type="dxa"/>
            </w:tcMar>
            <w:vAlign w:val="bottom"/>
          </w:tcPr>
          <w:p w14:paraId="64A89362" w14:textId="77777777" w:rsidR="008D6614" w:rsidRDefault="00866AF2">
            <w:pPr>
              <w:textAlignment w:val="bottom"/>
            </w:pPr>
            <w:r>
              <w:rPr>
                <w:rFonts w:ascii="Arial" w:eastAsia="宋体" w:hAnsi="Arial" w:cs="Arial"/>
                <w:color w:val="000000"/>
                <w:sz w:val="18"/>
                <w:szCs w:val="18"/>
              </w:rPr>
              <w:t>Intangible assets, net</w:t>
            </w:r>
          </w:p>
        </w:tc>
        <w:tc>
          <w:tcPr>
            <w:tcW w:w="0" w:type="auto"/>
            <w:gridSpan w:val="3"/>
            <w:shd w:val="clear" w:color="auto" w:fill="FFFFFF"/>
            <w:tcMar>
              <w:left w:w="20" w:type="dxa"/>
              <w:right w:w="20" w:type="dxa"/>
            </w:tcMar>
            <w:vAlign w:val="bottom"/>
          </w:tcPr>
          <w:p w14:paraId="64A8936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364" w14:textId="77777777" w:rsidR="008D6614" w:rsidRDefault="00866AF2">
            <w:pPr>
              <w:jc w:val="right"/>
              <w:textAlignment w:val="bottom"/>
            </w:pPr>
            <w:r>
              <w:rPr>
                <w:rFonts w:ascii="Arial" w:eastAsia="宋体" w:hAnsi="Arial" w:cs="Arial"/>
                <w:color w:val="000000"/>
                <w:sz w:val="18"/>
                <w:szCs w:val="18"/>
              </w:rPr>
              <w:t>5 </w:t>
            </w:r>
          </w:p>
        </w:tc>
        <w:tc>
          <w:tcPr>
            <w:tcW w:w="0" w:type="auto"/>
            <w:shd w:val="clear" w:color="auto" w:fill="FFFFFF"/>
            <w:tcMar>
              <w:top w:w="40" w:type="dxa"/>
              <w:bottom w:w="40" w:type="dxa"/>
              <w:right w:w="20" w:type="dxa"/>
            </w:tcMar>
            <w:vAlign w:val="bottom"/>
          </w:tcPr>
          <w:p w14:paraId="64A8936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66" w14:textId="77777777" w:rsidR="008D6614" w:rsidRDefault="008D6614">
            <w:pPr>
              <w:rPr>
                <w:rFonts w:ascii="宋体"/>
                <w:vanish/>
              </w:rPr>
            </w:pPr>
          </w:p>
        </w:tc>
        <w:tc>
          <w:tcPr>
            <w:tcW w:w="0" w:type="auto"/>
            <w:shd w:val="clear" w:color="auto" w:fill="auto"/>
            <w:vAlign w:val="center"/>
          </w:tcPr>
          <w:p w14:paraId="64A89367" w14:textId="77777777" w:rsidR="008D6614" w:rsidRDefault="008D6614">
            <w:pPr>
              <w:rPr>
                <w:rFonts w:ascii="宋体"/>
                <w:vanish/>
              </w:rPr>
            </w:pPr>
          </w:p>
        </w:tc>
        <w:tc>
          <w:tcPr>
            <w:tcW w:w="0" w:type="auto"/>
            <w:shd w:val="clear" w:color="auto" w:fill="auto"/>
            <w:vAlign w:val="center"/>
          </w:tcPr>
          <w:p w14:paraId="64A89368" w14:textId="77777777" w:rsidR="008D6614" w:rsidRDefault="008D6614">
            <w:pPr>
              <w:rPr>
                <w:rFonts w:ascii="宋体"/>
                <w:vanish/>
              </w:rPr>
            </w:pPr>
          </w:p>
        </w:tc>
        <w:tc>
          <w:tcPr>
            <w:tcW w:w="0" w:type="auto"/>
            <w:shd w:val="clear" w:color="auto" w:fill="auto"/>
            <w:vAlign w:val="center"/>
          </w:tcPr>
          <w:p w14:paraId="64A89369" w14:textId="77777777" w:rsidR="008D6614" w:rsidRDefault="008D6614">
            <w:pPr>
              <w:rPr>
                <w:rFonts w:ascii="宋体"/>
                <w:vanish/>
              </w:rPr>
            </w:pPr>
          </w:p>
        </w:tc>
      </w:tr>
      <w:tr w:rsidR="008D6614" w14:paraId="64A89373" w14:textId="77777777">
        <w:trPr>
          <w:jc w:val="center"/>
        </w:trPr>
        <w:tc>
          <w:tcPr>
            <w:tcW w:w="0" w:type="auto"/>
            <w:gridSpan w:val="3"/>
            <w:shd w:val="clear" w:color="auto" w:fill="E2E2E2"/>
            <w:tcMar>
              <w:top w:w="40" w:type="dxa"/>
              <w:left w:w="20" w:type="dxa"/>
              <w:bottom w:w="40" w:type="dxa"/>
              <w:right w:w="20" w:type="dxa"/>
            </w:tcMar>
            <w:vAlign w:val="bottom"/>
          </w:tcPr>
          <w:p w14:paraId="64A8936B" w14:textId="77777777" w:rsidR="008D6614" w:rsidRDefault="00866AF2">
            <w:pPr>
              <w:textAlignment w:val="bottom"/>
            </w:pPr>
            <w:r>
              <w:rPr>
                <w:rFonts w:ascii="Arial" w:eastAsia="宋体" w:hAnsi="Arial" w:cs="Arial"/>
                <w:color w:val="000000"/>
                <w:sz w:val="18"/>
                <w:szCs w:val="18"/>
              </w:rPr>
              <w:t>Operating lease right-of-use assets</w:t>
            </w:r>
          </w:p>
        </w:tc>
        <w:tc>
          <w:tcPr>
            <w:tcW w:w="0" w:type="auto"/>
            <w:gridSpan w:val="3"/>
            <w:shd w:val="clear" w:color="auto" w:fill="E2E2E2"/>
            <w:tcMar>
              <w:left w:w="20" w:type="dxa"/>
              <w:right w:w="20" w:type="dxa"/>
            </w:tcMar>
            <w:vAlign w:val="bottom"/>
          </w:tcPr>
          <w:p w14:paraId="64A8936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36D" w14:textId="77777777" w:rsidR="008D6614" w:rsidRDefault="00866AF2">
            <w:pPr>
              <w:jc w:val="right"/>
              <w:textAlignment w:val="bottom"/>
            </w:pPr>
            <w:r>
              <w:rPr>
                <w:rFonts w:ascii="Arial" w:eastAsia="宋体" w:hAnsi="Arial" w:cs="Arial"/>
                <w:color w:val="000000"/>
                <w:sz w:val="18"/>
                <w:szCs w:val="18"/>
              </w:rPr>
              <w:t>29 </w:t>
            </w:r>
          </w:p>
        </w:tc>
        <w:tc>
          <w:tcPr>
            <w:tcW w:w="0" w:type="auto"/>
            <w:shd w:val="clear" w:color="auto" w:fill="E2E2E2"/>
            <w:tcMar>
              <w:top w:w="40" w:type="dxa"/>
              <w:bottom w:w="40" w:type="dxa"/>
              <w:right w:w="20" w:type="dxa"/>
            </w:tcMar>
            <w:vAlign w:val="bottom"/>
          </w:tcPr>
          <w:p w14:paraId="64A8936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6F" w14:textId="77777777" w:rsidR="008D6614" w:rsidRDefault="008D6614">
            <w:pPr>
              <w:rPr>
                <w:rFonts w:ascii="宋体"/>
                <w:vanish/>
              </w:rPr>
            </w:pPr>
          </w:p>
        </w:tc>
        <w:tc>
          <w:tcPr>
            <w:tcW w:w="0" w:type="auto"/>
            <w:shd w:val="clear" w:color="auto" w:fill="auto"/>
            <w:vAlign w:val="center"/>
          </w:tcPr>
          <w:p w14:paraId="64A89370" w14:textId="77777777" w:rsidR="008D6614" w:rsidRDefault="008D6614">
            <w:pPr>
              <w:rPr>
                <w:rFonts w:ascii="宋体"/>
                <w:vanish/>
              </w:rPr>
            </w:pPr>
          </w:p>
        </w:tc>
        <w:tc>
          <w:tcPr>
            <w:tcW w:w="0" w:type="auto"/>
            <w:shd w:val="clear" w:color="auto" w:fill="auto"/>
            <w:vAlign w:val="center"/>
          </w:tcPr>
          <w:p w14:paraId="64A89371" w14:textId="77777777" w:rsidR="008D6614" w:rsidRDefault="008D6614">
            <w:pPr>
              <w:rPr>
                <w:rFonts w:ascii="宋体"/>
                <w:vanish/>
              </w:rPr>
            </w:pPr>
          </w:p>
        </w:tc>
        <w:tc>
          <w:tcPr>
            <w:tcW w:w="0" w:type="auto"/>
            <w:shd w:val="clear" w:color="auto" w:fill="auto"/>
            <w:vAlign w:val="center"/>
          </w:tcPr>
          <w:p w14:paraId="64A89372" w14:textId="77777777" w:rsidR="008D6614" w:rsidRDefault="008D6614">
            <w:pPr>
              <w:rPr>
                <w:rFonts w:ascii="宋体"/>
                <w:vanish/>
              </w:rPr>
            </w:pPr>
          </w:p>
        </w:tc>
      </w:tr>
      <w:tr w:rsidR="008D6614" w14:paraId="64A8937C" w14:textId="77777777">
        <w:trPr>
          <w:jc w:val="center"/>
        </w:trPr>
        <w:tc>
          <w:tcPr>
            <w:tcW w:w="0" w:type="auto"/>
            <w:gridSpan w:val="3"/>
            <w:shd w:val="clear" w:color="auto" w:fill="FFFFFF"/>
            <w:tcMar>
              <w:top w:w="40" w:type="dxa"/>
              <w:left w:w="20" w:type="dxa"/>
              <w:bottom w:w="40" w:type="dxa"/>
              <w:right w:w="20" w:type="dxa"/>
            </w:tcMar>
            <w:vAlign w:val="bottom"/>
          </w:tcPr>
          <w:p w14:paraId="64A89374" w14:textId="77777777" w:rsidR="008D6614" w:rsidRDefault="00866AF2">
            <w:pPr>
              <w:textAlignment w:val="bottom"/>
            </w:pPr>
            <w:r>
              <w:rPr>
                <w:rFonts w:ascii="Arial" w:eastAsia="宋体" w:hAnsi="Arial" w:cs="Arial"/>
                <w:color w:val="000000"/>
                <w:sz w:val="18"/>
                <w:szCs w:val="18"/>
              </w:rPr>
              <w:t xml:space="preserve">Deferred tax </w:t>
            </w:r>
            <w:r>
              <w:rPr>
                <w:rFonts w:ascii="Arial" w:eastAsia="宋体" w:hAnsi="Arial" w:cs="Arial"/>
                <w:color w:val="000000"/>
                <w:sz w:val="18"/>
                <w:szCs w:val="18"/>
              </w:rPr>
              <w:t>assets</w:t>
            </w:r>
          </w:p>
        </w:tc>
        <w:tc>
          <w:tcPr>
            <w:tcW w:w="0" w:type="auto"/>
            <w:gridSpan w:val="3"/>
            <w:shd w:val="clear" w:color="auto" w:fill="FFFFFF"/>
            <w:tcMar>
              <w:left w:w="20" w:type="dxa"/>
              <w:right w:w="20" w:type="dxa"/>
            </w:tcMar>
            <w:vAlign w:val="bottom"/>
          </w:tcPr>
          <w:p w14:paraId="64A89375"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376" w14:textId="77777777" w:rsidR="008D6614" w:rsidRDefault="00866AF2">
            <w:pPr>
              <w:jc w:val="right"/>
              <w:textAlignment w:val="bottom"/>
            </w:pPr>
            <w:r>
              <w:rPr>
                <w:rFonts w:ascii="Arial" w:eastAsia="宋体" w:hAnsi="Arial" w:cs="Arial"/>
                <w:color w:val="000000"/>
                <w:sz w:val="18"/>
                <w:szCs w:val="18"/>
              </w:rPr>
              <w:t>8 </w:t>
            </w:r>
          </w:p>
        </w:tc>
        <w:tc>
          <w:tcPr>
            <w:tcW w:w="0" w:type="auto"/>
            <w:shd w:val="clear" w:color="auto" w:fill="FFFFFF"/>
            <w:tcMar>
              <w:top w:w="40" w:type="dxa"/>
              <w:bottom w:w="40" w:type="dxa"/>
              <w:right w:w="20" w:type="dxa"/>
            </w:tcMar>
            <w:vAlign w:val="bottom"/>
          </w:tcPr>
          <w:p w14:paraId="64A8937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78" w14:textId="77777777" w:rsidR="008D6614" w:rsidRDefault="008D6614">
            <w:pPr>
              <w:rPr>
                <w:rFonts w:ascii="宋体"/>
                <w:vanish/>
              </w:rPr>
            </w:pPr>
          </w:p>
        </w:tc>
        <w:tc>
          <w:tcPr>
            <w:tcW w:w="0" w:type="auto"/>
            <w:shd w:val="clear" w:color="auto" w:fill="auto"/>
            <w:vAlign w:val="center"/>
          </w:tcPr>
          <w:p w14:paraId="64A89379" w14:textId="77777777" w:rsidR="008D6614" w:rsidRDefault="008D6614">
            <w:pPr>
              <w:rPr>
                <w:rFonts w:ascii="宋体"/>
                <w:vanish/>
              </w:rPr>
            </w:pPr>
          </w:p>
        </w:tc>
        <w:tc>
          <w:tcPr>
            <w:tcW w:w="0" w:type="auto"/>
            <w:shd w:val="clear" w:color="auto" w:fill="auto"/>
            <w:vAlign w:val="center"/>
          </w:tcPr>
          <w:p w14:paraId="64A8937A" w14:textId="77777777" w:rsidR="008D6614" w:rsidRDefault="008D6614">
            <w:pPr>
              <w:rPr>
                <w:rFonts w:ascii="宋体"/>
                <w:vanish/>
              </w:rPr>
            </w:pPr>
          </w:p>
        </w:tc>
        <w:tc>
          <w:tcPr>
            <w:tcW w:w="0" w:type="auto"/>
            <w:shd w:val="clear" w:color="auto" w:fill="auto"/>
            <w:vAlign w:val="center"/>
          </w:tcPr>
          <w:p w14:paraId="64A8937B" w14:textId="77777777" w:rsidR="008D6614" w:rsidRDefault="008D6614">
            <w:pPr>
              <w:rPr>
                <w:rFonts w:ascii="宋体"/>
                <w:vanish/>
              </w:rPr>
            </w:pPr>
          </w:p>
        </w:tc>
      </w:tr>
      <w:tr w:rsidR="008D6614" w14:paraId="64A89385" w14:textId="77777777">
        <w:trPr>
          <w:jc w:val="center"/>
        </w:trPr>
        <w:tc>
          <w:tcPr>
            <w:tcW w:w="0" w:type="auto"/>
            <w:gridSpan w:val="3"/>
            <w:shd w:val="clear" w:color="auto" w:fill="E2E2E2"/>
            <w:tcMar>
              <w:top w:w="40" w:type="dxa"/>
              <w:left w:w="20" w:type="dxa"/>
              <w:bottom w:w="40" w:type="dxa"/>
              <w:right w:w="20" w:type="dxa"/>
            </w:tcMar>
            <w:vAlign w:val="bottom"/>
          </w:tcPr>
          <w:p w14:paraId="64A8937D" w14:textId="77777777" w:rsidR="008D6614" w:rsidRDefault="00866AF2">
            <w:pPr>
              <w:textAlignment w:val="bottom"/>
            </w:pPr>
            <w:r>
              <w:rPr>
                <w:rFonts w:ascii="Arial" w:eastAsia="宋体" w:hAnsi="Arial" w:cs="Arial"/>
                <w:color w:val="000000"/>
                <w:sz w:val="18"/>
                <w:szCs w:val="18"/>
              </w:rPr>
              <w:t>Other assets</w:t>
            </w:r>
          </w:p>
        </w:tc>
        <w:tc>
          <w:tcPr>
            <w:tcW w:w="0" w:type="auto"/>
            <w:gridSpan w:val="3"/>
            <w:shd w:val="clear" w:color="auto" w:fill="E2E2E2"/>
            <w:tcMar>
              <w:left w:w="20" w:type="dxa"/>
              <w:right w:w="20" w:type="dxa"/>
            </w:tcMar>
            <w:vAlign w:val="bottom"/>
          </w:tcPr>
          <w:p w14:paraId="64A8937E"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37F" w14:textId="77777777" w:rsidR="008D6614" w:rsidRDefault="00866AF2">
            <w:pPr>
              <w:jc w:val="right"/>
              <w:textAlignment w:val="bottom"/>
            </w:pPr>
            <w:r>
              <w:rPr>
                <w:rFonts w:ascii="Arial" w:eastAsia="宋体" w:hAnsi="Arial" w:cs="Arial"/>
                <w:color w:val="000000"/>
                <w:sz w:val="18"/>
                <w:szCs w:val="18"/>
              </w:rPr>
              <w:t>3 </w:t>
            </w:r>
          </w:p>
        </w:tc>
        <w:tc>
          <w:tcPr>
            <w:tcW w:w="0" w:type="auto"/>
            <w:shd w:val="clear" w:color="auto" w:fill="E2E2E2"/>
            <w:tcMar>
              <w:top w:w="40" w:type="dxa"/>
              <w:bottom w:w="40" w:type="dxa"/>
              <w:right w:w="20" w:type="dxa"/>
            </w:tcMar>
            <w:vAlign w:val="bottom"/>
          </w:tcPr>
          <w:p w14:paraId="64A8938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81" w14:textId="77777777" w:rsidR="008D6614" w:rsidRDefault="008D6614">
            <w:pPr>
              <w:rPr>
                <w:rFonts w:ascii="宋体"/>
                <w:vanish/>
              </w:rPr>
            </w:pPr>
          </w:p>
        </w:tc>
        <w:tc>
          <w:tcPr>
            <w:tcW w:w="0" w:type="auto"/>
            <w:shd w:val="clear" w:color="auto" w:fill="auto"/>
            <w:vAlign w:val="center"/>
          </w:tcPr>
          <w:p w14:paraId="64A89382" w14:textId="77777777" w:rsidR="008D6614" w:rsidRDefault="008D6614">
            <w:pPr>
              <w:rPr>
                <w:rFonts w:ascii="宋体"/>
                <w:vanish/>
              </w:rPr>
            </w:pPr>
          </w:p>
        </w:tc>
        <w:tc>
          <w:tcPr>
            <w:tcW w:w="0" w:type="auto"/>
            <w:shd w:val="clear" w:color="auto" w:fill="auto"/>
            <w:vAlign w:val="center"/>
          </w:tcPr>
          <w:p w14:paraId="64A89383" w14:textId="77777777" w:rsidR="008D6614" w:rsidRDefault="008D6614">
            <w:pPr>
              <w:rPr>
                <w:rFonts w:ascii="宋体"/>
                <w:vanish/>
              </w:rPr>
            </w:pPr>
          </w:p>
        </w:tc>
        <w:tc>
          <w:tcPr>
            <w:tcW w:w="0" w:type="auto"/>
            <w:shd w:val="clear" w:color="auto" w:fill="auto"/>
            <w:vAlign w:val="center"/>
          </w:tcPr>
          <w:p w14:paraId="64A89384" w14:textId="77777777" w:rsidR="008D6614" w:rsidRDefault="008D6614">
            <w:pPr>
              <w:rPr>
                <w:rFonts w:ascii="宋体"/>
                <w:vanish/>
              </w:rPr>
            </w:pPr>
          </w:p>
        </w:tc>
      </w:tr>
      <w:tr w:rsidR="008D6614" w14:paraId="64A8938F" w14:textId="77777777">
        <w:trPr>
          <w:jc w:val="center"/>
        </w:trPr>
        <w:tc>
          <w:tcPr>
            <w:tcW w:w="0" w:type="auto"/>
            <w:gridSpan w:val="3"/>
            <w:shd w:val="clear" w:color="auto" w:fill="FFFFFF"/>
            <w:tcMar>
              <w:top w:w="40" w:type="dxa"/>
              <w:left w:w="480" w:type="dxa"/>
              <w:bottom w:w="40" w:type="dxa"/>
              <w:right w:w="20" w:type="dxa"/>
            </w:tcMar>
            <w:vAlign w:val="bottom"/>
          </w:tcPr>
          <w:p w14:paraId="64A89386" w14:textId="77777777" w:rsidR="008D6614" w:rsidRDefault="00866AF2">
            <w:pPr>
              <w:textAlignment w:val="bottom"/>
            </w:pPr>
            <w:r>
              <w:rPr>
                <w:rFonts w:ascii="Arial" w:eastAsia="宋体" w:hAnsi="Arial" w:cs="Arial"/>
                <w:color w:val="000000"/>
                <w:sz w:val="18"/>
                <w:szCs w:val="18"/>
              </w:rPr>
              <w:t>Total long-term assets of discontinued operations</w:t>
            </w:r>
          </w:p>
        </w:tc>
        <w:tc>
          <w:tcPr>
            <w:tcW w:w="0" w:type="auto"/>
            <w:gridSpan w:val="3"/>
            <w:shd w:val="clear" w:color="auto" w:fill="FFFFFF"/>
            <w:tcMar>
              <w:left w:w="20" w:type="dxa"/>
              <w:right w:w="20" w:type="dxa"/>
            </w:tcMar>
            <w:vAlign w:val="bottom"/>
          </w:tcPr>
          <w:p w14:paraId="64A89387"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38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389" w14:textId="77777777" w:rsidR="008D6614" w:rsidRDefault="00866AF2">
            <w:pPr>
              <w:jc w:val="right"/>
              <w:textAlignment w:val="bottom"/>
            </w:pPr>
            <w:r>
              <w:rPr>
                <w:rFonts w:ascii="Arial" w:eastAsia="宋体" w:hAnsi="Arial" w:cs="Arial"/>
                <w:color w:val="000000"/>
                <w:sz w:val="18"/>
                <w:szCs w:val="18"/>
              </w:rPr>
              <w:t>306 </w:t>
            </w:r>
          </w:p>
        </w:tc>
        <w:tc>
          <w:tcPr>
            <w:tcW w:w="0" w:type="auto"/>
            <w:tcBorders>
              <w:top w:val="single" w:sz="8" w:space="0" w:color="000000"/>
            </w:tcBorders>
            <w:shd w:val="clear" w:color="auto" w:fill="FFFFFF"/>
            <w:tcMar>
              <w:top w:w="40" w:type="dxa"/>
              <w:bottom w:w="40" w:type="dxa"/>
              <w:right w:w="20" w:type="dxa"/>
            </w:tcMar>
            <w:vAlign w:val="bottom"/>
          </w:tcPr>
          <w:p w14:paraId="64A8938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8B" w14:textId="77777777" w:rsidR="008D6614" w:rsidRDefault="008D6614">
            <w:pPr>
              <w:rPr>
                <w:rFonts w:ascii="宋体"/>
                <w:vanish/>
              </w:rPr>
            </w:pPr>
          </w:p>
        </w:tc>
        <w:tc>
          <w:tcPr>
            <w:tcW w:w="0" w:type="auto"/>
            <w:shd w:val="clear" w:color="auto" w:fill="auto"/>
            <w:vAlign w:val="center"/>
          </w:tcPr>
          <w:p w14:paraId="64A8938C" w14:textId="77777777" w:rsidR="008D6614" w:rsidRDefault="008D6614">
            <w:pPr>
              <w:rPr>
                <w:rFonts w:ascii="宋体"/>
                <w:vanish/>
              </w:rPr>
            </w:pPr>
          </w:p>
        </w:tc>
        <w:tc>
          <w:tcPr>
            <w:tcW w:w="0" w:type="auto"/>
            <w:shd w:val="clear" w:color="auto" w:fill="auto"/>
            <w:vAlign w:val="center"/>
          </w:tcPr>
          <w:p w14:paraId="64A8938D" w14:textId="77777777" w:rsidR="008D6614" w:rsidRDefault="008D6614">
            <w:pPr>
              <w:rPr>
                <w:rFonts w:ascii="宋体"/>
                <w:vanish/>
              </w:rPr>
            </w:pPr>
          </w:p>
        </w:tc>
        <w:tc>
          <w:tcPr>
            <w:tcW w:w="0" w:type="auto"/>
            <w:shd w:val="clear" w:color="auto" w:fill="auto"/>
            <w:vAlign w:val="center"/>
          </w:tcPr>
          <w:p w14:paraId="64A8938E" w14:textId="77777777" w:rsidR="008D6614" w:rsidRDefault="008D6614">
            <w:pPr>
              <w:rPr>
                <w:rFonts w:ascii="宋体"/>
                <w:vanish/>
              </w:rPr>
            </w:pPr>
          </w:p>
        </w:tc>
      </w:tr>
      <w:tr w:rsidR="008D6614" w14:paraId="64A89397" w14:textId="77777777">
        <w:trPr>
          <w:trHeight w:val="280"/>
          <w:jc w:val="center"/>
        </w:trPr>
        <w:tc>
          <w:tcPr>
            <w:tcW w:w="0" w:type="auto"/>
            <w:gridSpan w:val="3"/>
            <w:shd w:val="clear" w:color="auto" w:fill="E2E2E2"/>
            <w:tcMar>
              <w:left w:w="20" w:type="dxa"/>
              <w:right w:w="20" w:type="dxa"/>
            </w:tcMar>
            <w:vAlign w:val="bottom"/>
          </w:tcPr>
          <w:p w14:paraId="64A89390"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391"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9392" w14:textId="77777777" w:rsidR="008D6614" w:rsidRDefault="008D6614">
            <w:pPr>
              <w:rPr>
                <w:rFonts w:ascii="宋体"/>
              </w:rPr>
            </w:pPr>
          </w:p>
        </w:tc>
        <w:tc>
          <w:tcPr>
            <w:tcW w:w="0" w:type="auto"/>
            <w:shd w:val="clear" w:color="auto" w:fill="auto"/>
            <w:vAlign w:val="center"/>
          </w:tcPr>
          <w:p w14:paraId="64A89393" w14:textId="77777777" w:rsidR="008D6614" w:rsidRDefault="008D6614">
            <w:pPr>
              <w:rPr>
                <w:rFonts w:ascii="宋体"/>
                <w:vanish/>
              </w:rPr>
            </w:pPr>
          </w:p>
        </w:tc>
        <w:tc>
          <w:tcPr>
            <w:tcW w:w="0" w:type="auto"/>
            <w:shd w:val="clear" w:color="auto" w:fill="auto"/>
            <w:vAlign w:val="center"/>
          </w:tcPr>
          <w:p w14:paraId="64A89394" w14:textId="77777777" w:rsidR="008D6614" w:rsidRDefault="008D6614">
            <w:pPr>
              <w:rPr>
                <w:rFonts w:ascii="宋体"/>
                <w:vanish/>
              </w:rPr>
            </w:pPr>
          </w:p>
        </w:tc>
        <w:tc>
          <w:tcPr>
            <w:tcW w:w="0" w:type="auto"/>
            <w:shd w:val="clear" w:color="auto" w:fill="auto"/>
            <w:vAlign w:val="center"/>
          </w:tcPr>
          <w:p w14:paraId="64A89395" w14:textId="77777777" w:rsidR="008D6614" w:rsidRDefault="008D6614">
            <w:pPr>
              <w:rPr>
                <w:rFonts w:ascii="宋体"/>
                <w:vanish/>
              </w:rPr>
            </w:pPr>
          </w:p>
        </w:tc>
        <w:tc>
          <w:tcPr>
            <w:tcW w:w="0" w:type="auto"/>
            <w:shd w:val="clear" w:color="auto" w:fill="auto"/>
            <w:vAlign w:val="center"/>
          </w:tcPr>
          <w:p w14:paraId="64A89396" w14:textId="77777777" w:rsidR="008D6614" w:rsidRDefault="008D6614">
            <w:pPr>
              <w:rPr>
                <w:rFonts w:ascii="宋体"/>
                <w:vanish/>
              </w:rPr>
            </w:pPr>
          </w:p>
        </w:tc>
      </w:tr>
      <w:tr w:rsidR="008D6614" w14:paraId="64A893A0" w14:textId="77777777">
        <w:trPr>
          <w:jc w:val="center"/>
        </w:trPr>
        <w:tc>
          <w:tcPr>
            <w:tcW w:w="0" w:type="auto"/>
            <w:gridSpan w:val="3"/>
            <w:shd w:val="clear" w:color="auto" w:fill="FFFFFF"/>
            <w:tcMar>
              <w:top w:w="40" w:type="dxa"/>
              <w:left w:w="20" w:type="dxa"/>
              <w:bottom w:w="40" w:type="dxa"/>
              <w:right w:w="20" w:type="dxa"/>
            </w:tcMar>
            <w:vAlign w:val="bottom"/>
          </w:tcPr>
          <w:p w14:paraId="64A89398" w14:textId="77777777" w:rsidR="008D6614" w:rsidRDefault="00866AF2">
            <w:pPr>
              <w:textAlignment w:val="bottom"/>
            </w:pPr>
            <w:r>
              <w:rPr>
                <w:rFonts w:ascii="Arial" w:eastAsia="宋体" w:hAnsi="Arial" w:cs="Arial"/>
                <w:color w:val="000000"/>
                <w:sz w:val="18"/>
                <w:szCs w:val="18"/>
              </w:rPr>
              <w:t>Carrying amounts of liabilities included as part of discontinued operations:</w:t>
            </w:r>
          </w:p>
        </w:tc>
        <w:tc>
          <w:tcPr>
            <w:tcW w:w="0" w:type="auto"/>
            <w:gridSpan w:val="3"/>
            <w:shd w:val="clear" w:color="auto" w:fill="FFFFFF"/>
            <w:tcMar>
              <w:left w:w="20" w:type="dxa"/>
              <w:right w:w="20" w:type="dxa"/>
            </w:tcMar>
            <w:vAlign w:val="bottom"/>
          </w:tcPr>
          <w:p w14:paraId="64A89399"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939A" w14:textId="77777777" w:rsidR="008D6614" w:rsidRDefault="008D6614">
            <w:pPr>
              <w:jc w:val="right"/>
              <w:rPr>
                <w:rFonts w:ascii="宋体"/>
              </w:rPr>
            </w:pPr>
          </w:p>
        </w:tc>
        <w:tc>
          <w:tcPr>
            <w:tcW w:w="0" w:type="auto"/>
            <w:shd w:val="clear" w:color="auto" w:fill="FFFFFF"/>
            <w:tcMar>
              <w:right w:w="20" w:type="dxa"/>
            </w:tcMar>
            <w:vAlign w:val="bottom"/>
          </w:tcPr>
          <w:p w14:paraId="64A8939B" w14:textId="77777777" w:rsidR="008D6614" w:rsidRDefault="008D6614">
            <w:pPr>
              <w:jc w:val="right"/>
              <w:rPr>
                <w:rFonts w:ascii="宋体"/>
              </w:rPr>
            </w:pPr>
          </w:p>
        </w:tc>
        <w:tc>
          <w:tcPr>
            <w:tcW w:w="0" w:type="auto"/>
            <w:shd w:val="clear" w:color="auto" w:fill="auto"/>
            <w:vAlign w:val="center"/>
          </w:tcPr>
          <w:p w14:paraId="64A8939C" w14:textId="77777777" w:rsidR="008D6614" w:rsidRDefault="008D6614">
            <w:pPr>
              <w:rPr>
                <w:rFonts w:ascii="宋体"/>
                <w:vanish/>
              </w:rPr>
            </w:pPr>
          </w:p>
        </w:tc>
        <w:tc>
          <w:tcPr>
            <w:tcW w:w="0" w:type="auto"/>
            <w:shd w:val="clear" w:color="auto" w:fill="auto"/>
            <w:vAlign w:val="center"/>
          </w:tcPr>
          <w:p w14:paraId="64A8939D" w14:textId="77777777" w:rsidR="008D6614" w:rsidRDefault="008D6614">
            <w:pPr>
              <w:rPr>
                <w:rFonts w:ascii="宋体"/>
                <w:vanish/>
              </w:rPr>
            </w:pPr>
          </w:p>
        </w:tc>
        <w:tc>
          <w:tcPr>
            <w:tcW w:w="0" w:type="auto"/>
            <w:shd w:val="clear" w:color="auto" w:fill="auto"/>
            <w:vAlign w:val="center"/>
          </w:tcPr>
          <w:p w14:paraId="64A8939E" w14:textId="77777777" w:rsidR="008D6614" w:rsidRDefault="008D6614">
            <w:pPr>
              <w:rPr>
                <w:rFonts w:ascii="宋体"/>
                <w:vanish/>
              </w:rPr>
            </w:pPr>
          </w:p>
        </w:tc>
        <w:tc>
          <w:tcPr>
            <w:tcW w:w="0" w:type="auto"/>
            <w:shd w:val="clear" w:color="auto" w:fill="auto"/>
            <w:vAlign w:val="center"/>
          </w:tcPr>
          <w:p w14:paraId="64A8939F" w14:textId="77777777" w:rsidR="008D6614" w:rsidRDefault="008D6614">
            <w:pPr>
              <w:rPr>
                <w:rFonts w:ascii="宋体"/>
                <w:vanish/>
              </w:rPr>
            </w:pPr>
          </w:p>
        </w:tc>
      </w:tr>
      <w:tr w:rsidR="008D6614" w14:paraId="64A893AA" w14:textId="77777777">
        <w:trPr>
          <w:jc w:val="center"/>
        </w:trPr>
        <w:tc>
          <w:tcPr>
            <w:tcW w:w="0" w:type="auto"/>
            <w:gridSpan w:val="3"/>
            <w:shd w:val="clear" w:color="auto" w:fill="E2E2E2"/>
            <w:tcMar>
              <w:top w:w="40" w:type="dxa"/>
              <w:left w:w="20" w:type="dxa"/>
              <w:bottom w:w="40" w:type="dxa"/>
              <w:right w:w="20" w:type="dxa"/>
            </w:tcMar>
            <w:vAlign w:val="bottom"/>
          </w:tcPr>
          <w:p w14:paraId="64A893A1" w14:textId="77777777" w:rsidR="008D6614" w:rsidRDefault="00866AF2">
            <w:pPr>
              <w:textAlignment w:val="bottom"/>
            </w:pPr>
            <w:r>
              <w:rPr>
                <w:rFonts w:ascii="Arial" w:eastAsia="宋体" w:hAnsi="Arial" w:cs="Arial"/>
                <w:color w:val="000000"/>
                <w:sz w:val="18"/>
                <w:szCs w:val="18"/>
              </w:rPr>
              <w:t>Accounts payable</w:t>
            </w:r>
          </w:p>
        </w:tc>
        <w:tc>
          <w:tcPr>
            <w:tcW w:w="0" w:type="auto"/>
            <w:gridSpan w:val="3"/>
            <w:shd w:val="clear" w:color="auto" w:fill="E2E2E2"/>
            <w:tcMar>
              <w:left w:w="20" w:type="dxa"/>
              <w:right w:w="20" w:type="dxa"/>
            </w:tcMar>
            <w:vAlign w:val="bottom"/>
          </w:tcPr>
          <w:p w14:paraId="64A893A2"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93A3"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3A4" w14:textId="77777777" w:rsidR="008D6614" w:rsidRDefault="00866AF2">
            <w:pPr>
              <w:jc w:val="right"/>
              <w:textAlignment w:val="bottom"/>
            </w:pPr>
            <w:r>
              <w:rPr>
                <w:rFonts w:ascii="Arial" w:eastAsia="宋体" w:hAnsi="Arial" w:cs="Arial"/>
                <w:color w:val="000000"/>
                <w:sz w:val="18"/>
                <w:szCs w:val="18"/>
              </w:rPr>
              <w:t>19 </w:t>
            </w:r>
          </w:p>
        </w:tc>
        <w:tc>
          <w:tcPr>
            <w:tcW w:w="0" w:type="auto"/>
            <w:shd w:val="clear" w:color="auto" w:fill="E2E2E2"/>
            <w:tcMar>
              <w:top w:w="40" w:type="dxa"/>
              <w:bottom w:w="40" w:type="dxa"/>
              <w:right w:w="20" w:type="dxa"/>
            </w:tcMar>
            <w:vAlign w:val="bottom"/>
          </w:tcPr>
          <w:p w14:paraId="64A893A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A6" w14:textId="77777777" w:rsidR="008D6614" w:rsidRDefault="008D6614">
            <w:pPr>
              <w:rPr>
                <w:rFonts w:ascii="宋体"/>
                <w:vanish/>
              </w:rPr>
            </w:pPr>
          </w:p>
        </w:tc>
        <w:tc>
          <w:tcPr>
            <w:tcW w:w="0" w:type="auto"/>
            <w:shd w:val="clear" w:color="auto" w:fill="auto"/>
            <w:vAlign w:val="center"/>
          </w:tcPr>
          <w:p w14:paraId="64A893A7" w14:textId="77777777" w:rsidR="008D6614" w:rsidRDefault="008D6614">
            <w:pPr>
              <w:rPr>
                <w:rFonts w:ascii="宋体"/>
                <w:vanish/>
              </w:rPr>
            </w:pPr>
          </w:p>
        </w:tc>
        <w:tc>
          <w:tcPr>
            <w:tcW w:w="0" w:type="auto"/>
            <w:shd w:val="clear" w:color="auto" w:fill="auto"/>
            <w:vAlign w:val="center"/>
          </w:tcPr>
          <w:p w14:paraId="64A893A8" w14:textId="77777777" w:rsidR="008D6614" w:rsidRDefault="008D6614">
            <w:pPr>
              <w:rPr>
                <w:rFonts w:ascii="宋体"/>
                <w:vanish/>
              </w:rPr>
            </w:pPr>
          </w:p>
        </w:tc>
        <w:tc>
          <w:tcPr>
            <w:tcW w:w="0" w:type="auto"/>
            <w:shd w:val="clear" w:color="auto" w:fill="auto"/>
            <w:vAlign w:val="center"/>
          </w:tcPr>
          <w:p w14:paraId="64A893A9" w14:textId="77777777" w:rsidR="008D6614" w:rsidRDefault="008D6614">
            <w:pPr>
              <w:rPr>
                <w:rFonts w:ascii="宋体"/>
                <w:vanish/>
              </w:rPr>
            </w:pPr>
          </w:p>
        </w:tc>
      </w:tr>
      <w:tr w:rsidR="008D6614" w14:paraId="64A893B3" w14:textId="77777777">
        <w:trPr>
          <w:jc w:val="center"/>
        </w:trPr>
        <w:tc>
          <w:tcPr>
            <w:tcW w:w="0" w:type="auto"/>
            <w:gridSpan w:val="3"/>
            <w:shd w:val="clear" w:color="auto" w:fill="FFFFFF"/>
            <w:tcMar>
              <w:top w:w="40" w:type="dxa"/>
              <w:left w:w="20" w:type="dxa"/>
              <w:bottom w:w="40" w:type="dxa"/>
              <w:right w:w="20" w:type="dxa"/>
            </w:tcMar>
            <w:vAlign w:val="bottom"/>
          </w:tcPr>
          <w:p w14:paraId="64A893AB" w14:textId="77777777" w:rsidR="008D6614" w:rsidRDefault="00866AF2">
            <w:pPr>
              <w:textAlignment w:val="bottom"/>
            </w:pPr>
            <w:r>
              <w:rPr>
                <w:rFonts w:ascii="Arial" w:eastAsia="宋体" w:hAnsi="Arial" w:cs="Arial"/>
                <w:color w:val="000000"/>
                <w:sz w:val="18"/>
                <w:szCs w:val="18"/>
              </w:rPr>
              <w:t xml:space="preserve">Accrued expenses and </w:t>
            </w:r>
            <w:r>
              <w:rPr>
                <w:rFonts w:ascii="Arial" w:eastAsia="宋体" w:hAnsi="Arial" w:cs="Arial"/>
                <w:color w:val="000000"/>
                <w:sz w:val="18"/>
                <w:szCs w:val="18"/>
              </w:rPr>
              <w:t>other current liabilities</w:t>
            </w:r>
          </w:p>
        </w:tc>
        <w:tc>
          <w:tcPr>
            <w:tcW w:w="0" w:type="auto"/>
            <w:gridSpan w:val="3"/>
            <w:shd w:val="clear" w:color="auto" w:fill="FFFFFF"/>
            <w:tcMar>
              <w:left w:w="20" w:type="dxa"/>
              <w:right w:w="20" w:type="dxa"/>
            </w:tcMar>
            <w:vAlign w:val="bottom"/>
          </w:tcPr>
          <w:p w14:paraId="64A893A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3AD" w14:textId="77777777" w:rsidR="008D6614" w:rsidRDefault="00866AF2">
            <w:pPr>
              <w:jc w:val="right"/>
              <w:textAlignment w:val="bottom"/>
            </w:pPr>
            <w:r>
              <w:rPr>
                <w:rFonts w:ascii="Arial" w:eastAsia="宋体" w:hAnsi="Arial" w:cs="Arial"/>
                <w:color w:val="000000"/>
                <w:sz w:val="18"/>
                <w:szCs w:val="18"/>
              </w:rPr>
              <w:t>215 </w:t>
            </w:r>
          </w:p>
        </w:tc>
        <w:tc>
          <w:tcPr>
            <w:tcW w:w="0" w:type="auto"/>
            <w:shd w:val="clear" w:color="auto" w:fill="FFFFFF"/>
            <w:tcMar>
              <w:top w:w="40" w:type="dxa"/>
              <w:bottom w:w="40" w:type="dxa"/>
              <w:right w:w="20" w:type="dxa"/>
            </w:tcMar>
            <w:vAlign w:val="bottom"/>
          </w:tcPr>
          <w:p w14:paraId="64A893A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AF" w14:textId="77777777" w:rsidR="008D6614" w:rsidRDefault="008D6614">
            <w:pPr>
              <w:rPr>
                <w:rFonts w:ascii="宋体"/>
                <w:vanish/>
              </w:rPr>
            </w:pPr>
          </w:p>
        </w:tc>
        <w:tc>
          <w:tcPr>
            <w:tcW w:w="0" w:type="auto"/>
            <w:shd w:val="clear" w:color="auto" w:fill="auto"/>
            <w:vAlign w:val="center"/>
          </w:tcPr>
          <w:p w14:paraId="64A893B0" w14:textId="77777777" w:rsidR="008D6614" w:rsidRDefault="008D6614">
            <w:pPr>
              <w:rPr>
                <w:rFonts w:ascii="宋体"/>
                <w:vanish/>
              </w:rPr>
            </w:pPr>
          </w:p>
        </w:tc>
        <w:tc>
          <w:tcPr>
            <w:tcW w:w="0" w:type="auto"/>
            <w:shd w:val="clear" w:color="auto" w:fill="auto"/>
            <w:vAlign w:val="center"/>
          </w:tcPr>
          <w:p w14:paraId="64A893B1" w14:textId="77777777" w:rsidR="008D6614" w:rsidRDefault="008D6614">
            <w:pPr>
              <w:rPr>
                <w:rFonts w:ascii="宋体"/>
                <w:vanish/>
              </w:rPr>
            </w:pPr>
          </w:p>
        </w:tc>
        <w:tc>
          <w:tcPr>
            <w:tcW w:w="0" w:type="auto"/>
            <w:shd w:val="clear" w:color="auto" w:fill="auto"/>
            <w:vAlign w:val="center"/>
          </w:tcPr>
          <w:p w14:paraId="64A893B2" w14:textId="77777777" w:rsidR="008D6614" w:rsidRDefault="008D6614">
            <w:pPr>
              <w:rPr>
                <w:rFonts w:ascii="宋体"/>
                <w:vanish/>
              </w:rPr>
            </w:pPr>
          </w:p>
        </w:tc>
      </w:tr>
      <w:tr w:rsidR="008D6614" w14:paraId="64A893BC" w14:textId="77777777">
        <w:trPr>
          <w:jc w:val="center"/>
        </w:trPr>
        <w:tc>
          <w:tcPr>
            <w:tcW w:w="0" w:type="auto"/>
            <w:gridSpan w:val="3"/>
            <w:shd w:val="clear" w:color="auto" w:fill="E2E2E2"/>
            <w:tcMar>
              <w:top w:w="40" w:type="dxa"/>
              <w:left w:w="20" w:type="dxa"/>
              <w:bottom w:w="40" w:type="dxa"/>
              <w:right w:w="20" w:type="dxa"/>
            </w:tcMar>
            <w:vAlign w:val="bottom"/>
          </w:tcPr>
          <w:p w14:paraId="64A893B4" w14:textId="77777777" w:rsidR="008D6614" w:rsidRDefault="00866AF2">
            <w:pPr>
              <w:textAlignment w:val="bottom"/>
            </w:pPr>
            <w:r>
              <w:rPr>
                <w:rFonts w:ascii="Arial" w:eastAsia="宋体" w:hAnsi="Arial" w:cs="Arial"/>
                <w:color w:val="000000"/>
                <w:sz w:val="18"/>
                <w:szCs w:val="18"/>
              </w:rPr>
              <w:t>Deferred revenue</w:t>
            </w:r>
          </w:p>
        </w:tc>
        <w:tc>
          <w:tcPr>
            <w:tcW w:w="0" w:type="auto"/>
            <w:gridSpan w:val="3"/>
            <w:shd w:val="clear" w:color="auto" w:fill="E2E2E2"/>
            <w:tcMar>
              <w:left w:w="20" w:type="dxa"/>
              <w:right w:w="20" w:type="dxa"/>
            </w:tcMar>
            <w:vAlign w:val="bottom"/>
          </w:tcPr>
          <w:p w14:paraId="64A893B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3B6" w14:textId="77777777" w:rsidR="008D6614" w:rsidRDefault="00866AF2">
            <w:pPr>
              <w:jc w:val="right"/>
              <w:textAlignment w:val="bottom"/>
            </w:pPr>
            <w:r>
              <w:rPr>
                <w:rFonts w:ascii="Arial" w:eastAsia="宋体" w:hAnsi="Arial" w:cs="Arial"/>
                <w:color w:val="000000"/>
                <w:sz w:val="18"/>
                <w:szCs w:val="18"/>
              </w:rPr>
              <w:t>23 </w:t>
            </w:r>
          </w:p>
        </w:tc>
        <w:tc>
          <w:tcPr>
            <w:tcW w:w="0" w:type="auto"/>
            <w:shd w:val="clear" w:color="auto" w:fill="E2E2E2"/>
            <w:tcMar>
              <w:top w:w="40" w:type="dxa"/>
              <w:bottom w:w="40" w:type="dxa"/>
              <w:right w:w="20" w:type="dxa"/>
            </w:tcMar>
            <w:vAlign w:val="bottom"/>
          </w:tcPr>
          <w:p w14:paraId="64A893B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B8" w14:textId="77777777" w:rsidR="008D6614" w:rsidRDefault="008D6614">
            <w:pPr>
              <w:rPr>
                <w:rFonts w:ascii="宋体"/>
                <w:vanish/>
              </w:rPr>
            </w:pPr>
          </w:p>
        </w:tc>
        <w:tc>
          <w:tcPr>
            <w:tcW w:w="0" w:type="auto"/>
            <w:shd w:val="clear" w:color="auto" w:fill="auto"/>
            <w:vAlign w:val="center"/>
          </w:tcPr>
          <w:p w14:paraId="64A893B9" w14:textId="77777777" w:rsidR="008D6614" w:rsidRDefault="008D6614">
            <w:pPr>
              <w:rPr>
                <w:rFonts w:ascii="宋体"/>
                <w:vanish/>
              </w:rPr>
            </w:pPr>
          </w:p>
        </w:tc>
        <w:tc>
          <w:tcPr>
            <w:tcW w:w="0" w:type="auto"/>
            <w:shd w:val="clear" w:color="auto" w:fill="auto"/>
            <w:vAlign w:val="center"/>
          </w:tcPr>
          <w:p w14:paraId="64A893BA" w14:textId="77777777" w:rsidR="008D6614" w:rsidRDefault="008D6614">
            <w:pPr>
              <w:rPr>
                <w:rFonts w:ascii="宋体"/>
                <w:vanish/>
              </w:rPr>
            </w:pPr>
          </w:p>
        </w:tc>
        <w:tc>
          <w:tcPr>
            <w:tcW w:w="0" w:type="auto"/>
            <w:shd w:val="clear" w:color="auto" w:fill="auto"/>
            <w:vAlign w:val="center"/>
          </w:tcPr>
          <w:p w14:paraId="64A893BB" w14:textId="77777777" w:rsidR="008D6614" w:rsidRDefault="008D6614">
            <w:pPr>
              <w:rPr>
                <w:rFonts w:ascii="宋体"/>
                <w:vanish/>
              </w:rPr>
            </w:pPr>
          </w:p>
        </w:tc>
      </w:tr>
      <w:tr w:rsidR="008D6614" w14:paraId="64A893C5" w14:textId="77777777">
        <w:trPr>
          <w:jc w:val="center"/>
        </w:trPr>
        <w:tc>
          <w:tcPr>
            <w:tcW w:w="0" w:type="auto"/>
            <w:gridSpan w:val="3"/>
            <w:shd w:val="clear" w:color="auto" w:fill="FFFFFF"/>
            <w:tcMar>
              <w:top w:w="40" w:type="dxa"/>
              <w:left w:w="20" w:type="dxa"/>
              <w:bottom w:w="40" w:type="dxa"/>
              <w:right w:w="20" w:type="dxa"/>
            </w:tcMar>
            <w:vAlign w:val="bottom"/>
          </w:tcPr>
          <w:p w14:paraId="64A893BD" w14:textId="77777777" w:rsidR="008D6614" w:rsidRDefault="00866AF2">
            <w:pPr>
              <w:textAlignment w:val="bottom"/>
            </w:pPr>
            <w:r>
              <w:rPr>
                <w:rFonts w:ascii="Arial" w:eastAsia="宋体" w:hAnsi="Arial" w:cs="Arial"/>
                <w:color w:val="000000"/>
                <w:sz w:val="18"/>
                <w:szCs w:val="18"/>
              </w:rPr>
              <w:t>Income taxes payable</w:t>
            </w:r>
          </w:p>
        </w:tc>
        <w:tc>
          <w:tcPr>
            <w:tcW w:w="0" w:type="auto"/>
            <w:gridSpan w:val="3"/>
            <w:shd w:val="clear" w:color="auto" w:fill="FFFFFF"/>
            <w:tcMar>
              <w:left w:w="20" w:type="dxa"/>
              <w:right w:w="20" w:type="dxa"/>
            </w:tcMar>
            <w:vAlign w:val="bottom"/>
          </w:tcPr>
          <w:p w14:paraId="64A893B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3BF"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93C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C1" w14:textId="77777777" w:rsidR="008D6614" w:rsidRDefault="008D6614">
            <w:pPr>
              <w:rPr>
                <w:rFonts w:ascii="宋体"/>
                <w:vanish/>
              </w:rPr>
            </w:pPr>
          </w:p>
        </w:tc>
        <w:tc>
          <w:tcPr>
            <w:tcW w:w="0" w:type="auto"/>
            <w:shd w:val="clear" w:color="auto" w:fill="auto"/>
            <w:vAlign w:val="center"/>
          </w:tcPr>
          <w:p w14:paraId="64A893C2" w14:textId="77777777" w:rsidR="008D6614" w:rsidRDefault="008D6614">
            <w:pPr>
              <w:rPr>
                <w:rFonts w:ascii="宋体"/>
                <w:vanish/>
              </w:rPr>
            </w:pPr>
          </w:p>
        </w:tc>
        <w:tc>
          <w:tcPr>
            <w:tcW w:w="0" w:type="auto"/>
            <w:shd w:val="clear" w:color="auto" w:fill="auto"/>
            <w:vAlign w:val="center"/>
          </w:tcPr>
          <w:p w14:paraId="64A893C3" w14:textId="77777777" w:rsidR="008D6614" w:rsidRDefault="008D6614">
            <w:pPr>
              <w:rPr>
                <w:rFonts w:ascii="宋体"/>
                <w:vanish/>
              </w:rPr>
            </w:pPr>
          </w:p>
        </w:tc>
        <w:tc>
          <w:tcPr>
            <w:tcW w:w="0" w:type="auto"/>
            <w:shd w:val="clear" w:color="auto" w:fill="auto"/>
            <w:vAlign w:val="center"/>
          </w:tcPr>
          <w:p w14:paraId="64A893C4" w14:textId="77777777" w:rsidR="008D6614" w:rsidRDefault="008D6614">
            <w:pPr>
              <w:rPr>
                <w:rFonts w:ascii="宋体"/>
                <w:vanish/>
              </w:rPr>
            </w:pPr>
          </w:p>
        </w:tc>
      </w:tr>
      <w:tr w:rsidR="008D6614" w14:paraId="64A893CF" w14:textId="77777777">
        <w:trPr>
          <w:jc w:val="center"/>
        </w:trPr>
        <w:tc>
          <w:tcPr>
            <w:tcW w:w="0" w:type="auto"/>
            <w:gridSpan w:val="3"/>
            <w:shd w:val="clear" w:color="auto" w:fill="E2E2E2"/>
            <w:tcMar>
              <w:top w:w="40" w:type="dxa"/>
              <w:left w:w="20" w:type="dxa"/>
              <w:bottom w:w="40" w:type="dxa"/>
              <w:right w:w="20" w:type="dxa"/>
            </w:tcMar>
            <w:vAlign w:val="bottom"/>
          </w:tcPr>
          <w:p w14:paraId="64A893C6" w14:textId="77777777" w:rsidR="008D6614" w:rsidRDefault="00866AF2">
            <w:pPr>
              <w:ind w:firstLine="360"/>
              <w:textAlignment w:val="bottom"/>
            </w:pPr>
            <w:r>
              <w:rPr>
                <w:rFonts w:ascii="Arial" w:eastAsia="宋体" w:hAnsi="Arial" w:cs="Arial"/>
                <w:color w:val="000000"/>
                <w:sz w:val="18"/>
                <w:szCs w:val="18"/>
              </w:rPr>
              <w:t xml:space="preserve">Total current liabilities of discontinued operations </w:t>
            </w:r>
          </w:p>
        </w:tc>
        <w:tc>
          <w:tcPr>
            <w:tcW w:w="0" w:type="auto"/>
            <w:gridSpan w:val="3"/>
            <w:shd w:val="clear" w:color="auto" w:fill="E2E2E2"/>
            <w:tcMar>
              <w:left w:w="20" w:type="dxa"/>
              <w:right w:w="20" w:type="dxa"/>
            </w:tcMar>
            <w:vAlign w:val="bottom"/>
          </w:tcPr>
          <w:p w14:paraId="64A893C7"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3C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3C9" w14:textId="77777777" w:rsidR="008D6614" w:rsidRDefault="00866AF2">
            <w:pPr>
              <w:jc w:val="right"/>
              <w:textAlignment w:val="bottom"/>
            </w:pPr>
            <w:r>
              <w:rPr>
                <w:rFonts w:ascii="Arial" w:eastAsia="宋体" w:hAnsi="Arial" w:cs="Arial"/>
                <w:color w:val="000000"/>
                <w:sz w:val="18"/>
                <w:szCs w:val="18"/>
              </w:rPr>
              <w:t>259 </w:t>
            </w:r>
          </w:p>
        </w:tc>
        <w:tc>
          <w:tcPr>
            <w:tcW w:w="0" w:type="auto"/>
            <w:tcBorders>
              <w:top w:val="single" w:sz="8" w:space="0" w:color="000000"/>
            </w:tcBorders>
            <w:shd w:val="clear" w:color="auto" w:fill="E2E2E2"/>
            <w:tcMar>
              <w:top w:w="40" w:type="dxa"/>
              <w:bottom w:w="40" w:type="dxa"/>
              <w:right w:w="20" w:type="dxa"/>
            </w:tcMar>
            <w:vAlign w:val="bottom"/>
          </w:tcPr>
          <w:p w14:paraId="64A893C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CB" w14:textId="77777777" w:rsidR="008D6614" w:rsidRDefault="008D6614">
            <w:pPr>
              <w:rPr>
                <w:rFonts w:ascii="宋体"/>
                <w:vanish/>
              </w:rPr>
            </w:pPr>
          </w:p>
        </w:tc>
        <w:tc>
          <w:tcPr>
            <w:tcW w:w="0" w:type="auto"/>
            <w:shd w:val="clear" w:color="auto" w:fill="auto"/>
            <w:vAlign w:val="center"/>
          </w:tcPr>
          <w:p w14:paraId="64A893CC" w14:textId="77777777" w:rsidR="008D6614" w:rsidRDefault="008D6614">
            <w:pPr>
              <w:rPr>
                <w:rFonts w:ascii="宋体"/>
                <w:vanish/>
              </w:rPr>
            </w:pPr>
          </w:p>
        </w:tc>
        <w:tc>
          <w:tcPr>
            <w:tcW w:w="0" w:type="auto"/>
            <w:shd w:val="clear" w:color="auto" w:fill="auto"/>
            <w:vAlign w:val="center"/>
          </w:tcPr>
          <w:p w14:paraId="64A893CD" w14:textId="77777777" w:rsidR="008D6614" w:rsidRDefault="008D6614">
            <w:pPr>
              <w:rPr>
                <w:rFonts w:ascii="宋体"/>
                <w:vanish/>
              </w:rPr>
            </w:pPr>
          </w:p>
        </w:tc>
        <w:tc>
          <w:tcPr>
            <w:tcW w:w="0" w:type="auto"/>
            <w:shd w:val="clear" w:color="auto" w:fill="auto"/>
            <w:vAlign w:val="center"/>
          </w:tcPr>
          <w:p w14:paraId="64A893CE" w14:textId="77777777" w:rsidR="008D6614" w:rsidRDefault="008D6614">
            <w:pPr>
              <w:rPr>
                <w:rFonts w:ascii="宋体"/>
                <w:vanish/>
              </w:rPr>
            </w:pPr>
          </w:p>
        </w:tc>
      </w:tr>
      <w:tr w:rsidR="008D6614" w14:paraId="64A893D8" w14:textId="77777777">
        <w:trPr>
          <w:jc w:val="center"/>
        </w:trPr>
        <w:tc>
          <w:tcPr>
            <w:tcW w:w="0" w:type="auto"/>
            <w:gridSpan w:val="3"/>
            <w:shd w:val="clear" w:color="auto" w:fill="FFFFFF"/>
            <w:tcMar>
              <w:top w:w="40" w:type="dxa"/>
              <w:left w:w="20" w:type="dxa"/>
              <w:bottom w:w="40" w:type="dxa"/>
              <w:right w:w="20" w:type="dxa"/>
            </w:tcMar>
            <w:vAlign w:val="bottom"/>
          </w:tcPr>
          <w:p w14:paraId="64A893D0" w14:textId="77777777" w:rsidR="008D6614" w:rsidRDefault="00866AF2">
            <w:pPr>
              <w:textAlignment w:val="bottom"/>
            </w:pPr>
            <w:r>
              <w:rPr>
                <w:rFonts w:ascii="Arial" w:eastAsia="宋体" w:hAnsi="Arial" w:cs="Arial"/>
                <w:color w:val="000000"/>
                <w:sz w:val="18"/>
                <w:szCs w:val="18"/>
              </w:rPr>
              <w:t>Operating lease liabilities</w:t>
            </w:r>
          </w:p>
        </w:tc>
        <w:tc>
          <w:tcPr>
            <w:tcW w:w="0" w:type="auto"/>
            <w:gridSpan w:val="3"/>
            <w:shd w:val="clear" w:color="auto" w:fill="FFFFFF"/>
            <w:tcMar>
              <w:left w:w="20" w:type="dxa"/>
              <w:right w:w="20" w:type="dxa"/>
            </w:tcMar>
            <w:vAlign w:val="bottom"/>
          </w:tcPr>
          <w:p w14:paraId="64A893D1" w14:textId="77777777" w:rsidR="008D6614" w:rsidRDefault="008D661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4A893D2" w14:textId="77777777" w:rsidR="008D6614" w:rsidRDefault="00866AF2">
            <w:pPr>
              <w:jc w:val="right"/>
              <w:textAlignment w:val="bottom"/>
            </w:pPr>
            <w:r>
              <w:rPr>
                <w:rFonts w:ascii="Arial" w:eastAsia="宋体" w:hAnsi="Arial" w:cs="Arial"/>
                <w:color w:val="000000"/>
                <w:sz w:val="18"/>
                <w:szCs w:val="18"/>
              </w:rPr>
              <w:t>20 </w:t>
            </w:r>
          </w:p>
        </w:tc>
        <w:tc>
          <w:tcPr>
            <w:tcW w:w="0" w:type="auto"/>
            <w:tcBorders>
              <w:top w:val="double" w:sz="6" w:space="0" w:color="000000"/>
            </w:tcBorders>
            <w:shd w:val="clear" w:color="auto" w:fill="FFFFFF"/>
            <w:tcMar>
              <w:top w:w="40" w:type="dxa"/>
              <w:bottom w:w="40" w:type="dxa"/>
              <w:right w:w="20" w:type="dxa"/>
            </w:tcMar>
            <w:vAlign w:val="bottom"/>
          </w:tcPr>
          <w:p w14:paraId="64A893D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D4" w14:textId="77777777" w:rsidR="008D6614" w:rsidRDefault="008D6614">
            <w:pPr>
              <w:rPr>
                <w:rFonts w:ascii="宋体"/>
                <w:vanish/>
              </w:rPr>
            </w:pPr>
          </w:p>
        </w:tc>
        <w:tc>
          <w:tcPr>
            <w:tcW w:w="0" w:type="auto"/>
            <w:shd w:val="clear" w:color="auto" w:fill="auto"/>
            <w:vAlign w:val="center"/>
          </w:tcPr>
          <w:p w14:paraId="64A893D5" w14:textId="77777777" w:rsidR="008D6614" w:rsidRDefault="008D6614">
            <w:pPr>
              <w:rPr>
                <w:rFonts w:ascii="宋体"/>
                <w:vanish/>
              </w:rPr>
            </w:pPr>
          </w:p>
        </w:tc>
        <w:tc>
          <w:tcPr>
            <w:tcW w:w="0" w:type="auto"/>
            <w:shd w:val="clear" w:color="auto" w:fill="auto"/>
            <w:vAlign w:val="center"/>
          </w:tcPr>
          <w:p w14:paraId="64A893D6" w14:textId="77777777" w:rsidR="008D6614" w:rsidRDefault="008D6614">
            <w:pPr>
              <w:rPr>
                <w:rFonts w:ascii="宋体"/>
                <w:vanish/>
              </w:rPr>
            </w:pPr>
          </w:p>
        </w:tc>
        <w:tc>
          <w:tcPr>
            <w:tcW w:w="0" w:type="auto"/>
            <w:shd w:val="clear" w:color="auto" w:fill="auto"/>
            <w:vAlign w:val="center"/>
          </w:tcPr>
          <w:p w14:paraId="64A893D7" w14:textId="77777777" w:rsidR="008D6614" w:rsidRDefault="008D6614">
            <w:pPr>
              <w:rPr>
                <w:rFonts w:ascii="宋体"/>
                <w:vanish/>
              </w:rPr>
            </w:pPr>
          </w:p>
        </w:tc>
      </w:tr>
      <w:tr w:rsidR="008D6614" w14:paraId="64A893E0" w14:textId="77777777">
        <w:trPr>
          <w:jc w:val="center"/>
          <w:hidden/>
        </w:trPr>
        <w:tc>
          <w:tcPr>
            <w:tcW w:w="0" w:type="auto"/>
            <w:gridSpan w:val="3"/>
            <w:shd w:val="clear" w:color="auto" w:fill="auto"/>
            <w:vAlign w:val="center"/>
          </w:tcPr>
          <w:p w14:paraId="64A893D9" w14:textId="77777777" w:rsidR="008D6614" w:rsidRDefault="008D6614">
            <w:pPr>
              <w:rPr>
                <w:rFonts w:ascii="宋体"/>
                <w:vanish/>
              </w:rPr>
            </w:pPr>
          </w:p>
        </w:tc>
        <w:tc>
          <w:tcPr>
            <w:tcW w:w="0" w:type="auto"/>
            <w:gridSpan w:val="3"/>
            <w:shd w:val="clear" w:color="auto" w:fill="auto"/>
            <w:vAlign w:val="center"/>
          </w:tcPr>
          <w:p w14:paraId="64A893DA" w14:textId="77777777" w:rsidR="008D6614" w:rsidRDefault="008D6614">
            <w:pPr>
              <w:rPr>
                <w:rFonts w:ascii="宋体"/>
                <w:vanish/>
              </w:rPr>
            </w:pPr>
          </w:p>
        </w:tc>
        <w:tc>
          <w:tcPr>
            <w:tcW w:w="0" w:type="auto"/>
            <w:gridSpan w:val="3"/>
            <w:shd w:val="clear" w:color="auto" w:fill="auto"/>
            <w:vAlign w:val="center"/>
          </w:tcPr>
          <w:p w14:paraId="64A893DB" w14:textId="77777777" w:rsidR="008D6614" w:rsidRDefault="008D6614">
            <w:pPr>
              <w:rPr>
                <w:rFonts w:ascii="宋体"/>
                <w:vanish/>
              </w:rPr>
            </w:pPr>
          </w:p>
        </w:tc>
        <w:tc>
          <w:tcPr>
            <w:tcW w:w="0" w:type="auto"/>
            <w:shd w:val="clear" w:color="auto" w:fill="auto"/>
            <w:vAlign w:val="center"/>
          </w:tcPr>
          <w:p w14:paraId="64A893DC" w14:textId="77777777" w:rsidR="008D6614" w:rsidRDefault="008D6614">
            <w:pPr>
              <w:rPr>
                <w:rFonts w:ascii="宋体"/>
                <w:vanish/>
              </w:rPr>
            </w:pPr>
          </w:p>
        </w:tc>
        <w:tc>
          <w:tcPr>
            <w:tcW w:w="0" w:type="auto"/>
            <w:shd w:val="clear" w:color="auto" w:fill="auto"/>
            <w:vAlign w:val="center"/>
          </w:tcPr>
          <w:p w14:paraId="64A893DD" w14:textId="77777777" w:rsidR="008D6614" w:rsidRDefault="008D6614">
            <w:pPr>
              <w:rPr>
                <w:rFonts w:ascii="宋体"/>
                <w:vanish/>
              </w:rPr>
            </w:pPr>
          </w:p>
        </w:tc>
        <w:tc>
          <w:tcPr>
            <w:tcW w:w="0" w:type="auto"/>
            <w:shd w:val="clear" w:color="auto" w:fill="auto"/>
            <w:vAlign w:val="center"/>
          </w:tcPr>
          <w:p w14:paraId="64A893DE" w14:textId="77777777" w:rsidR="008D6614" w:rsidRDefault="008D6614">
            <w:pPr>
              <w:rPr>
                <w:rFonts w:ascii="宋体"/>
                <w:vanish/>
              </w:rPr>
            </w:pPr>
          </w:p>
        </w:tc>
        <w:tc>
          <w:tcPr>
            <w:tcW w:w="0" w:type="auto"/>
            <w:shd w:val="clear" w:color="auto" w:fill="auto"/>
            <w:vAlign w:val="center"/>
          </w:tcPr>
          <w:p w14:paraId="64A893DF" w14:textId="77777777" w:rsidR="008D6614" w:rsidRDefault="008D6614">
            <w:pPr>
              <w:rPr>
                <w:rFonts w:ascii="宋体"/>
                <w:vanish/>
              </w:rPr>
            </w:pPr>
          </w:p>
        </w:tc>
      </w:tr>
      <w:tr w:rsidR="008D6614" w14:paraId="64A893E9" w14:textId="77777777">
        <w:trPr>
          <w:jc w:val="center"/>
        </w:trPr>
        <w:tc>
          <w:tcPr>
            <w:tcW w:w="0" w:type="auto"/>
            <w:gridSpan w:val="3"/>
            <w:shd w:val="clear" w:color="auto" w:fill="E2E2E2"/>
            <w:tcMar>
              <w:top w:w="40" w:type="dxa"/>
              <w:left w:w="20" w:type="dxa"/>
              <w:bottom w:w="40" w:type="dxa"/>
              <w:right w:w="20" w:type="dxa"/>
            </w:tcMar>
            <w:vAlign w:val="bottom"/>
          </w:tcPr>
          <w:p w14:paraId="64A893E1" w14:textId="77777777" w:rsidR="008D6614" w:rsidRDefault="00866AF2">
            <w:pPr>
              <w:textAlignment w:val="bottom"/>
            </w:pPr>
            <w:r>
              <w:rPr>
                <w:rFonts w:ascii="Arial" w:eastAsia="宋体" w:hAnsi="Arial" w:cs="Arial"/>
                <w:color w:val="000000"/>
                <w:sz w:val="18"/>
                <w:szCs w:val="18"/>
              </w:rPr>
              <w:t>Other liabilities</w:t>
            </w:r>
          </w:p>
        </w:tc>
        <w:tc>
          <w:tcPr>
            <w:tcW w:w="0" w:type="auto"/>
            <w:gridSpan w:val="3"/>
            <w:shd w:val="clear" w:color="auto" w:fill="E2E2E2"/>
            <w:tcMar>
              <w:left w:w="20" w:type="dxa"/>
              <w:right w:w="20" w:type="dxa"/>
            </w:tcMar>
            <w:vAlign w:val="bottom"/>
          </w:tcPr>
          <w:p w14:paraId="64A893E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3E3" w14:textId="77777777" w:rsidR="008D6614" w:rsidRDefault="00866AF2">
            <w:pPr>
              <w:jc w:val="right"/>
              <w:textAlignment w:val="bottom"/>
            </w:pPr>
            <w:r>
              <w:rPr>
                <w:rFonts w:ascii="Arial" w:eastAsia="宋体" w:hAnsi="Arial" w:cs="Arial"/>
                <w:color w:val="000000"/>
                <w:sz w:val="18"/>
                <w:szCs w:val="18"/>
              </w:rPr>
              <w:t>6 </w:t>
            </w:r>
          </w:p>
        </w:tc>
        <w:tc>
          <w:tcPr>
            <w:tcW w:w="0" w:type="auto"/>
            <w:shd w:val="clear" w:color="auto" w:fill="E2E2E2"/>
            <w:tcMar>
              <w:top w:w="40" w:type="dxa"/>
              <w:bottom w:w="40" w:type="dxa"/>
              <w:right w:w="20" w:type="dxa"/>
            </w:tcMar>
            <w:vAlign w:val="bottom"/>
          </w:tcPr>
          <w:p w14:paraId="64A893E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E5" w14:textId="77777777" w:rsidR="008D6614" w:rsidRDefault="008D6614">
            <w:pPr>
              <w:rPr>
                <w:rFonts w:ascii="宋体"/>
                <w:vanish/>
              </w:rPr>
            </w:pPr>
          </w:p>
        </w:tc>
        <w:tc>
          <w:tcPr>
            <w:tcW w:w="0" w:type="auto"/>
            <w:shd w:val="clear" w:color="auto" w:fill="auto"/>
            <w:vAlign w:val="center"/>
          </w:tcPr>
          <w:p w14:paraId="64A893E6" w14:textId="77777777" w:rsidR="008D6614" w:rsidRDefault="008D6614">
            <w:pPr>
              <w:rPr>
                <w:rFonts w:ascii="宋体"/>
                <w:vanish/>
              </w:rPr>
            </w:pPr>
          </w:p>
        </w:tc>
        <w:tc>
          <w:tcPr>
            <w:tcW w:w="0" w:type="auto"/>
            <w:shd w:val="clear" w:color="auto" w:fill="auto"/>
            <w:vAlign w:val="center"/>
          </w:tcPr>
          <w:p w14:paraId="64A893E7" w14:textId="77777777" w:rsidR="008D6614" w:rsidRDefault="008D6614">
            <w:pPr>
              <w:rPr>
                <w:rFonts w:ascii="宋体"/>
                <w:vanish/>
              </w:rPr>
            </w:pPr>
          </w:p>
        </w:tc>
        <w:tc>
          <w:tcPr>
            <w:tcW w:w="0" w:type="auto"/>
            <w:shd w:val="clear" w:color="auto" w:fill="auto"/>
            <w:vAlign w:val="center"/>
          </w:tcPr>
          <w:p w14:paraId="64A893E8" w14:textId="77777777" w:rsidR="008D6614" w:rsidRDefault="008D6614">
            <w:pPr>
              <w:rPr>
                <w:rFonts w:ascii="宋体"/>
                <w:vanish/>
              </w:rPr>
            </w:pPr>
          </w:p>
        </w:tc>
      </w:tr>
      <w:tr w:rsidR="008D6614" w14:paraId="64A893F3" w14:textId="77777777">
        <w:trPr>
          <w:jc w:val="center"/>
        </w:trPr>
        <w:tc>
          <w:tcPr>
            <w:tcW w:w="0" w:type="auto"/>
            <w:gridSpan w:val="3"/>
            <w:shd w:val="clear" w:color="auto" w:fill="FFFFFF"/>
            <w:tcMar>
              <w:top w:w="40" w:type="dxa"/>
              <w:left w:w="20" w:type="dxa"/>
              <w:bottom w:w="40" w:type="dxa"/>
              <w:right w:w="20" w:type="dxa"/>
            </w:tcMar>
            <w:vAlign w:val="bottom"/>
          </w:tcPr>
          <w:p w14:paraId="64A893EA" w14:textId="77777777" w:rsidR="008D6614" w:rsidRDefault="00866AF2">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long-term liabilities of discontinued operations</w:t>
            </w:r>
          </w:p>
        </w:tc>
        <w:tc>
          <w:tcPr>
            <w:tcW w:w="0" w:type="auto"/>
            <w:gridSpan w:val="3"/>
            <w:shd w:val="clear" w:color="auto" w:fill="FFFFFF"/>
            <w:tcMar>
              <w:left w:w="20" w:type="dxa"/>
              <w:right w:w="20" w:type="dxa"/>
            </w:tcMar>
            <w:vAlign w:val="bottom"/>
          </w:tcPr>
          <w:p w14:paraId="64A893EB"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3E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3ED" w14:textId="77777777" w:rsidR="008D6614" w:rsidRDefault="00866AF2">
            <w:pPr>
              <w:jc w:val="right"/>
              <w:textAlignment w:val="bottom"/>
            </w:pPr>
            <w:r>
              <w:rPr>
                <w:rFonts w:ascii="Arial" w:eastAsia="宋体" w:hAnsi="Arial" w:cs="Arial"/>
                <w:color w:val="000000"/>
                <w:sz w:val="18"/>
                <w:szCs w:val="18"/>
              </w:rPr>
              <w:t>26 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3E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3EF" w14:textId="77777777" w:rsidR="008D6614" w:rsidRDefault="008D6614">
            <w:pPr>
              <w:rPr>
                <w:rFonts w:ascii="宋体"/>
                <w:vanish/>
              </w:rPr>
            </w:pPr>
          </w:p>
        </w:tc>
        <w:tc>
          <w:tcPr>
            <w:tcW w:w="0" w:type="auto"/>
            <w:shd w:val="clear" w:color="auto" w:fill="auto"/>
            <w:vAlign w:val="center"/>
          </w:tcPr>
          <w:p w14:paraId="64A893F0" w14:textId="77777777" w:rsidR="008D6614" w:rsidRDefault="008D6614">
            <w:pPr>
              <w:rPr>
                <w:rFonts w:ascii="宋体"/>
                <w:vanish/>
              </w:rPr>
            </w:pPr>
          </w:p>
        </w:tc>
        <w:tc>
          <w:tcPr>
            <w:tcW w:w="0" w:type="auto"/>
            <w:shd w:val="clear" w:color="auto" w:fill="auto"/>
            <w:vAlign w:val="center"/>
          </w:tcPr>
          <w:p w14:paraId="64A893F1" w14:textId="77777777" w:rsidR="008D6614" w:rsidRDefault="008D6614">
            <w:pPr>
              <w:rPr>
                <w:rFonts w:ascii="宋体"/>
                <w:vanish/>
              </w:rPr>
            </w:pPr>
          </w:p>
        </w:tc>
        <w:tc>
          <w:tcPr>
            <w:tcW w:w="0" w:type="auto"/>
            <w:shd w:val="clear" w:color="auto" w:fill="auto"/>
            <w:vAlign w:val="center"/>
          </w:tcPr>
          <w:p w14:paraId="64A893F2" w14:textId="77777777" w:rsidR="008D6614" w:rsidRDefault="008D6614">
            <w:pPr>
              <w:rPr>
                <w:rFonts w:ascii="宋体"/>
                <w:vanish/>
              </w:rPr>
            </w:pPr>
          </w:p>
        </w:tc>
      </w:tr>
    </w:tbl>
    <w:p w14:paraId="64A893F4" w14:textId="77777777" w:rsidR="008D6614" w:rsidRDefault="008D6614"/>
    <w:p w14:paraId="64A893F5" w14:textId="77777777" w:rsidR="008D6614" w:rsidRDefault="00866AF2">
      <w:r>
        <w:rPr>
          <w:rFonts w:ascii="Arial" w:eastAsia="宋体" w:hAnsi="Arial" w:cs="Arial"/>
          <w:b/>
          <w:bCs/>
          <w:color w:val="000000"/>
          <w:sz w:val="20"/>
          <w:szCs w:val="20"/>
        </w:rPr>
        <w:t xml:space="preserve">Note 5 — Goodwill and Intangible Assets </w:t>
      </w:r>
    </w:p>
    <w:p w14:paraId="64A893F6" w14:textId="77777777" w:rsidR="008D6614" w:rsidRDefault="008D6614"/>
    <w:p w14:paraId="64A893F7" w14:textId="77777777" w:rsidR="008D6614" w:rsidRDefault="00866AF2">
      <w:pPr>
        <w:ind w:firstLine="90"/>
      </w:pPr>
      <w:r>
        <w:rPr>
          <w:rFonts w:ascii="Arial" w:eastAsia="宋体" w:hAnsi="Arial" w:cs="Arial"/>
          <w:b/>
          <w:bCs/>
          <w:i/>
          <w:iCs/>
          <w:color w:val="000000"/>
          <w:sz w:val="20"/>
          <w:szCs w:val="20"/>
        </w:rPr>
        <w:t>Goodwill</w:t>
      </w:r>
    </w:p>
    <w:p w14:paraId="64A893F8" w14:textId="77777777" w:rsidR="008D6614" w:rsidRDefault="008D6614"/>
    <w:p w14:paraId="64A893F9" w14:textId="77777777" w:rsidR="008D6614" w:rsidRDefault="00866AF2">
      <w:pPr>
        <w:ind w:firstLine="540"/>
        <w:jc w:val="both"/>
      </w:pPr>
      <w:r>
        <w:rPr>
          <w:rFonts w:ascii="Arial" w:eastAsia="宋体" w:hAnsi="Arial" w:cs="Arial"/>
          <w:color w:val="000000"/>
          <w:sz w:val="20"/>
          <w:szCs w:val="20"/>
        </w:rPr>
        <w:t xml:space="preserve">The following table presents goodwill activity by reportable segment during the three months ended March 31, 2020 (in millions): </w:t>
      </w:r>
    </w:p>
    <w:tbl>
      <w:tblPr>
        <w:tblW w:w="4993" w:type="pct"/>
        <w:jc w:val="center"/>
        <w:tblCellMar>
          <w:top w:w="15" w:type="dxa"/>
          <w:left w:w="15" w:type="dxa"/>
          <w:bottom w:w="15" w:type="dxa"/>
          <w:right w:w="15" w:type="dxa"/>
        </w:tblCellMar>
        <w:tblLook w:val="04A0" w:firstRow="1" w:lastRow="0" w:firstColumn="1" w:lastColumn="0" w:noHBand="0" w:noVBand="1"/>
      </w:tblPr>
      <w:tblGrid>
        <w:gridCol w:w="43"/>
        <w:gridCol w:w="3696"/>
        <w:gridCol w:w="44"/>
        <w:gridCol w:w="137"/>
        <w:gridCol w:w="855"/>
        <w:gridCol w:w="86"/>
        <w:gridCol w:w="36"/>
        <w:gridCol w:w="36"/>
        <w:gridCol w:w="36"/>
        <w:gridCol w:w="137"/>
        <w:gridCol w:w="823"/>
        <w:gridCol w:w="86"/>
        <w:gridCol w:w="36"/>
        <w:gridCol w:w="36"/>
        <w:gridCol w:w="36"/>
        <w:gridCol w:w="137"/>
        <w:gridCol w:w="850"/>
        <w:gridCol w:w="86"/>
        <w:gridCol w:w="36"/>
        <w:gridCol w:w="36"/>
        <w:gridCol w:w="36"/>
        <w:gridCol w:w="136"/>
        <w:gridCol w:w="798"/>
        <w:gridCol w:w="86"/>
      </w:tblGrid>
      <w:tr w:rsidR="008D6614" w14:paraId="64A89412" w14:textId="77777777">
        <w:trPr>
          <w:jc w:val="center"/>
        </w:trPr>
        <w:tc>
          <w:tcPr>
            <w:tcW w:w="50" w:type="pct"/>
            <w:shd w:val="clear" w:color="auto" w:fill="auto"/>
            <w:vAlign w:val="center"/>
          </w:tcPr>
          <w:p w14:paraId="64A893FA" w14:textId="77777777" w:rsidR="008D6614" w:rsidRDefault="008D6614">
            <w:pPr>
              <w:rPr>
                <w:rFonts w:ascii="宋体"/>
              </w:rPr>
            </w:pPr>
          </w:p>
        </w:tc>
        <w:tc>
          <w:tcPr>
            <w:tcW w:w="2242" w:type="pct"/>
            <w:shd w:val="clear" w:color="auto" w:fill="auto"/>
            <w:vAlign w:val="center"/>
          </w:tcPr>
          <w:p w14:paraId="64A893FB" w14:textId="77777777" w:rsidR="008D6614" w:rsidRDefault="008D6614">
            <w:pPr>
              <w:rPr>
                <w:rFonts w:ascii="宋体"/>
              </w:rPr>
            </w:pPr>
          </w:p>
        </w:tc>
        <w:tc>
          <w:tcPr>
            <w:tcW w:w="50" w:type="pct"/>
            <w:shd w:val="clear" w:color="auto" w:fill="auto"/>
            <w:vAlign w:val="center"/>
          </w:tcPr>
          <w:p w14:paraId="64A893FC" w14:textId="77777777" w:rsidR="008D6614" w:rsidRDefault="008D6614">
            <w:pPr>
              <w:rPr>
                <w:rFonts w:ascii="宋体"/>
              </w:rPr>
            </w:pPr>
          </w:p>
        </w:tc>
        <w:tc>
          <w:tcPr>
            <w:tcW w:w="50" w:type="pct"/>
            <w:shd w:val="clear" w:color="auto" w:fill="auto"/>
            <w:vAlign w:val="center"/>
          </w:tcPr>
          <w:p w14:paraId="64A893FD" w14:textId="77777777" w:rsidR="008D6614" w:rsidRDefault="008D6614">
            <w:pPr>
              <w:rPr>
                <w:rFonts w:ascii="宋体"/>
              </w:rPr>
            </w:pPr>
          </w:p>
        </w:tc>
        <w:tc>
          <w:tcPr>
            <w:tcW w:w="536" w:type="pct"/>
            <w:shd w:val="clear" w:color="auto" w:fill="auto"/>
            <w:vAlign w:val="center"/>
          </w:tcPr>
          <w:p w14:paraId="64A893FE" w14:textId="77777777" w:rsidR="008D6614" w:rsidRDefault="008D6614">
            <w:pPr>
              <w:rPr>
                <w:rFonts w:ascii="宋体"/>
              </w:rPr>
            </w:pPr>
          </w:p>
        </w:tc>
        <w:tc>
          <w:tcPr>
            <w:tcW w:w="50" w:type="pct"/>
            <w:shd w:val="clear" w:color="auto" w:fill="auto"/>
            <w:vAlign w:val="center"/>
          </w:tcPr>
          <w:p w14:paraId="64A893FF" w14:textId="77777777" w:rsidR="008D6614" w:rsidRDefault="008D6614">
            <w:pPr>
              <w:rPr>
                <w:rFonts w:ascii="宋体"/>
              </w:rPr>
            </w:pPr>
          </w:p>
        </w:tc>
        <w:tc>
          <w:tcPr>
            <w:tcW w:w="5" w:type="pct"/>
            <w:shd w:val="clear" w:color="auto" w:fill="auto"/>
            <w:vAlign w:val="center"/>
          </w:tcPr>
          <w:p w14:paraId="64A89400" w14:textId="77777777" w:rsidR="008D6614" w:rsidRDefault="008D6614">
            <w:pPr>
              <w:rPr>
                <w:rFonts w:ascii="宋体"/>
              </w:rPr>
            </w:pPr>
          </w:p>
        </w:tc>
        <w:tc>
          <w:tcPr>
            <w:tcW w:w="26" w:type="pct"/>
            <w:shd w:val="clear" w:color="auto" w:fill="auto"/>
            <w:vAlign w:val="center"/>
          </w:tcPr>
          <w:p w14:paraId="64A89401" w14:textId="77777777" w:rsidR="008D6614" w:rsidRDefault="008D6614">
            <w:pPr>
              <w:rPr>
                <w:rFonts w:ascii="宋体"/>
              </w:rPr>
            </w:pPr>
          </w:p>
        </w:tc>
        <w:tc>
          <w:tcPr>
            <w:tcW w:w="5" w:type="pct"/>
            <w:shd w:val="clear" w:color="auto" w:fill="auto"/>
            <w:vAlign w:val="center"/>
          </w:tcPr>
          <w:p w14:paraId="64A89402" w14:textId="77777777" w:rsidR="008D6614" w:rsidRDefault="008D6614">
            <w:pPr>
              <w:rPr>
                <w:rFonts w:ascii="宋体"/>
              </w:rPr>
            </w:pPr>
          </w:p>
        </w:tc>
        <w:tc>
          <w:tcPr>
            <w:tcW w:w="50" w:type="pct"/>
            <w:shd w:val="clear" w:color="auto" w:fill="auto"/>
            <w:vAlign w:val="center"/>
          </w:tcPr>
          <w:p w14:paraId="64A89403" w14:textId="77777777" w:rsidR="008D6614" w:rsidRDefault="008D6614">
            <w:pPr>
              <w:rPr>
                <w:rFonts w:ascii="宋体"/>
              </w:rPr>
            </w:pPr>
          </w:p>
        </w:tc>
        <w:tc>
          <w:tcPr>
            <w:tcW w:w="536" w:type="pct"/>
            <w:shd w:val="clear" w:color="auto" w:fill="auto"/>
            <w:vAlign w:val="center"/>
          </w:tcPr>
          <w:p w14:paraId="64A89404" w14:textId="77777777" w:rsidR="008D6614" w:rsidRDefault="008D6614">
            <w:pPr>
              <w:rPr>
                <w:rFonts w:ascii="宋体"/>
              </w:rPr>
            </w:pPr>
          </w:p>
        </w:tc>
        <w:tc>
          <w:tcPr>
            <w:tcW w:w="50" w:type="pct"/>
            <w:shd w:val="clear" w:color="auto" w:fill="auto"/>
            <w:vAlign w:val="center"/>
          </w:tcPr>
          <w:p w14:paraId="64A89405" w14:textId="77777777" w:rsidR="008D6614" w:rsidRDefault="008D6614">
            <w:pPr>
              <w:rPr>
                <w:rFonts w:ascii="宋体"/>
              </w:rPr>
            </w:pPr>
          </w:p>
        </w:tc>
        <w:tc>
          <w:tcPr>
            <w:tcW w:w="5" w:type="pct"/>
            <w:shd w:val="clear" w:color="auto" w:fill="auto"/>
            <w:vAlign w:val="center"/>
          </w:tcPr>
          <w:p w14:paraId="64A89406" w14:textId="77777777" w:rsidR="008D6614" w:rsidRDefault="008D6614">
            <w:pPr>
              <w:rPr>
                <w:rFonts w:ascii="宋体"/>
              </w:rPr>
            </w:pPr>
          </w:p>
        </w:tc>
        <w:tc>
          <w:tcPr>
            <w:tcW w:w="26" w:type="pct"/>
            <w:shd w:val="clear" w:color="auto" w:fill="auto"/>
            <w:vAlign w:val="center"/>
          </w:tcPr>
          <w:p w14:paraId="64A89407" w14:textId="77777777" w:rsidR="008D6614" w:rsidRDefault="008D6614">
            <w:pPr>
              <w:rPr>
                <w:rFonts w:ascii="宋体"/>
              </w:rPr>
            </w:pPr>
          </w:p>
        </w:tc>
        <w:tc>
          <w:tcPr>
            <w:tcW w:w="5" w:type="pct"/>
            <w:shd w:val="clear" w:color="auto" w:fill="auto"/>
            <w:vAlign w:val="center"/>
          </w:tcPr>
          <w:p w14:paraId="64A89408" w14:textId="77777777" w:rsidR="008D6614" w:rsidRDefault="008D6614">
            <w:pPr>
              <w:rPr>
                <w:rFonts w:ascii="宋体"/>
              </w:rPr>
            </w:pPr>
          </w:p>
        </w:tc>
        <w:tc>
          <w:tcPr>
            <w:tcW w:w="50" w:type="pct"/>
            <w:shd w:val="clear" w:color="auto" w:fill="auto"/>
            <w:vAlign w:val="center"/>
          </w:tcPr>
          <w:p w14:paraId="64A89409" w14:textId="77777777" w:rsidR="008D6614" w:rsidRDefault="008D6614">
            <w:pPr>
              <w:rPr>
                <w:rFonts w:ascii="宋体"/>
              </w:rPr>
            </w:pPr>
          </w:p>
        </w:tc>
        <w:tc>
          <w:tcPr>
            <w:tcW w:w="536" w:type="pct"/>
            <w:shd w:val="clear" w:color="auto" w:fill="auto"/>
            <w:vAlign w:val="center"/>
          </w:tcPr>
          <w:p w14:paraId="64A8940A" w14:textId="77777777" w:rsidR="008D6614" w:rsidRDefault="008D6614">
            <w:pPr>
              <w:rPr>
                <w:rFonts w:ascii="宋体"/>
              </w:rPr>
            </w:pPr>
          </w:p>
        </w:tc>
        <w:tc>
          <w:tcPr>
            <w:tcW w:w="50" w:type="pct"/>
            <w:shd w:val="clear" w:color="auto" w:fill="auto"/>
            <w:vAlign w:val="center"/>
          </w:tcPr>
          <w:p w14:paraId="64A8940B" w14:textId="77777777" w:rsidR="008D6614" w:rsidRDefault="008D6614">
            <w:pPr>
              <w:rPr>
                <w:rFonts w:ascii="宋体"/>
              </w:rPr>
            </w:pPr>
          </w:p>
        </w:tc>
        <w:tc>
          <w:tcPr>
            <w:tcW w:w="5" w:type="pct"/>
            <w:shd w:val="clear" w:color="auto" w:fill="auto"/>
            <w:vAlign w:val="center"/>
          </w:tcPr>
          <w:p w14:paraId="64A8940C" w14:textId="77777777" w:rsidR="008D6614" w:rsidRDefault="008D6614">
            <w:pPr>
              <w:rPr>
                <w:rFonts w:ascii="宋体"/>
              </w:rPr>
            </w:pPr>
          </w:p>
        </w:tc>
        <w:tc>
          <w:tcPr>
            <w:tcW w:w="26" w:type="pct"/>
            <w:shd w:val="clear" w:color="auto" w:fill="auto"/>
            <w:vAlign w:val="center"/>
          </w:tcPr>
          <w:p w14:paraId="64A8940D" w14:textId="77777777" w:rsidR="008D6614" w:rsidRDefault="008D6614">
            <w:pPr>
              <w:rPr>
                <w:rFonts w:ascii="宋体"/>
              </w:rPr>
            </w:pPr>
          </w:p>
        </w:tc>
        <w:tc>
          <w:tcPr>
            <w:tcW w:w="5" w:type="pct"/>
            <w:shd w:val="clear" w:color="auto" w:fill="auto"/>
            <w:vAlign w:val="center"/>
          </w:tcPr>
          <w:p w14:paraId="64A8940E" w14:textId="77777777" w:rsidR="008D6614" w:rsidRDefault="008D6614">
            <w:pPr>
              <w:rPr>
                <w:rFonts w:ascii="宋体"/>
              </w:rPr>
            </w:pPr>
          </w:p>
        </w:tc>
        <w:tc>
          <w:tcPr>
            <w:tcW w:w="50" w:type="pct"/>
            <w:shd w:val="clear" w:color="auto" w:fill="auto"/>
            <w:vAlign w:val="center"/>
          </w:tcPr>
          <w:p w14:paraId="64A8940F" w14:textId="77777777" w:rsidR="008D6614" w:rsidRDefault="008D6614">
            <w:pPr>
              <w:rPr>
                <w:rFonts w:ascii="宋体"/>
              </w:rPr>
            </w:pPr>
          </w:p>
        </w:tc>
        <w:tc>
          <w:tcPr>
            <w:tcW w:w="537" w:type="pct"/>
            <w:shd w:val="clear" w:color="auto" w:fill="auto"/>
            <w:vAlign w:val="center"/>
          </w:tcPr>
          <w:p w14:paraId="64A89410" w14:textId="77777777" w:rsidR="008D6614" w:rsidRDefault="008D6614">
            <w:pPr>
              <w:rPr>
                <w:rFonts w:ascii="宋体"/>
              </w:rPr>
            </w:pPr>
          </w:p>
        </w:tc>
        <w:tc>
          <w:tcPr>
            <w:tcW w:w="50" w:type="pct"/>
            <w:shd w:val="clear" w:color="auto" w:fill="auto"/>
            <w:vAlign w:val="center"/>
          </w:tcPr>
          <w:p w14:paraId="64A89411" w14:textId="77777777" w:rsidR="008D6614" w:rsidRDefault="008D6614">
            <w:pPr>
              <w:rPr>
                <w:rFonts w:ascii="宋体"/>
              </w:rPr>
            </w:pPr>
          </w:p>
        </w:tc>
      </w:tr>
      <w:tr w:rsidR="008D6614" w14:paraId="64A8941B" w14:textId="77777777">
        <w:trPr>
          <w:jc w:val="center"/>
        </w:trPr>
        <w:tc>
          <w:tcPr>
            <w:tcW w:w="0" w:type="auto"/>
            <w:gridSpan w:val="3"/>
            <w:shd w:val="clear" w:color="auto" w:fill="auto"/>
            <w:tcMar>
              <w:top w:w="40" w:type="dxa"/>
              <w:left w:w="20" w:type="dxa"/>
              <w:bottom w:w="40" w:type="dxa"/>
              <w:right w:w="20" w:type="dxa"/>
            </w:tcMar>
            <w:vAlign w:val="bottom"/>
          </w:tcPr>
          <w:p w14:paraId="64A89413" w14:textId="77777777" w:rsidR="008D6614" w:rsidRDefault="00866AF2">
            <w:pPr>
              <w:jc w:val="cente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9414" w14:textId="77777777" w:rsidR="008D6614" w:rsidRDefault="00866AF2">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64A89415"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416" w14:textId="77777777" w:rsidR="008D6614" w:rsidRDefault="00866AF2">
            <w:pPr>
              <w:jc w:val="center"/>
              <w:textAlignment w:val="bottom"/>
            </w:pPr>
            <w:r>
              <w:rPr>
                <w:rFonts w:ascii="Arial" w:eastAsia="宋体" w:hAnsi="Arial" w:cs="Arial"/>
                <w:b/>
                <w:bCs/>
                <w:color w:val="000000"/>
                <w:sz w:val="16"/>
                <w:szCs w:val="16"/>
              </w:rPr>
              <w:t>Goodwill</w:t>
            </w:r>
            <w:r>
              <w:rPr>
                <w:rFonts w:ascii="Arial" w:eastAsia="宋体" w:hAnsi="Arial" w:cs="Arial"/>
                <w:b/>
                <w:bCs/>
                <w:color w:val="000000"/>
                <w:sz w:val="16"/>
                <w:szCs w:val="16"/>
              </w:rPr>
              <w:br/>
              <w:t>Acquired</w:t>
            </w:r>
          </w:p>
        </w:tc>
        <w:tc>
          <w:tcPr>
            <w:tcW w:w="0" w:type="auto"/>
            <w:gridSpan w:val="3"/>
            <w:shd w:val="clear" w:color="auto" w:fill="auto"/>
            <w:tcMar>
              <w:top w:w="40" w:type="dxa"/>
              <w:left w:w="20" w:type="dxa"/>
              <w:bottom w:w="40" w:type="dxa"/>
              <w:right w:w="20" w:type="dxa"/>
            </w:tcMar>
            <w:vAlign w:val="bottom"/>
          </w:tcPr>
          <w:p w14:paraId="64A89417" w14:textId="77777777" w:rsidR="008D6614" w:rsidRDefault="00866AF2">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9418" w14:textId="77777777" w:rsidR="008D6614" w:rsidRDefault="00866AF2">
            <w:pPr>
              <w:jc w:val="center"/>
              <w:textAlignment w:val="bottom"/>
            </w:pPr>
            <w:r>
              <w:rPr>
                <w:rFonts w:ascii="Arial" w:eastAsia="宋体" w:hAnsi="Arial" w:cs="Arial"/>
                <w:b/>
                <w:bCs/>
                <w:color w:val="000000"/>
                <w:sz w:val="16"/>
                <w:szCs w:val="16"/>
              </w:rPr>
              <w:t>Adjustments</w:t>
            </w:r>
          </w:p>
        </w:tc>
        <w:tc>
          <w:tcPr>
            <w:tcW w:w="0" w:type="auto"/>
            <w:gridSpan w:val="3"/>
            <w:shd w:val="clear" w:color="auto" w:fill="auto"/>
            <w:tcMar>
              <w:top w:w="40" w:type="dxa"/>
              <w:left w:w="20" w:type="dxa"/>
              <w:bottom w:w="40" w:type="dxa"/>
              <w:right w:w="20" w:type="dxa"/>
            </w:tcMar>
            <w:vAlign w:val="bottom"/>
          </w:tcPr>
          <w:p w14:paraId="64A89419" w14:textId="77777777" w:rsidR="008D6614" w:rsidRDefault="00866AF2">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941A" w14:textId="77777777" w:rsidR="008D6614" w:rsidRDefault="00866AF2">
            <w:pPr>
              <w:jc w:val="center"/>
              <w:textAlignment w:val="bottom"/>
            </w:pPr>
            <w:r>
              <w:rPr>
                <w:rFonts w:ascii="Arial" w:eastAsia="宋体" w:hAnsi="Arial" w:cs="Arial"/>
                <w:b/>
                <w:bCs/>
                <w:color w:val="000000"/>
                <w:sz w:val="16"/>
                <w:szCs w:val="16"/>
              </w:rPr>
              <w:t>March 31,</w:t>
            </w:r>
            <w:r>
              <w:rPr>
                <w:rFonts w:ascii="Arial" w:eastAsia="宋体" w:hAnsi="Arial" w:cs="Arial"/>
                <w:b/>
                <w:bCs/>
                <w:color w:val="000000"/>
                <w:sz w:val="16"/>
                <w:szCs w:val="16"/>
              </w:rPr>
              <w:br/>
              <w:t>2020</w:t>
            </w:r>
          </w:p>
        </w:tc>
      </w:tr>
      <w:tr w:rsidR="008D6614" w14:paraId="64A8942C" w14:textId="77777777">
        <w:trPr>
          <w:jc w:val="center"/>
        </w:trPr>
        <w:tc>
          <w:tcPr>
            <w:tcW w:w="0" w:type="auto"/>
            <w:gridSpan w:val="3"/>
            <w:shd w:val="clear" w:color="auto" w:fill="E2E2E2"/>
            <w:tcMar>
              <w:top w:w="40" w:type="dxa"/>
              <w:left w:w="20" w:type="dxa"/>
              <w:bottom w:w="40" w:type="dxa"/>
              <w:right w:w="20" w:type="dxa"/>
            </w:tcMar>
            <w:vAlign w:val="bottom"/>
          </w:tcPr>
          <w:p w14:paraId="64A8941C" w14:textId="77777777" w:rsidR="008D6614" w:rsidRDefault="00866AF2">
            <w:pPr>
              <w:textAlignment w:val="bottom"/>
            </w:pPr>
            <w:r>
              <w:rPr>
                <w:rFonts w:ascii="Arial" w:eastAsia="宋体" w:hAnsi="Arial" w:cs="Arial"/>
                <w:color w:val="000000"/>
                <w:sz w:val="18"/>
                <w:szCs w:val="18"/>
              </w:rPr>
              <w:t>Marketplace</w:t>
            </w:r>
          </w:p>
        </w:tc>
        <w:tc>
          <w:tcPr>
            <w:tcW w:w="0" w:type="auto"/>
            <w:tcBorders>
              <w:top w:val="single" w:sz="8" w:space="0" w:color="000000"/>
            </w:tcBorders>
            <w:shd w:val="clear" w:color="auto" w:fill="E2E2E2"/>
            <w:tcMar>
              <w:top w:w="40" w:type="dxa"/>
              <w:left w:w="20" w:type="dxa"/>
              <w:bottom w:w="40" w:type="dxa"/>
            </w:tcMar>
            <w:vAlign w:val="bottom"/>
          </w:tcPr>
          <w:p w14:paraId="64A8941D"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41E" w14:textId="77777777" w:rsidR="008D6614" w:rsidRDefault="00866AF2">
            <w:pPr>
              <w:jc w:val="right"/>
              <w:textAlignment w:val="bottom"/>
            </w:pPr>
            <w:r>
              <w:rPr>
                <w:rFonts w:ascii="Arial" w:eastAsia="宋体" w:hAnsi="Arial" w:cs="Arial"/>
                <w:color w:val="000000"/>
                <w:sz w:val="18"/>
                <w:szCs w:val="18"/>
              </w:rPr>
              <w:t>4,533 </w:t>
            </w:r>
          </w:p>
        </w:tc>
        <w:tc>
          <w:tcPr>
            <w:tcW w:w="0" w:type="auto"/>
            <w:tcBorders>
              <w:top w:val="single" w:sz="8" w:space="0" w:color="000000"/>
            </w:tcBorders>
            <w:shd w:val="clear" w:color="auto" w:fill="E2E2E2"/>
            <w:tcMar>
              <w:top w:w="40" w:type="dxa"/>
              <w:bottom w:w="40" w:type="dxa"/>
              <w:right w:w="20" w:type="dxa"/>
            </w:tcMar>
            <w:vAlign w:val="bottom"/>
          </w:tcPr>
          <w:p w14:paraId="64A8941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420"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421"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422"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64A8942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424"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42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426" w14:textId="77777777" w:rsidR="008D6614" w:rsidRDefault="00866AF2">
            <w:pPr>
              <w:jc w:val="right"/>
              <w:textAlignment w:val="bottom"/>
            </w:pPr>
            <w:r>
              <w:rPr>
                <w:rFonts w:ascii="Arial" w:eastAsia="宋体" w:hAnsi="Arial" w:cs="Arial"/>
                <w:color w:val="000000"/>
                <w:sz w:val="18"/>
                <w:szCs w:val="18"/>
              </w:rPr>
              <w:t>(74)</w:t>
            </w:r>
          </w:p>
        </w:tc>
        <w:tc>
          <w:tcPr>
            <w:tcW w:w="0" w:type="auto"/>
            <w:tcBorders>
              <w:top w:val="single" w:sz="8" w:space="0" w:color="000000"/>
            </w:tcBorders>
            <w:shd w:val="clear" w:color="auto" w:fill="E2E2E2"/>
            <w:tcMar>
              <w:top w:w="40" w:type="dxa"/>
              <w:bottom w:w="40" w:type="dxa"/>
              <w:right w:w="20" w:type="dxa"/>
            </w:tcMar>
            <w:vAlign w:val="bottom"/>
          </w:tcPr>
          <w:p w14:paraId="64A8942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428"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42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42A" w14:textId="77777777" w:rsidR="008D6614" w:rsidRDefault="00866AF2">
            <w:pPr>
              <w:jc w:val="right"/>
              <w:textAlignment w:val="bottom"/>
            </w:pPr>
            <w:r>
              <w:rPr>
                <w:rFonts w:ascii="Arial" w:eastAsia="宋体" w:hAnsi="Arial" w:cs="Arial"/>
                <w:color w:val="000000"/>
                <w:sz w:val="18"/>
                <w:szCs w:val="18"/>
              </w:rPr>
              <w:t>4,459 </w:t>
            </w:r>
          </w:p>
        </w:tc>
        <w:tc>
          <w:tcPr>
            <w:tcW w:w="0" w:type="auto"/>
            <w:tcBorders>
              <w:top w:val="single" w:sz="8" w:space="0" w:color="000000"/>
            </w:tcBorders>
            <w:shd w:val="clear" w:color="auto" w:fill="E2E2E2"/>
            <w:tcMar>
              <w:top w:w="40" w:type="dxa"/>
              <w:bottom w:w="40" w:type="dxa"/>
              <w:right w:w="20" w:type="dxa"/>
            </w:tcMar>
            <w:vAlign w:val="bottom"/>
          </w:tcPr>
          <w:p w14:paraId="64A8942B" w14:textId="77777777" w:rsidR="008D6614" w:rsidRDefault="00866AF2">
            <w:pPr>
              <w:jc w:val="right"/>
              <w:textAlignment w:val="bottom"/>
            </w:pPr>
            <w:r>
              <w:rPr>
                <w:rFonts w:ascii="Arial" w:eastAsia="宋体" w:hAnsi="Arial" w:cs="Arial"/>
                <w:color w:val="000000"/>
                <w:sz w:val="18"/>
                <w:szCs w:val="18"/>
              </w:rPr>
              <w:t> </w:t>
            </w:r>
          </w:p>
        </w:tc>
      </w:tr>
      <w:tr w:rsidR="008D6614" w14:paraId="64A89435" w14:textId="77777777">
        <w:trPr>
          <w:jc w:val="center"/>
          <w:hidden/>
        </w:trPr>
        <w:tc>
          <w:tcPr>
            <w:tcW w:w="0" w:type="auto"/>
            <w:gridSpan w:val="3"/>
            <w:shd w:val="clear" w:color="auto" w:fill="auto"/>
            <w:vAlign w:val="center"/>
          </w:tcPr>
          <w:p w14:paraId="64A8942D" w14:textId="77777777" w:rsidR="008D6614" w:rsidRDefault="008D6614">
            <w:pPr>
              <w:rPr>
                <w:rFonts w:ascii="宋体"/>
                <w:vanish/>
              </w:rPr>
            </w:pPr>
          </w:p>
        </w:tc>
        <w:tc>
          <w:tcPr>
            <w:tcW w:w="0" w:type="auto"/>
            <w:gridSpan w:val="3"/>
            <w:shd w:val="clear" w:color="auto" w:fill="auto"/>
            <w:vAlign w:val="center"/>
          </w:tcPr>
          <w:p w14:paraId="64A8942E" w14:textId="77777777" w:rsidR="008D6614" w:rsidRDefault="008D6614">
            <w:pPr>
              <w:rPr>
                <w:rFonts w:ascii="宋体"/>
                <w:vanish/>
              </w:rPr>
            </w:pPr>
          </w:p>
        </w:tc>
        <w:tc>
          <w:tcPr>
            <w:tcW w:w="0" w:type="auto"/>
            <w:gridSpan w:val="3"/>
            <w:shd w:val="clear" w:color="auto" w:fill="auto"/>
            <w:vAlign w:val="center"/>
          </w:tcPr>
          <w:p w14:paraId="64A8942F" w14:textId="77777777" w:rsidR="008D6614" w:rsidRDefault="008D6614">
            <w:pPr>
              <w:rPr>
                <w:rFonts w:ascii="宋体"/>
                <w:vanish/>
              </w:rPr>
            </w:pPr>
          </w:p>
        </w:tc>
        <w:tc>
          <w:tcPr>
            <w:tcW w:w="0" w:type="auto"/>
            <w:gridSpan w:val="3"/>
            <w:shd w:val="clear" w:color="auto" w:fill="auto"/>
            <w:vAlign w:val="center"/>
          </w:tcPr>
          <w:p w14:paraId="64A89430" w14:textId="77777777" w:rsidR="008D6614" w:rsidRDefault="008D6614">
            <w:pPr>
              <w:rPr>
                <w:rFonts w:ascii="宋体"/>
                <w:vanish/>
              </w:rPr>
            </w:pPr>
          </w:p>
        </w:tc>
        <w:tc>
          <w:tcPr>
            <w:tcW w:w="0" w:type="auto"/>
            <w:gridSpan w:val="3"/>
            <w:shd w:val="clear" w:color="auto" w:fill="auto"/>
            <w:vAlign w:val="center"/>
          </w:tcPr>
          <w:p w14:paraId="64A89431" w14:textId="77777777" w:rsidR="008D6614" w:rsidRDefault="008D6614">
            <w:pPr>
              <w:rPr>
                <w:rFonts w:ascii="宋体"/>
                <w:vanish/>
              </w:rPr>
            </w:pPr>
          </w:p>
        </w:tc>
        <w:tc>
          <w:tcPr>
            <w:tcW w:w="0" w:type="auto"/>
            <w:gridSpan w:val="3"/>
            <w:shd w:val="clear" w:color="auto" w:fill="auto"/>
            <w:vAlign w:val="center"/>
          </w:tcPr>
          <w:p w14:paraId="64A89432" w14:textId="77777777" w:rsidR="008D6614" w:rsidRDefault="008D6614">
            <w:pPr>
              <w:rPr>
                <w:rFonts w:ascii="宋体"/>
                <w:vanish/>
              </w:rPr>
            </w:pPr>
          </w:p>
        </w:tc>
        <w:tc>
          <w:tcPr>
            <w:tcW w:w="0" w:type="auto"/>
            <w:gridSpan w:val="3"/>
            <w:shd w:val="clear" w:color="auto" w:fill="auto"/>
            <w:vAlign w:val="center"/>
          </w:tcPr>
          <w:p w14:paraId="64A89433" w14:textId="77777777" w:rsidR="008D6614" w:rsidRDefault="008D6614">
            <w:pPr>
              <w:rPr>
                <w:rFonts w:ascii="宋体"/>
                <w:vanish/>
              </w:rPr>
            </w:pPr>
          </w:p>
        </w:tc>
        <w:tc>
          <w:tcPr>
            <w:tcW w:w="0" w:type="auto"/>
            <w:gridSpan w:val="3"/>
            <w:shd w:val="clear" w:color="auto" w:fill="auto"/>
            <w:vAlign w:val="center"/>
          </w:tcPr>
          <w:p w14:paraId="64A89434" w14:textId="77777777" w:rsidR="008D6614" w:rsidRDefault="008D6614">
            <w:pPr>
              <w:rPr>
                <w:rFonts w:ascii="宋体"/>
                <w:vanish/>
              </w:rPr>
            </w:pPr>
          </w:p>
        </w:tc>
      </w:tr>
      <w:tr w:rsidR="008D6614" w14:paraId="64A89442" w14:textId="77777777">
        <w:trPr>
          <w:jc w:val="center"/>
        </w:trPr>
        <w:tc>
          <w:tcPr>
            <w:tcW w:w="0" w:type="auto"/>
            <w:gridSpan w:val="3"/>
            <w:shd w:val="clear" w:color="auto" w:fill="FFFFFF"/>
            <w:tcMar>
              <w:top w:w="40" w:type="dxa"/>
              <w:left w:w="20" w:type="dxa"/>
              <w:bottom w:w="40" w:type="dxa"/>
              <w:right w:w="20" w:type="dxa"/>
            </w:tcMar>
            <w:vAlign w:val="bottom"/>
          </w:tcPr>
          <w:p w14:paraId="64A89436" w14:textId="77777777" w:rsidR="008D6614" w:rsidRDefault="00866AF2">
            <w:pPr>
              <w:textAlignment w:val="bottom"/>
            </w:pPr>
            <w:r>
              <w:rPr>
                <w:rFonts w:ascii="Arial" w:eastAsia="宋体" w:hAnsi="Arial" w:cs="Arial"/>
                <w:color w:val="000000"/>
                <w:sz w:val="18"/>
                <w:szCs w:val="18"/>
              </w:rPr>
              <w:t>Classifieds</w:t>
            </w:r>
          </w:p>
        </w:tc>
        <w:tc>
          <w:tcPr>
            <w:tcW w:w="0" w:type="auto"/>
            <w:gridSpan w:val="2"/>
            <w:shd w:val="clear" w:color="auto" w:fill="FFFFFF"/>
            <w:tcMar>
              <w:top w:w="40" w:type="dxa"/>
              <w:left w:w="20" w:type="dxa"/>
              <w:bottom w:w="40" w:type="dxa"/>
              <w:right w:w="0" w:type="dxa"/>
            </w:tcMar>
            <w:vAlign w:val="bottom"/>
          </w:tcPr>
          <w:p w14:paraId="64A89437" w14:textId="77777777" w:rsidR="008D6614" w:rsidRDefault="00866AF2">
            <w:pPr>
              <w:jc w:val="right"/>
              <w:textAlignment w:val="bottom"/>
            </w:pPr>
            <w:r>
              <w:rPr>
                <w:rFonts w:ascii="Arial" w:eastAsia="宋体" w:hAnsi="Arial" w:cs="Arial"/>
                <w:color w:val="000000"/>
                <w:sz w:val="18"/>
                <w:szCs w:val="18"/>
              </w:rPr>
              <w:t>396 </w:t>
            </w:r>
          </w:p>
        </w:tc>
        <w:tc>
          <w:tcPr>
            <w:tcW w:w="0" w:type="auto"/>
            <w:shd w:val="clear" w:color="auto" w:fill="FFFFFF"/>
            <w:tcMar>
              <w:top w:w="40" w:type="dxa"/>
              <w:bottom w:w="40" w:type="dxa"/>
              <w:right w:w="20" w:type="dxa"/>
            </w:tcMar>
            <w:vAlign w:val="bottom"/>
          </w:tcPr>
          <w:p w14:paraId="64A8943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43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43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43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43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43D" w14:textId="77777777" w:rsidR="008D6614" w:rsidRDefault="00866AF2">
            <w:pPr>
              <w:jc w:val="right"/>
              <w:textAlignment w:val="bottom"/>
            </w:pPr>
            <w:r>
              <w:rPr>
                <w:rFonts w:ascii="Arial" w:eastAsia="宋体" w:hAnsi="Arial" w:cs="Arial"/>
                <w:color w:val="000000"/>
                <w:sz w:val="18"/>
                <w:szCs w:val="18"/>
              </w:rPr>
              <w:t>(5)</w:t>
            </w:r>
          </w:p>
        </w:tc>
        <w:tc>
          <w:tcPr>
            <w:tcW w:w="0" w:type="auto"/>
            <w:shd w:val="clear" w:color="auto" w:fill="FFFFFF"/>
            <w:tcMar>
              <w:top w:w="40" w:type="dxa"/>
              <w:bottom w:w="40" w:type="dxa"/>
              <w:right w:w="20" w:type="dxa"/>
            </w:tcMar>
            <w:vAlign w:val="bottom"/>
          </w:tcPr>
          <w:p w14:paraId="64A8943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43F"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440" w14:textId="77777777" w:rsidR="008D6614" w:rsidRDefault="00866AF2">
            <w:pPr>
              <w:jc w:val="right"/>
              <w:textAlignment w:val="bottom"/>
            </w:pPr>
            <w:r>
              <w:rPr>
                <w:rFonts w:ascii="Arial" w:eastAsia="宋体" w:hAnsi="Arial" w:cs="Arial"/>
                <w:color w:val="000000"/>
                <w:sz w:val="18"/>
                <w:szCs w:val="18"/>
              </w:rPr>
              <w:t>391 </w:t>
            </w:r>
          </w:p>
        </w:tc>
        <w:tc>
          <w:tcPr>
            <w:tcW w:w="0" w:type="auto"/>
            <w:shd w:val="clear" w:color="auto" w:fill="FFFFFF"/>
            <w:tcMar>
              <w:top w:w="40" w:type="dxa"/>
              <w:bottom w:w="40" w:type="dxa"/>
              <w:right w:w="20" w:type="dxa"/>
            </w:tcMar>
            <w:vAlign w:val="bottom"/>
          </w:tcPr>
          <w:p w14:paraId="64A89441" w14:textId="77777777" w:rsidR="008D6614" w:rsidRDefault="00866AF2">
            <w:pPr>
              <w:jc w:val="right"/>
              <w:textAlignment w:val="bottom"/>
            </w:pPr>
            <w:r>
              <w:rPr>
                <w:rFonts w:ascii="Arial" w:eastAsia="宋体" w:hAnsi="Arial" w:cs="Arial"/>
                <w:color w:val="000000"/>
                <w:sz w:val="18"/>
                <w:szCs w:val="18"/>
              </w:rPr>
              <w:t> </w:t>
            </w:r>
          </w:p>
        </w:tc>
      </w:tr>
      <w:tr w:rsidR="008D6614" w14:paraId="64A89453" w14:textId="77777777">
        <w:trPr>
          <w:jc w:val="center"/>
        </w:trPr>
        <w:tc>
          <w:tcPr>
            <w:tcW w:w="0" w:type="auto"/>
            <w:gridSpan w:val="3"/>
            <w:shd w:val="clear" w:color="auto" w:fill="E2E2E2"/>
            <w:tcMar>
              <w:top w:w="40" w:type="dxa"/>
              <w:left w:w="135" w:type="dxa"/>
              <w:bottom w:w="40" w:type="dxa"/>
              <w:right w:w="20" w:type="dxa"/>
            </w:tcMar>
            <w:vAlign w:val="bottom"/>
          </w:tcPr>
          <w:p w14:paraId="64A89443" w14:textId="77777777" w:rsidR="008D6614" w:rsidRDefault="00866AF2">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444"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445" w14:textId="77777777" w:rsidR="008D6614" w:rsidRDefault="00866AF2">
            <w:pPr>
              <w:jc w:val="right"/>
              <w:textAlignment w:val="bottom"/>
            </w:pPr>
            <w:r>
              <w:rPr>
                <w:rFonts w:ascii="Arial" w:eastAsia="宋体" w:hAnsi="Arial" w:cs="Arial"/>
                <w:color w:val="000000"/>
                <w:sz w:val="18"/>
                <w:szCs w:val="18"/>
              </w:rPr>
              <w:t>4,929 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44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447"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44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449"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44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44B"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44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44D" w14:textId="77777777" w:rsidR="008D6614" w:rsidRDefault="00866AF2">
            <w:pPr>
              <w:jc w:val="right"/>
              <w:textAlignment w:val="bottom"/>
            </w:pPr>
            <w:r>
              <w:rPr>
                <w:rFonts w:ascii="Arial" w:eastAsia="宋体" w:hAnsi="Arial" w:cs="Arial"/>
                <w:color w:val="000000"/>
                <w:sz w:val="18"/>
                <w:szCs w:val="18"/>
              </w:rPr>
              <w:t>(79)</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44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44F"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450"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451" w14:textId="77777777" w:rsidR="008D6614" w:rsidRDefault="00866AF2">
            <w:pPr>
              <w:jc w:val="right"/>
              <w:textAlignment w:val="bottom"/>
            </w:pPr>
            <w:r>
              <w:rPr>
                <w:rFonts w:ascii="Arial" w:eastAsia="宋体" w:hAnsi="Arial" w:cs="Arial"/>
                <w:color w:val="000000"/>
                <w:sz w:val="18"/>
                <w:szCs w:val="18"/>
              </w:rPr>
              <w:t>4,850 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452" w14:textId="77777777" w:rsidR="008D6614" w:rsidRDefault="00866AF2">
            <w:pPr>
              <w:jc w:val="right"/>
              <w:textAlignment w:val="bottom"/>
            </w:pPr>
            <w:r>
              <w:rPr>
                <w:rFonts w:ascii="Arial" w:eastAsia="宋体" w:hAnsi="Arial" w:cs="Arial"/>
                <w:color w:val="000000"/>
                <w:sz w:val="18"/>
                <w:szCs w:val="18"/>
              </w:rPr>
              <w:t> </w:t>
            </w:r>
          </w:p>
        </w:tc>
      </w:tr>
    </w:tbl>
    <w:p w14:paraId="64A89454" w14:textId="77777777" w:rsidR="008D6614" w:rsidRDefault="008D6614">
      <w:pPr>
        <w:jc w:val="center"/>
      </w:pPr>
    </w:p>
    <w:p w14:paraId="64A89455" w14:textId="77777777" w:rsidR="008D6614" w:rsidRDefault="00866AF2">
      <w:pPr>
        <w:ind w:firstLine="540"/>
      </w:pPr>
      <w:r>
        <w:rPr>
          <w:rFonts w:ascii="Arial" w:eastAsia="宋体" w:hAnsi="Arial" w:cs="Arial"/>
          <w:color w:val="000000"/>
          <w:sz w:val="20"/>
          <w:szCs w:val="20"/>
        </w:rPr>
        <w:t>The adjustments to goodwill during the three months ended March 31, 2020 were primarily due to foreign currency tr</w:t>
      </w:r>
      <w:r>
        <w:rPr>
          <w:rFonts w:ascii="Arial" w:eastAsia="宋体" w:hAnsi="Arial" w:cs="Arial"/>
          <w:color w:val="000000"/>
          <w:sz w:val="20"/>
          <w:szCs w:val="20"/>
        </w:rPr>
        <w:t xml:space="preserve">anslation. </w:t>
      </w:r>
    </w:p>
    <w:p w14:paraId="64A89456" w14:textId="77777777" w:rsidR="008D6614" w:rsidRDefault="008D6614">
      <w:pPr>
        <w:ind w:firstLine="495"/>
      </w:pPr>
    </w:p>
    <w:p w14:paraId="64A89457" w14:textId="77777777" w:rsidR="008D6614" w:rsidRDefault="00866AF2">
      <w:pPr>
        <w:jc w:val="center"/>
      </w:pPr>
      <w:r>
        <w:rPr>
          <w:rFonts w:ascii="Arial" w:eastAsia="宋体" w:hAnsi="Arial" w:cs="Arial"/>
          <w:color w:val="000000"/>
          <w:sz w:val="20"/>
          <w:szCs w:val="20"/>
        </w:rPr>
        <w:t>13</w:t>
      </w:r>
    </w:p>
    <w:p w14:paraId="64A89458" w14:textId="77777777" w:rsidR="008D6614" w:rsidRDefault="00866AF2">
      <w:r>
        <w:pict w14:anchorId="64A8B9EA">
          <v:rect id="_x0000_i1037" style="width:415.3pt;height:1.5pt" o:hralign="center" o:hrstd="t" o:hr="t" fillcolor="#a0a0a0" stroked="f"/>
        </w:pict>
      </w:r>
    </w:p>
    <w:p w14:paraId="64A89459" w14:textId="77777777" w:rsidR="008D6614" w:rsidRDefault="008D6614">
      <w:pPr>
        <w:jc w:val="center"/>
      </w:pPr>
    </w:p>
    <w:p w14:paraId="64A8945A" w14:textId="77777777" w:rsidR="008D6614" w:rsidRDefault="00866AF2">
      <w:pPr>
        <w:jc w:val="center"/>
      </w:pPr>
      <w:r>
        <w:rPr>
          <w:rFonts w:ascii="Arial" w:eastAsia="宋体" w:hAnsi="Arial" w:cs="Arial"/>
          <w:b/>
          <w:bCs/>
          <w:color w:val="000000"/>
          <w:sz w:val="20"/>
          <w:szCs w:val="20"/>
        </w:rPr>
        <w:t>eBay Inc.</w:t>
      </w:r>
    </w:p>
    <w:p w14:paraId="64A8945B"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945C" w14:textId="77777777" w:rsidR="008D6614" w:rsidRDefault="00866AF2">
      <w:pPr>
        <w:ind w:firstLine="360"/>
      </w:pPr>
      <w:r>
        <w:rPr>
          <w:rFonts w:ascii="Arial" w:eastAsia="宋体" w:hAnsi="Arial" w:cs="Arial"/>
          <w:b/>
          <w:bCs/>
          <w:i/>
          <w:iCs/>
          <w:color w:val="000000"/>
          <w:sz w:val="20"/>
          <w:szCs w:val="20"/>
        </w:rPr>
        <w:t>Intangible Assets</w:t>
      </w:r>
    </w:p>
    <w:p w14:paraId="64A8945D" w14:textId="77777777" w:rsidR="008D6614" w:rsidRDefault="008D6614"/>
    <w:p w14:paraId="64A8945E" w14:textId="77777777" w:rsidR="008D6614" w:rsidRDefault="00866AF2">
      <w:pPr>
        <w:ind w:firstLine="540"/>
      </w:pPr>
      <w:r>
        <w:rPr>
          <w:rFonts w:ascii="Arial" w:eastAsia="宋体" w:hAnsi="Arial" w:cs="Arial"/>
          <w:color w:val="000000"/>
          <w:sz w:val="20"/>
          <w:szCs w:val="20"/>
        </w:rPr>
        <w:t>The components of identifiable intangible assets are as follows (in millions, except years): </w:t>
      </w:r>
    </w:p>
    <w:tbl>
      <w:tblPr>
        <w:tblW w:w="4971" w:type="pct"/>
        <w:jc w:val="center"/>
        <w:tblCellMar>
          <w:top w:w="15" w:type="dxa"/>
          <w:left w:w="15" w:type="dxa"/>
          <w:bottom w:w="15" w:type="dxa"/>
          <w:right w:w="15" w:type="dxa"/>
        </w:tblCellMar>
        <w:tblLook w:val="04A0" w:firstRow="1" w:lastRow="0" w:firstColumn="1" w:lastColumn="0" w:noHBand="0" w:noVBand="1"/>
      </w:tblPr>
      <w:tblGrid>
        <w:gridCol w:w="131"/>
        <w:gridCol w:w="868"/>
        <w:gridCol w:w="54"/>
        <w:gridCol w:w="112"/>
        <w:gridCol w:w="503"/>
        <w:gridCol w:w="80"/>
        <w:gridCol w:w="37"/>
        <w:gridCol w:w="35"/>
        <w:gridCol w:w="35"/>
        <w:gridCol w:w="112"/>
        <w:gridCol w:w="739"/>
        <w:gridCol w:w="86"/>
        <w:gridCol w:w="37"/>
        <w:gridCol w:w="35"/>
        <w:gridCol w:w="35"/>
        <w:gridCol w:w="112"/>
        <w:gridCol w:w="467"/>
        <w:gridCol w:w="73"/>
        <w:gridCol w:w="37"/>
        <w:gridCol w:w="35"/>
        <w:gridCol w:w="35"/>
        <w:gridCol w:w="80"/>
        <w:gridCol w:w="499"/>
        <w:gridCol w:w="77"/>
        <w:gridCol w:w="37"/>
        <w:gridCol w:w="35"/>
        <w:gridCol w:w="35"/>
        <w:gridCol w:w="112"/>
        <w:gridCol w:w="457"/>
        <w:gridCol w:w="73"/>
        <w:gridCol w:w="37"/>
        <w:gridCol w:w="35"/>
        <w:gridCol w:w="35"/>
        <w:gridCol w:w="112"/>
        <w:gridCol w:w="739"/>
        <w:gridCol w:w="86"/>
        <w:gridCol w:w="37"/>
        <w:gridCol w:w="35"/>
        <w:gridCol w:w="35"/>
        <w:gridCol w:w="112"/>
        <w:gridCol w:w="452"/>
        <w:gridCol w:w="75"/>
        <w:gridCol w:w="37"/>
        <w:gridCol w:w="35"/>
        <w:gridCol w:w="35"/>
        <w:gridCol w:w="78"/>
        <w:gridCol w:w="502"/>
        <w:gridCol w:w="75"/>
        <w:gridCol w:w="49"/>
        <w:gridCol w:w="49"/>
        <w:gridCol w:w="49"/>
        <w:gridCol w:w="49"/>
        <w:gridCol w:w="49"/>
        <w:gridCol w:w="49"/>
        <w:gridCol w:w="49"/>
        <w:gridCol w:w="49"/>
        <w:gridCol w:w="49"/>
        <w:gridCol w:w="49"/>
        <w:gridCol w:w="49"/>
        <w:gridCol w:w="49"/>
        <w:gridCol w:w="49"/>
        <w:gridCol w:w="49"/>
        <w:gridCol w:w="35"/>
      </w:tblGrid>
      <w:tr w:rsidR="008D6614" w14:paraId="64A8948F" w14:textId="77777777">
        <w:trPr>
          <w:gridAfter w:val="15"/>
          <w:jc w:val="center"/>
        </w:trPr>
        <w:tc>
          <w:tcPr>
            <w:tcW w:w="50" w:type="pct"/>
            <w:shd w:val="clear" w:color="auto" w:fill="auto"/>
            <w:vAlign w:val="center"/>
          </w:tcPr>
          <w:p w14:paraId="64A8945F" w14:textId="77777777" w:rsidR="008D6614" w:rsidRDefault="008D6614">
            <w:pPr>
              <w:rPr>
                <w:rFonts w:ascii="宋体"/>
              </w:rPr>
            </w:pPr>
          </w:p>
        </w:tc>
        <w:tc>
          <w:tcPr>
            <w:tcW w:w="877" w:type="pct"/>
            <w:shd w:val="clear" w:color="auto" w:fill="auto"/>
            <w:vAlign w:val="center"/>
          </w:tcPr>
          <w:p w14:paraId="64A89460" w14:textId="77777777" w:rsidR="008D6614" w:rsidRDefault="008D6614">
            <w:pPr>
              <w:rPr>
                <w:rFonts w:ascii="宋体"/>
              </w:rPr>
            </w:pPr>
          </w:p>
        </w:tc>
        <w:tc>
          <w:tcPr>
            <w:tcW w:w="50" w:type="pct"/>
            <w:shd w:val="clear" w:color="auto" w:fill="auto"/>
            <w:vAlign w:val="center"/>
          </w:tcPr>
          <w:p w14:paraId="64A89461" w14:textId="77777777" w:rsidR="008D6614" w:rsidRDefault="008D6614">
            <w:pPr>
              <w:rPr>
                <w:rFonts w:ascii="宋体"/>
              </w:rPr>
            </w:pPr>
          </w:p>
        </w:tc>
        <w:tc>
          <w:tcPr>
            <w:tcW w:w="50" w:type="pct"/>
            <w:shd w:val="clear" w:color="auto" w:fill="auto"/>
            <w:vAlign w:val="center"/>
          </w:tcPr>
          <w:p w14:paraId="64A89462" w14:textId="77777777" w:rsidR="008D6614" w:rsidRDefault="008D6614">
            <w:pPr>
              <w:rPr>
                <w:rFonts w:ascii="宋体"/>
              </w:rPr>
            </w:pPr>
          </w:p>
        </w:tc>
        <w:tc>
          <w:tcPr>
            <w:tcW w:w="333" w:type="pct"/>
            <w:shd w:val="clear" w:color="auto" w:fill="auto"/>
            <w:vAlign w:val="center"/>
          </w:tcPr>
          <w:p w14:paraId="64A89463" w14:textId="77777777" w:rsidR="008D6614" w:rsidRDefault="008D6614">
            <w:pPr>
              <w:rPr>
                <w:rFonts w:ascii="宋体"/>
              </w:rPr>
            </w:pPr>
          </w:p>
        </w:tc>
        <w:tc>
          <w:tcPr>
            <w:tcW w:w="50" w:type="pct"/>
            <w:shd w:val="clear" w:color="auto" w:fill="auto"/>
            <w:vAlign w:val="center"/>
          </w:tcPr>
          <w:p w14:paraId="64A89464" w14:textId="77777777" w:rsidR="008D6614" w:rsidRDefault="008D6614">
            <w:pPr>
              <w:rPr>
                <w:rFonts w:ascii="宋体"/>
              </w:rPr>
            </w:pPr>
          </w:p>
        </w:tc>
        <w:tc>
          <w:tcPr>
            <w:tcW w:w="5" w:type="pct"/>
            <w:shd w:val="clear" w:color="auto" w:fill="auto"/>
            <w:vAlign w:val="center"/>
          </w:tcPr>
          <w:p w14:paraId="64A89465" w14:textId="77777777" w:rsidR="008D6614" w:rsidRDefault="008D6614">
            <w:pPr>
              <w:rPr>
                <w:rFonts w:ascii="宋体"/>
              </w:rPr>
            </w:pPr>
          </w:p>
        </w:tc>
        <w:tc>
          <w:tcPr>
            <w:tcW w:w="26" w:type="pct"/>
            <w:shd w:val="clear" w:color="auto" w:fill="auto"/>
            <w:vAlign w:val="center"/>
          </w:tcPr>
          <w:p w14:paraId="64A89466" w14:textId="77777777" w:rsidR="008D6614" w:rsidRDefault="008D6614">
            <w:pPr>
              <w:rPr>
                <w:rFonts w:ascii="宋体"/>
              </w:rPr>
            </w:pPr>
          </w:p>
        </w:tc>
        <w:tc>
          <w:tcPr>
            <w:tcW w:w="5" w:type="pct"/>
            <w:shd w:val="clear" w:color="auto" w:fill="auto"/>
            <w:vAlign w:val="center"/>
          </w:tcPr>
          <w:p w14:paraId="64A89467" w14:textId="77777777" w:rsidR="008D6614" w:rsidRDefault="008D6614">
            <w:pPr>
              <w:rPr>
                <w:rFonts w:ascii="宋体"/>
              </w:rPr>
            </w:pPr>
          </w:p>
        </w:tc>
        <w:tc>
          <w:tcPr>
            <w:tcW w:w="50" w:type="pct"/>
            <w:shd w:val="clear" w:color="auto" w:fill="auto"/>
            <w:vAlign w:val="center"/>
          </w:tcPr>
          <w:p w14:paraId="64A89468" w14:textId="77777777" w:rsidR="008D6614" w:rsidRDefault="008D6614">
            <w:pPr>
              <w:rPr>
                <w:rFonts w:ascii="宋体"/>
              </w:rPr>
            </w:pPr>
          </w:p>
        </w:tc>
        <w:tc>
          <w:tcPr>
            <w:tcW w:w="458" w:type="pct"/>
            <w:shd w:val="clear" w:color="auto" w:fill="auto"/>
            <w:vAlign w:val="center"/>
          </w:tcPr>
          <w:p w14:paraId="64A89469" w14:textId="77777777" w:rsidR="008D6614" w:rsidRDefault="008D6614">
            <w:pPr>
              <w:rPr>
                <w:rFonts w:ascii="宋体"/>
              </w:rPr>
            </w:pPr>
          </w:p>
        </w:tc>
        <w:tc>
          <w:tcPr>
            <w:tcW w:w="50" w:type="pct"/>
            <w:shd w:val="clear" w:color="auto" w:fill="auto"/>
            <w:vAlign w:val="center"/>
          </w:tcPr>
          <w:p w14:paraId="64A8946A" w14:textId="77777777" w:rsidR="008D6614" w:rsidRDefault="008D6614">
            <w:pPr>
              <w:rPr>
                <w:rFonts w:ascii="宋体"/>
              </w:rPr>
            </w:pPr>
          </w:p>
        </w:tc>
        <w:tc>
          <w:tcPr>
            <w:tcW w:w="5" w:type="pct"/>
            <w:shd w:val="clear" w:color="auto" w:fill="auto"/>
            <w:vAlign w:val="center"/>
          </w:tcPr>
          <w:p w14:paraId="64A8946B" w14:textId="77777777" w:rsidR="008D6614" w:rsidRDefault="008D6614">
            <w:pPr>
              <w:rPr>
                <w:rFonts w:ascii="宋体"/>
              </w:rPr>
            </w:pPr>
          </w:p>
        </w:tc>
        <w:tc>
          <w:tcPr>
            <w:tcW w:w="26" w:type="pct"/>
            <w:shd w:val="clear" w:color="auto" w:fill="auto"/>
            <w:vAlign w:val="center"/>
          </w:tcPr>
          <w:p w14:paraId="64A8946C" w14:textId="77777777" w:rsidR="008D6614" w:rsidRDefault="008D6614">
            <w:pPr>
              <w:rPr>
                <w:rFonts w:ascii="宋体"/>
              </w:rPr>
            </w:pPr>
          </w:p>
        </w:tc>
        <w:tc>
          <w:tcPr>
            <w:tcW w:w="5" w:type="pct"/>
            <w:shd w:val="clear" w:color="auto" w:fill="auto"/>
            <w:vAlign w:val="center"/>
          </w:tcPr>
          <w:p w14:paraId="64A8946D" w14:textId="77777777" w:rsidR="008D6614" w:rsidRDefault="008D6614">
            <w:pPr>
              <w:rPr>
                <w:rFonts w:ascii="宋体"/>
              </w:rPr>
            </w:pPr>
          </w:p>
        </w:tc>
        <w:tc>
          <w:tcPr>
            <w:tcW w:w="50" w:type="pct"/>
            <w:shd w:val="clear" w:color="auto" w:fill="auto"/>
            <w:vAlign w:val="center"/>
          </w:tcPr>
          <w:p w14:paraId="64A8946E" w14:textId="77777777" w:rsidR="008D6614" w:rsidRDefault="008D6614">
            <w:pPr>
              <w:rPr>
                <w:rFonts w:ascii="宋体"/>
              </w:rPr>
            </w:pPr>
          </w:p>
        </w:tc>
        <w:tc>
          <w:tcPr>
            <w:tcW w:w="370" w:type="pct"/>
            <w:shd w:val="clear" w:color="auto" w:fill="auto"/>
            <w:vAlign w:val="center"/>
          </w:tcPr>
          <w:p w14:paraId="64A8946F" w14:textId="77777777" w:rsidR="008D6614" w:rsidRDefault="008D6614">
            <w:pPr>
              <w:rPr>
                <w:rFonts w:ascii="宋体"/>
              </w:rPr>
            </w:pPr>
          </w:p>
        </w:tc>
        <w:tc>
          <w:tcPr>
            <w:tcW w:w="50" w:type="pct"/>
            <w:shd w:val="clear" w:color="auto" w:fill="auto"/>
            <w:vAlign w:val="center"/>
          </w:tcPr>
          <w:p w14:paraId="64A89470" w14:textId="77777777" w:rsidR="008D6614" w:rsidRDefault="008D6614">
            <w:pPr>
              <w:rPr>
                <w:rFonts w:ascii="宋体"/>
              </w:rPr>
            </w:pPr>
          </w:p>
        </w:tc>
        <w:tc>
          <w:tcPr>
            <w:tcW w:w="5" w:type="pct"/>
            <w:shd w:val="clear" w:color="auto" w:fill="auto"/>
            <w:vAlign w:val="center"/>
          </w:tcPr>
          <w:p w14:paraId="64A89471" w14:textId="77777777" w:rsidR="008D6614" w:rsidRDefault="008D6614">
            <w:pPr>
              <w:rPr>
                <w:rFonts w:ascii="宋体"/>
              </w:rPr>
            </w:pPr>
          </w:p>
        </w:tc>
        <w:tc>
          <w:tcPr>
            <w:tcW w:w="26" w:type="pct"/>
            <w:shd w:val="clear" w:color="auto" w:fill="auto"/>
            <w:vAlign w:val="center"/>
          </w:tcPr>
          <w:p w14:paraId="64A89472" w14:textId="77777777" w:rsidR="008D6614" w:rsidRDefault="008D6614">
            <w:pPr>
              <w:rPr>
                <w:rFonts w:ascii="宋体"/>
              </w:rPr>
            </w:pPr>
          </w:p>
        </w:tc>
        <w:tc>
          <w:tcPr>
            <w:tcW w:w="5" w:type="pct"/>
            <w:shd w:val="clear" w:color="auto" w:fill="auto"/>
            <w:vAlign w:val="center"/>
          </w:tcPr>
          <w:p w14:paraId="64A89473" w14:textId="77777777" w:rsidR="008D6614" w:rsidRDefault="008D6614">
            <w:pPr>
              <w:rPr>
                <w:rFonts w:ascii="宋体"/>
              </w:rPr>
            </w:pPr>
          </w:p>
        </w:tc>
        <w:tc>
          <w:tcPr>
            <w:tcW w:w="50" w:type="pct"/>
            <w:shd w:val="clear" w:color="auto" w:fill="auto"/>
            <w:vAlign w:val="center"/>
          </w:tcPr>
          <w:p w14:paraId="64A89474" w14:textId="77777777" w:rsidR="008D6614" w:rsidRDefault="008D6614">
            <w:pPr>
              <w:rPr>
                <w:rFonts w:ascii="宋体"/>
              </w:rPr>
            </w:pPr>
          </w:p>
        </w:tc>
        <w:tc>
          <w:tcPr>
            <w:tcW w:w="341" w:type="pct"/>
            <w:shd w:val="clear" w:color="auto" w:fill="auto"/>
            <w:vAlign w:val="center"/>
          </w:tcPr>
          <w:p w14:paraId="64A89475" w14:textId="77777777" w:rsidR="008D6614" w:rsidRDefault="008D6614">
            <w:pPr>
              <w:rPr>
                <w:rFonts w:ascii="宋体"/>
              </w:rPr>
            </w:pPr>
          </w:p>
        </w:tc>
        <w:tc>
          <w:tcPr>
            <w:tcW w:w="50" w:type="pct"/>
            <w:shd w:val="clear" w:color="auto" w:fill="auto"/>
            <w:vAlign w:val="center"/>
          </w:tcPr>
          <w:p w14:paraId="64A89476" w14:textId="77777777" w:rsidR="008D6614" w:rsidRDefault="008D6614">
            <w:pPr>
              <w:rPr>
                <w:rFonts w:ascii="宋体"/>
              </w:rPr>
            </w:pPr>
          </w:p>
        </w:tc>
        <w:tc>
          <w:tcPr>
            <w:tcW w:w="5" w:type="pct"/>
            <w:shd w:val="clear" w:color="auto" w:fill="auto"/>
            <w:vAlign w:val="center"/>
          </w:tcPr>
          <w:p w14:paraId="64A89477" w14:textId="77777777" w:rsidR="008D6614" w:rsidRDefault="008D6614">
            <w:pPr>
              <w:rPr>
                <w:rFonts w:ascii="宋体"/>
              </w:rPr>
            </w:pPr>
          </w:p>
        </w:tc>
        <w:tc>
          <w:tcPr>
            <w:tcW w:w="26" w:type="pct"/>
            <w:shd w:val="clear" w:color="auto" w:fill="auto"/>
            <w:vAlign w:val="center"/>
          </w:tcPr>
          <w:p w14:paraId="64A89478" w14:textId="77777777" w:rsidR="008D6614" w:rsidRDefault="008D6614">
            <w:pPr>
              <w:rPr>
                <w:rFonts w:ascii="宋体"/>
              </w:rPr>
            </w:pPr>
          </w:p>
        </w:tc>
        <w:tc>
          <w:tcPr>
            <w:tcW w:w="5" w:type="pct"/>
            <w:shd w:val="clear" w:color="auto" w:fill="auto"/>
            <w:vAlign w:val="center"/>
          </w:tcPr>
          <w:p w14:paraId="64A89479" w14:textId="77777777" w:rsidR="008D6614" w:rsidRDefault="008D6614">
            <w:pPr>
              <w:rPr>
                <w:rFonts w:ascii="宋体"/>
              </w:rPr>
            </w:pPr>
          </w:p>
        </w:tc>
        <w:tc>
          <w:tcPr>
            <w:tcW w:w="50" w:type="pct"/>
            <w:shd w:val="clear" w:color="auto" w:fill="auto"/>
            <w:vAlign w:val="center"/>
          </w:tcPr>
          <w:p w14:paraId="64A8947A" w14:textId="77777777" w:rsidR="008D6614" w:rsidRDefault="008D6614">
            <w:pPr>
              <w:rPr>
                <w:rFonts w:ascii="宋体"/>
              </w:rPr>
            </w:pPr>
          </w:p>
        </w:tc>
        <w:tc>
          <w:tcPr>
            <w:tcW w:w="333" w:type="pct"/>
            <w:shd w:val="clear" w:color="auto" w:fill="auto"/>
            <w:vAlign w:val="center"/>
          </w:tcPr>
          <w:p w14:paraId="64A8947B" w14:textId="77777777" w:rsidR="008D6614" w:rsidRDefault="008D6614">
            <w:pPr>
              <w:rPr>
                <w:rFonts w:ascii="宋体"/>
              </w:rPr>
            </w:pPr>
          </w:p>
        </w:tc>
        <w:tc>
          <w:tcPr>
            <w:tcW w:w="50" w:type="pct"/>
            <w:shd w:val="clear" w:color="auto" w:fill="auto"/>
            <w:vAlign w:val="center"/>
          </w:tcPr>
          <w:p w14:paraId="64A8947C" w14:textId="77777777" w:rsidR="008D6614" w:rsidRDefault="008D6614">
            <w:pPr>
              <w:rPr>
                <w:rFonts w:ascii="宋体"/>
              </w:rPr>
            </w:pPr>
          </w:p>
        </w:tc>
        <w:tc>
          <w:tcPr>
            <w:tcW w:w="5" w:type="pct"/>
            <w:shd w:val="clear" w:color="auto" w:fill="auto"/>
            <w:vAlign w:val="center"/>
          </w:tcPr>
          <w:p w14:paraId="64A8947D" w14:textId="77777777" w:rsidR="008D6614" w:rsidRDefault="008D6614">
            <w:pPr>
              <w:rPr>
                <w:rFonts w:ascii="宋体"/>
              </w:rPr>
            </w:pPr>
          </w:p>
        </w:tc>
        <w:tc>
          <w:tcPr>
            <w:tcW w:w="26" w:type="pct"/>
            <w:shd w:val="clear" w:color="auto" w:fill="auto"/>
            <w:vAlign w:val="center"/>
          </w:tcPr>
          <w:p w14:paraId="64A8947E" w14:textId="77777777" w:rsidR="008D6614" w:rsidRDefault="008D6614">
            <w:pPr>
              <w:rPr>
                <w:rFonts w:ascii="宋体"/>
              </w:rPr>
            </w:pPr>
          </w:p>
        </w:tc>
        <w:tc>
          <w:tcPr>
            <w:tcW w:w="5" w:type="pct"/>
            <w:shd w:val="clear" w:color="auto" w:fill="auto"/>
            <w:vAlign w:val="center"/>
          </w:tcPr>
          <w:p w14:paraId="64A8947F" w14:textId="77777777" w:rsidR="008D6614" w:rsidRDefault="008D6614">
            <w:pPr>
              <w:rPr>
                <w:rFonts w:ascii="宋体"/>
              </w:rPr>
            </w:pPr>
          </w:p>
        </w:tc>
        <w:tc>
          <w:tcPr>
            <w:tcW w:w="50" w:type="pct"/>
            <w:shd w:val="clear" w:color="auto" w:fill="auto"/>
            <w:vAlign w:val="center"/>
          </w:tcPr>
          <w:p w14:paraId="64A89480" w14:textId="77777777" w:rsidR="008D6614" w:rsidRDefault="008D6614">
            <w:pPr>
              <w:rPr>
                <w:rFonts w:ascii="宋体"/>
              </w:rPr>
            </w:pPr>
          </w:p>
        </w:tc>
        <w:tc>
          <w:tcPr>
            <w:tcW w:w="458" w:type="pct"/>
            <w:shd w:val="clear" w:color="auto" w:fill="auto"/>
            <w:vAlign w:val="center"/>
          </w:tcPr>
          <w:p w14:paraId="64A89481" w14:textId="77777777" w:rsidR="008D6614" w:rsidRDefault="008D6614">
            <w:pPr>
              <w:rPr>
                <w:rFonts w:ascii="宋体"/>
              </w:rPr>
            </w:pPr>
          </w:p>
        </w:tc>
        <w:tc>
          <w:tcPr>
            <w:tcW w:w="50" w:type="pct"/>
            <w:shd w:val="clear" w:color="auto" w:fill="auto"/>
            <w:vAlign w:val="center"/>
          </w:tcPr>
          <w:p w14:paraId="64A89482" w14:textId="77777777" w:rsidR="008D6614" w:rsidRDefault="008D6614">
            <w:pPr>
              <w:rPr>
                <w:rFonts w:ascii="宋体"/>
              </w:rPr>
            </w:pPr>
          </w:p>
        </w:tc>
        <w:tc>
          <w:tcPr>
            <w:tcW w:w="5" w:type="pct"/>
            <w:shd w:val="clear" w:color="auto" w:fill="auto"/>
            <w:vAlign w:val="center"/>
          </w:tcPr>
          <w:p w14:paraId="64A89483" w14:textId="77777777" w:rsidR="008D6614" w:rsidRDefault="008D6614">
            <w:pPr>
              <w:rPr>
                <w:rFonts w:ascii="宋体"/>
              </w:rPr>
            </w:pPr>
          </w:p>
        </w:tc>
        <w:tc>
          <w:tcPr>
            <w:tcW w:w="26" w:type="pct"/>
            <w:shd w:val="clear" w:color="auto" w:fill="auto"/>
            <w:vAlign w:val="center"/>
          </w:tcPr>
          <w:p w14:paraId="64A89484" w14:textId="77777777" w:rsidR="008D6614" w:rsidRDefault="008D6614">
            <w:pPr>
              <w:rPr>
                <w:rFonts w:ascii="宋体"/>
              </w:rPr>
            </w:pPr>
          </w:p>
        </w:tc>
        <w:tc>
          <w:tcPr>
            <w:tcW w:w="5" w:type="pct"/>
            <w:shd w:val="clear" w:color="auto" w:fill="auto"/>
            <w:vAlign w:val="center"/>
          </w:tcPr>
          <w:p w14:paraId="64A89485" w14:textId="77777777" w:rsidR="008D6614" w:rsidRDefault="008D6614">
            <w:pPr>
              <w:rPr>
                <w:rFonts w:ascii="宋体"/>
              </w:rPr>
            </w:pPr>
          </w:p>
        </w:tc>
        <w:tc>
          <w:tcPr>
            <w:tcW w:w="50" w:type="pct"/>
            <w:shd w:val="clear" w:color="auto" w:fill="auto"/>
            <w:vAlign w:val="center"/>
          </w:tcPr>
          <w:p w14:paraId="64A89486" w14:textId="77777777" w:rsidR="008D6614" w:rsidRDefault="008D6614">
            <w:pPr>
              <w:rPr>
                <w:rFonts w:ascii="宋体"/>
              </w:rPr>
            </w:pPr>
          </w:p>
        </w:tc>
        <w:tc>
          <w:tcPr>
            <w:tcW w:w="319" w:type="pct"/>
            <w:shd w:val="clear" w:color="auto" w:fill="auto"/>
            <w:vAlign w:val="center"/>
          </w:tcPr>
          <w:p w14:paraId="64A89487" w14:textId="77777777" w:rsidR="008D6614" w:rsidRDefault="008D6614">
            <w:pPr>
              <w:rPr>
                <w:rFonts w:ascii="宋体"/>
              </w:rPr>
            </w:pPr>
          </w:p>
        </w:tc>
        <w:tc>
          <w:tcPr>
            <w:tcW w:w="50" w:type="pct"/>
            <w:shd w:val="clear" w:color="auto" w:fill="auto"/>
            <w:vAlign w:val="center"/>
          </w:tcPr>
          <w:p w14:paraId="64A89488" w14:textId="77777777" w:rsidR="008D6614" w:rsidRDefault="008D6614">
            <w:pPr>
              <w:rPr>
                <w:rFonts w:ascii="宋体"/>
              </w:rPr>
            </w:pPr>
          </w:p>
        </w:tc>
        <w:tc>
          <w:tcPr>
            <w:tcW w:w="5" w:type="pct"/>
            <w:shd w:val="clear" w:color="auto" w:fill="auto"/>
            <w:vAlign w:val="center"/>
          </w:tcPr>
          <w:p w14:paraId="64A89489" w14:textId="77777777" w:rsidR="008D6614" w:rsidRDefault="008D6614">
            <w:pPr>
              <w:rPr>
                <w:rFonts w:ascii="宋体"/>
              </w:rPr>
            </w:pPr>
          </w:p>
        </w:tc>
        <w:tc>
          <w:tcPr>
            <w:tcW w:w="26" w:type="pct"/>
            <w:shd w:val="clear" w:color="auto" w:fill="auto"/>
            <w:vAlign w:val="center"/>
          </w:tcPr>
          <w:p w14:paraId="64A8948A" w14:textId="77777777" w:rsidR="008D6614" w:rsidRDefault="008D6614">
            <w:pPr>
              <w:rPr>
                <w:rFonts w:ascii="宋体"/>
              </w:rPr>
            </w:pPr>
          </w:p>
        </w:tc>
        <w:tc>
          <w:tcPr>
            <w:tcW w:w="5" w:type="pct"/>
            <w:shd w:val="clear" w:color="auto" w:fill="auto"/>
            <w:vAlign w:val="center"/>
          </w:tcPr>
          <w:p w14:paraId="64A8948B" w14:textId="77777777" w:rsidR="008D6614" w:rsidRDefault="008D6614">
            <w:pPr>
              <w:rPr>
                <w:rFonts w:ascii="宋体"/>
              </w:rPr>
            </w:pPr>
          </w:p>
        </w:tc>
        <w:tc>
          <w:tcPr>
            <w:tcW w:w="50" w:type="pct"/>
            <w:shd w:val="clear" w:color="auto" w:fill="auto"/>
            <w:vAlign w:val="center"/>
          </w:tcPr>
          <w:p w14:paraId="64A8948C" w14:textId="77777777" w:rsidR="008D6614" w:rsidRDefault="008D6614">
            <w:pPr>
              <w:rPr>
                <w:rFonts w:ascii="宋体"/>
              </w:rPr>
            </w:pPr>
          </w:p>
        </w:tc>
        <w:tc>
          <w:tcPr>
            <w:tcW w:w="348" w:type="pct"/>
            <w:shd w:val="clear" w:color="auto" w:fill="auto"/>
            <w:vAlign w:val="center"/>
          </w:tcPr>
          <w:p w14:paraId="64A8948D" w14:textId="77777777" w:rsidR="008D6614" w:rsidRDefault="008D6614">
            <w:pPr>
              <w:rPr>
                <w:rFonts w:ascii="宋体"/>
              </w:rPr>
            </w:pPr>
          </w:p>
        </w:tc>
        <w:tc>
          <w:tcPr>
            <w:tcW w:w="50" w:type="pct"/>
            <w:shd w:val="clear" w:color="auto" w:fill="auto"/>
            <w:vAlign w:val="center"/>
          </w:tcPr>
          <w:p w14:paraId="64A8948E" w14:textId="77777777" w:rsidR="008D6614" w:rsidRDefault="008D6614">
            <w:pPr>
              <w:rPr>
                <w:rFonts w:ascii="宋体"/>
              </w:rPr>
            </w:pPr>
          </w:p>
        </w:tc>
      </w:tr>
      <w:tr w:rsidR="008D6614" w14:paraId="64A8949B" w14:textId="77777777">
        <w:trPr>
          <w:jc w:val="center"/>
        </w:trPr>
        <w:tc>
          <w:tcPr>
            <w:tcW w:w="0" w:type="auto"/>
            <w:gridSpan w:val="3"/>
            <w:shd w:val="clear" w:color="auto" w:fill="auto"/>
            <w:tcMar>
              <w:top w:w="40" w:type="dxa"/>
              <w:left w:w="20" w:type="dxa"/>
              <w:bottom w:w="40" w:type="dxa"/>
              <w:right w:w="20" w:type="dxa"/>
            </w:tcMar>
            <w:vAlign w:val="bottom"/>
          </w:tcPr>
          <w:p w14:paraId="64A89490" w14:textId="77777777" w:rsidR="008D6614" w:rsidRDefault="00866AF2">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4A89491" w14:textId="77777777" w:rsidR="008D6614" w:rsidRDefault="00866AF2">
            <w:pPr>
              <w:jc w:val="center"/>
              <w:textAlignment w:val="bottom"/>
            </w:pPr>
            <w:r>
              <w:rPr>
                <w:rFonts w:ascii="Arial" w:eastAsia="宋体" w:hAnsi="Arial" w:cs="Arial"/>
                <w:b/>
                <w:bCs/>
                <w:color w:val="000000"/>
                <w:sz w:val="16"/>
                <w:szCs w:val="16"/>
              </w:rPr>
              <w:t>March 31, 2020</w:t>
            </w:r>
          </w:p>
        </w:tc>
        <w:tc>
          <w:tcPr>
            <w:tcW w:w="0" w:type="auto"/>
            <w:gridSpan w:val="3"/>
            <w:shd w:val="clear" w:color="auto" w:fill="auto"/>
            <w:vAlign w:val="center"/>
          </w:tcPr>
          <w:p w14:paraId="64A89492" w14:textId="77777777" w:rsidR="008D6614" w:rsidRDefault="008D6614">
            <w:pPr>
              <w:rPr>
                <w:rFonts w:ascii="宋体"/>
                <w:vanish/>
              </w:rPr>
            </w:pPr>
          </w:p>
        </w:tc>
        <w:tc>
          <w:tcPr>
            <w:tcW w:w="0" w:type="auto"/>
            <w:gridSpan w:val="3"/>
            <w:shd w:val="clear" w:color="auto" w:fill="auto"/>
            <w:vAlign w:val="center"/>
          </w:tcPr>
          <w:p w14:paraId="64A89493" w14:textId="77777777" w:rsidR="008D6614" w:rsidRDefault="008D6614">
            <w:pPr>
              <w:rPr>
                <w:rFonts w:ascii="宋体"/>
                <w:vanish/>
              </w:rPr>
            </w:pPr>
          </w:p>
        </w:tc>
        <w:tc>
          <w:tcPr>
            <w:tcW w:w="0" w:type="auto"/>
            <w:gridSpan w:val="3"/>
            <w:shd w:val="clear" w:color="auto" w:fill="auto"/>
            <w:vAlign w:val="center"/>
          </w:tcPr>
          <w:p w14:paraId="64A89494" w14:textId="77777777" w:rsidR="008D6614" w:rsidRDefault="008D6614">
            <w:pPr>
              <w:rPr>
                <w:rFonts w:ascii="宋体"/>
                <w:vanish/>
              </w:rPr>
            </w:pPr>
          </w:p>
        </w:tc>
        <w:tc>
          <w:tcPr>
            <w:tcW w:w="0" w:type="auto"/>
            <w:gridSpan w:val="3"/>
            <w:shd w:val="clear" w:color="auto" w:fill="auto"/>
            <w:vAlign w:val="center"/>
          </w:tcPr>
          <w:p w14:paraId="64A89495" w14:textId="77777777" w:rsidR="008D6614" w:rsidRDefault="008D6614">
            <w:pPr>
              <w:rPr>
                <w:rFonts w:ascii="宋体"/>
                <w:vanish/>
              </w:rPr>
            </w:pPr>
          </w:p>
        </w:tc>
        <w:tc>
          <w:tcPr>
            <w:tcW w:w="0" w:type="auto"/>
            <w:gridSpan w:val="3"/>
            <w:shd w:val="clear" w:color="auto" w:fill="auto"/>
            <w:vAlign w:val="center"/>
          </w:tcPr>
          <w:p w14:paraId="64A89496" w14:textId="77777777" w:rsidR="008D6614" w:rsidRDefault="008D6614">
            <w:pPr>
              <w:rPr>
                <w:rFonts w:ascii="宋体"/>
                <w:vanish/>
              </w:rPr>
            </w:pPr>
          </w:p>
        </w:tc>
        <w:tc>
          <w:tcPr>
            <w:tcW w:w="0" w:type="auto"/>
            <w:gridSpan w:val="3"/>
            <w:shd w:val="clear" w:color="auto" w:fill="auto"/>
            <w:vAlign w:val="center"/>
          </w:tcPr>
          <w:p w14:paraId="64A89497"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498" w14:textId="77777777" w:rsidR="008D6614" w:rsidRDefault="008D6614">
            <w:pPr>
              <w:rPr>
                <w:rFonts w:ascii="宋体"/>
              </w:rPr>
            </w:pPr>
          </w:p>
        </w:tc>
        <w:tc>
          <w:tcPr>
            <w:tcW w:w="0" w:type="auto"/>
            <w:gridSpan w:val="17"/>
            <w:shd w:val="clear" w:color="auto" w:fill="auto"/>
            <w:tcMar>
              <w:top w:w="40" w:type="dxa"/>
              <w:left w:w="20" w:type="dxa"/>
              <w:bottom w:w="40" w:type="dxa"/>
              <w:right w:w="20" w:type="dxa"/>
            </w:tcMar>
            <w:vAlign w:val="bottom"/>
          </w:tcPr>
          <w:p w14:paraId="64A89499" w14:textId="77777777" w:rsidR="008D6614" w:rsidRDefault="00866AF2">
            <w:pPr>
              <w:jc w:val="center"/>
              <w:textAlignment w:val="bottom"/>
            </w:pPr>
            <w:r>
              <w:rPr>
                <w:rFonts w:ascii="Arial" w:eastAsia="宋体" w:hAnsi="Arial" w:cs="Arial"/>
                <w:b/>
                <w:bCs/>
                <w:color w:val="000000"/>
                <w:sz w:val="16"/>
                <w:szCs w:val="16"/>
              </w:rPr>
              <w:t>December 31, 2019</w:t>
            </w:r>
          </w:p>
        </w:tc>
        <w:tc>
          <w:tcPr>
            <w:tcW w:w="0" w:type="auto"/>
            <w:shd w:val="clear" w:color="auto" w:fill="auto"/>
            <w:vAlign w:val="center"/>
          </w:tcPr>
          <w:p w14:paraId="64A8949A" w14:textId="77777777" w:rsidR="008D6614" w:rsidRDefault="008D6614">
            <w:pPr>
              <w:rPr>
                <w:rFonts w:ascii="宋体"/>
                <w:vanish/>
              </w:rPr>
            </w:pPr>
          </w:p>
        </w:tc>
      </w:tr>
      <w:tr w:rsidR="008D6614" w14:paraId="64A894BB" w14:textId="77777777">
        <w:trPr>
          <w:jc w:val="center"/>
        </w:trPr>
        <w:tc>
          <w:tcPr>
            <w:tcW w:w="0" w:type="auto"/>
            <w:gridSpan w:val="3"/>
            <w:shd w:val="clear" w:color="auto" w:fill="auto"/>
            <w:tcMar>
              <w:left w:w="20" w:type="dxa"/>
              <w:right w:w="20" w:type="dxa"/>
            </w:tcMar>
            <w:vAlign w:val="bottom"/>
          </w:tcPr>
          <w:p w14:paraId="64A8949C"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49D" w14:textId="77777777" w:rsidR="008D6614" w:rsidRDefault="00866AF2">
            <w:pPr>
              <w:jc w:val="center"/>
              <w:textAlignment w:val="bottom"/>
            </w:pPr>
            <w:r>
              <w:rPr>
                <w:rFonts w:ascii="Arial" w:eastAsia="宋体" w:hAnsi="Arial" w:cs="Arial"/>
                <w:b/>
                <w:bCs/>
                <w:color w:val="000000"/>
                <w:sz w:val="16"/>
                <w:szCs w:val="16"/>
              </w:rPr>
              <w:t>Gross Carrying Amount</w:t>
            </w:r>
            <w:r>
              <w:rPr>
                <w:rFonts w:ascii="Arial" w:eastAsia="宋体" w:hAnsi="Arial" w:cs="Arial"/>
                <w:color w:val="000000"/>
                <w:sz w:val="16"/>
                <w:szCs w:val="16"/>
              </w:rPr>
              <w:t xml:space="preserve">  </w:t>
            </w:r>
          </w:p>
        </w:tc>
        <w:tc>
          <w:tcPr>
            <w:tcW w:w="0" w:type="auto"/>
            <w:gridSpan w:val="3"/>
            <w:tcBorders>
              <w:top w:val="single" w:sz="8" w:space="0" w:color="000000"/>
            </w:tcBorders>
            <w:shd w:val="clear" w:color="auto" w:fill="auto"/>
            <w:tcMar>
              <w:left w:w="20" w:type="dxa"/>
              <w:right w:w="20" w:type="dxa"/>
            </w:tcMar>
            <w:vAlign w:val="bottom"/>
          </w:tcPr>
          <w:p w14:paraId="64A8949E"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49F" w14:textId="77777777" w:rsidR="008D6614" w:rsidRDefault="00866AF2">
            <w:pPr>
              <w:jc w:val="center"/>
              <w:textAlignment w:val="bottom"/>
            </w:pPr>
            <w:r>
              <w:rPr>
                <w:rFonts w:ascii="Arial" w:eastAsia="宋体" w:hAnsi="Arial" w:cs="Arial"/>
                <w:b/>
                <w:bCs/>
                <w:color w:val="000000"/>
                <w:sz w:val="16"/>
                <w:szCs w:val="16"/>
              </w:rPr>
              <w:t>Accumulated Amortization</w:t>
            </w: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left w:w="20" w:type="dxa"/>
              <w:right w:w="20" w:type="dxa"/>
            </w:tcMar>
            <w:vAlign w:val="bottom"/>
          </w:tcPr>
          <w:p w14:paraId="64A894A0"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4A1" w14:textId="77777777" w:rsidR="008D6614" w:rsidRDefault="00866AF2">
            <w:pPr>
              <w:jc w:val="center"/>
              <w:textAlignment w:val="bottom"/>
            </w:pPr>
            <w:r>
              <w:rPr>
                <w:rFonts w:ascii="Arial" w:eastAsia="宋体" w:hAnsi="Arial" w:cs="Arial"/>
                <w:b/>
                <w:bCs/>
                <w:color w:val="000000"/>
                <w:sz w:val="16"/>
                <w:szCs w:val="16"/>
              </w:rPr>
              <w:t>Net Carrying Amount</w:t>
            </w:r>
          </w:p>
        </w:tc>
        <w:tc>
          <w:tcPr>
            <w:tcW w:w="0" w:type="auto"/>
            <w:gridSpan w:val="3"/>
            <w:tcBorders>
              <w:top w:val="single" w:sz="8" w:space="0" w:color="000000"/>
            </w:tcBorders>
            <w:shd w:val="clear" w:color="auto" w:fill="auto"/>
            <w:tcMar>
              <w:left w:w="20" w:type="dxa"/>
              <w:right w:w="20" w:type="dxa"/>
            </w:tcMar>
            <w:vAlign w:val="bottom"/>
          </w:tcPr>
          <w:p w14:paraId="64A894A2"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4A3" w14:textId="77777777" w:rsidR="008D6614" w:rsidRDefault="00866AF2">
            <w:pPr>
              <w:jc w:val="center"/>
              <w:textAlignment w:val="bottom"/>
            </w:pPr>
            <w:r>
              <w:rPr>
                <w:rFonts w:ascii="Arial" w:eastAsia="宋体" w:hAnsi="Arial" w:cs="Arial"/>
                <w:b/>
                <w:bCs/>
                <w:color w:val="000000"/>
                <w:sz w:val="16"/>
                <w:szCs w:val="16"/>
              </w:rPr>
              <w:t>Weighted Average Useful Life (Years)</w:t>
            </w:r>
          </w:p>
        </w:tc>
        <w:tc>
          <w:tcPr>
            <w:tcW w:w="0" w:type="auto"/>
            <w:gridSpan w:val="3"/>
            <w:shd w:val="clear" w:color="auto" w:fill="auto"/>
            <w:tcMar>
              <w:left w:w="20" w:type="dxa"/>
              <w:right w:w="20" w:type="dxa"/>
            </w:tcMar>
            <w:vAlign w:val="bottom"/>
          </w:tcPr>
          <w:p w14:paraId="64A894A4"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4A5" w14:textId="77777777" w:rsidR="008D6614" w:rsidRDefault="00866AF2">
            <w:pPr>
              <w:jc w:val="center"/>
              <w:textAlignment w:val="bottom"/>
            </w:pPr>
            <w:r>
              <w:rPr>
                <w:rFonts w:ascii="Arial" w:eastAsia="宋体" w:hAnsi="Arial" w:cs="Arial"/>
                <w:b/>
                <w:bCs/>
                <w:color w:val="000000"/>
                <w:sz w:val="16"/>
                <w:szCs w:val="16"/>
              </w:rPr>
              <w:t>Gross Carrying Amount</w:t>
            </w:r>
          </w:p>
        </w:tc>
        <w:tc>
          <w:tcPr>
            <w:tcW w:w="0" w:type="auto"/>
            <w:gridSpan w:val="3"/>
            <w:tcBorders>
              <w:top w:val="single" w:sz="8" w:space="0" w:color="000000"/>
            </w:tcBorders>
            <w:shd w:val="clear" w:color="auto" w:fill="auto"/>
            <w:tcMar>
              <w:left w:w="20" w:type="dxa"/>
              <w:right w:w="20" w:type="dxa"/>
            </w:tcMar>
            <w:vAlign w:val="bottom"/>
          </w:tcPr>
          <w:p w14:paraId="64A894A6"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4A7" w14:textId="77777777" w:rsidR="008D6614" w:rsidRDefault="00866AF2">
            <w:pPr>
              <w:jc w:val="center"/>
              <w:textAlignment w:val="bottom"/>
            </w:pPr>
            <w:r>
              <w:rPr>
                <w:rFonts w:ascii="Arial" w:eastAsia="宋体" w:hAnsi="Arial" w:cs="Arial"/>
                <w:b/>
                <w:bCs/>
                <w:color w:val="000000"/>
                <w:sz w:val="16"/>
                <w:szCs w:val="16"/>
              </w:rPr>
              <w:t>Accumulated Amortization</w:t>
            </w: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left w:w="20" w:type="dxa"/>
              <w:right w:w="20" w:type="dxa"/>
            </w:tcMar>
            <w:vAlign w:val="bottom"/>
          </w:tcPr>
          <w:p w14:paraId="64A894A8"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4A9" w14:textId="77777777" w:rsidR="008D6614" w:rsidRDefault="00866AF2">
            <w:pPr>
              <w:jc w:val="center"/>
              <w:textAlignment w:val="bottom"/>
            </w:pPr>
            <w:r>
              <w:rPr>
                <w:rFonts w:ascii="Arial" w:eastAsia="宋体" w:hAnsi="Arial" w:cs="Arial"/>
                <w:b/>
                <w:bCs/>
                <w:color w:val="000000"/>
                <w:sz w:val="16"/>
                <w:szCs w:val="16"/>
              </w:rPr>
              <w:t>Net Carrying Amount</w:t>
            </w:r>
          </w:p>
        </w:tc>
        <w:tc>
          <w:tcPr>
            <w:tcW w:w="0" w:type="auto"/>
            <w:gridSpan w:val="3"/>
            <w:tcBorders>
              <w:top w:val="single" w:sz="8" w:space="0" w:color="000000"/>
            </w:tcBorders>
            <w:shd w:val="clear" w:color="auto" w:fill="auto"/>
            <w:tcMar>
              <w:left w:w="20" w:type="dxa"/>
              <w:right w:w="20" w:type="dxa"/>
            </w:tcMar>
            <w:vAlign w:val="bottom"/>
          </w:tcPr>
          <w:p w14:paraId="64A894AA"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4AB" w14:textId="77777777" w:rsidR="008D6614" w:rsidRDefault="00866AF2">
            <w:pPr>
              <w:jc w:val="center"/>
              <w:textAlignment w:val="bottom"/>
            </w:pPr>
            <w:r>
              <w:rPr>
                <w:rFonts w:ascii="Arial" w:eastAsia="宋体" w:hAnsi="Arial" w:cs="Arial"/>
                <w:b/>
                <w:bCs/>
                <w:color w:val="000000"/>
                <w:sz w:val="16"/>
                <w:szCs w:val="16"/>
              </w:rPr>
              <w:t>Weighted Average Useful Life (Years)</w:t>
            </w:r>
          </w:p>
        </w:tc>
        <w:tc>
          <w:tcPr>
            <w:tcW w:w="0" w:type="auto"/>
            <w:shd w:val="clear" w:color="auto" w:fill="auto"/>
            <w:vAlign w:val="center"/>
          </w:tcPr>
          <w:p w14:paraId="64A894AC" w14:textId="77777777" w:rsidR="008D6614" w:rsidRDefault="008D6614">
            <w:pPr>
              <w:rPr>
                <w:rFonts w:ascii="宋体"/>
              </w:rPr>
            </w:pPr>
          </w:p>
        </w:tc>
        <w:tc>
          <w:tcPr>
            <w:tcW w:w="0" w:type="auto"/>
            <w:shd w:val="clear" w:color="auto" w:fill="auto"/>
            <w:vAlign w:val="center"/>
          </w:tcPr>
          <w:p w14:paraId="64A894AD" w14:textId="77777777" w:rsidR="008D6614" w:rsidRDefault="008D6614">
            <w:pPr>
              <w:rPr>
                <w:rFonts w:ascii="宋体"/>
              </w:rPr>
            </w:pPr>
          </w:p>
        </w:tc>
        <w:tc>
          <w:tcPr>
            <w:tcW w:w="0" w:type="auto"/>
            <w:shd w:val="clear" w:color="auto" w:fill="auto"/>
            <w:vAlign w:val="center"/>
          </w:tcPr>
          <w:p w14:paraId="64A894AE" w14:textId="77777777" w:rsidR="008D6614" w:rsidRDefault="008D6614">
            <w:pPr>
              <w:rPr>
                <w:rFonts w:ascii="宋体"/>
              </w:rPr>
            </w:pPr>
          </w:p>
        </w:tc>
        <w:tc>
          <w:tcPr>
            <w:tcW w:w="0" w:type="auto"/>
            <w:shd w:val="clear" w:color="auto" w:fill="auto"/>
            <w:vAlign w:val="center"/>
          </w:tcPr>
          <w:p w14:paraId="64A894AF" w14:textId="77777777" w:rsidR="008D6614" w:rsidRDefault="008D6614">
            <w:pPr>
              <w:rPr>
                <w:rFonts w:ascii="宋体"/>
              </w:rPr>
            </w:pPr>
          </w:p>
        </w:tc>
        <w:tc>
          <w:tcPr>
            <w:tcW w:w="0" w:type="auto"/>
            <w:shd w:val="clear" w:color="auto" w:fill="auto"/>
            <w:vAlign w:val="center"/>
          </w:tcPr>
          <w:p w14:paraId="64A894B0" w14:textId="77777777" w:rsidR="008D6614" w:rsidRDefault="008D6614">
            <w:pPr>
              <w:rPr>
                <w:rFonts w:ascii="宋体"/>
              </w:rPr>
            </w:pPr>
          </w:p>
        </w:tc>
        <w:tc>
          <w:tcPr>
            <w:tcW w:w="0" w:type="auto"/>
            <w:shd w:val="clear" w:color="auto" w:fill="auto"/>
            <w:vAlign w:val="center"/>
          </w:tcPr>
          <w:p w14:paraId="64A894B1" w14:textId="77777777" w:rsidR="008D6614" w:rsidRDefault="008D6614">
            <w:pPr>
              <w:rPr>
                <w:rFonts w:ascii="宋体"/>
              </w:rPr>
            </w:pPr>
          </w:p>
        </w:tc>
        <w:tc>
          <w:tcPr>
            <w:tcW w:w="0" w:type="auto"/>
            <w:shd w:val="clear" w:color="auto" w:fill="auto"/>
            <w:vAlign w:val="center"/>
          </w:tcPr>
          <w:p w14:paraId="64A894B2" w14:textId="77777777" w:rsidR="008D6614" w:rsidRDefault="008D6614">
            <w:pPr>
              <w:rPr>
                <w:rFonts w:ascii="宋体"/>
              </w:rPr>
            </w:pPr>
          </w:p>
        </w:tc>
        <w:tc>
          <w:tcPr>
            <w:tcW w:w="0" w:type="auto"/>
            <w:shd w:val="clear" w:color="auto" w:fill="auto"/>
            <w:vAlign w:val="center"/>
          </w:tcPr>
          <w:p w14:paraId="64A894B3" w14:textId="77777777" w:rsidR="008D6614" w:rsidRDefault="008D6614">
            <w:pPr>
              <w:rPr>
                <w:rFonts w:ascii="宋体"/>
              </w:rPr>
            </w:pPr>
          </w:p>
        </w:tc>
        <w:tc>
          <w:tcPr>
            <w:tcW w:w="0" w:type="auto"/>
            <w:shd w:val="clear" w:color="auto" w:fill="auto"/>
            <w:vAlign w:val="center"/>
          </w:tcPr>
          <w:p w14:paraId="64A894B4" w14:textId="77777777" w:rsidR="008D6614" w:rsidRDefault="008D6614">
            <w:pPr>
              <w:rPr>
                <w:rFonts w:ascii="宋体"/>
              </w:rPr>
            </w:pPr>
          </w:p>
        </w:tc>
        <w:tc>
          <w:tcPr>
            <w:tcW w:w="0" w:type="auto"/>
            <w:shd w:val="clear" w:color="auto" w:fill="auto"/>
            <w:vAlign w:val="center"/>
          </w:tcPr>
          <w:p w14:paraId="64A894B5" w14:textId="77777777" w:rsidR="008D6614" w:rsidRDefault="008D6614">
            <w:pPr>
              <w:rPr>
                <w:rFonts w:ascii="宋体"/>
              </w:rPr>
            </w:pPr>
          </w:p>
        </w:tc>
        <w:tc>
          <w:tcPr>
            <w:tcW w:w="0" w:type="auto"/>
            <w:shd w:val="clear" w:color="auto" w:fill="auto"/>
            <w:vAlign w:val="center"/>
          </w:tcPr>
          <w:p w14:paraId="64A894B6" w14:textId="77777777" w:rsidR="008D6614" w:rsidRDefault="008D6614">
            <w:pPr>
              <w:rPr>
                <w:rFonts w:ascii="宋体"/>
              </w:rPr>
            </w:pPr>
          </w:p>
        </w:tc>
        <w:tc>
          <w:tcPr>
            <w:tcW w:w="0" w:type="auto"/>
            <w:shd w:val="clear" w:color="auto" w:fill="auto"/>
            <w:vAlign w:val="center"/>
          </w:tcPr>
          <w:p w14:paraId="64A894B7" w14:textId="77777777" w:rsidR="008D6614" w:rsidRDefault="008D6614">
            <w:pPr>
              <w:rPr>
                <w:rFonts w:ascii="宋体"/>
              </w:rPr>
            </w:pPr>
          </w:p>
        </w:tc>
        <w:tc>
          <w:tcPr>
            <w:tcW w:w="0" w:type="auto"/>
            <w:shd w:val="clear" w:color="auto" w:fill="auto"/>
            <w:vAlign w:val="center"/>
          </w:tcPr>
          <w:p w14:paraId="64A894B8" w14:textId="77777777" w:rsidR="008D6614" w:rsidRDefault="008D6614">
            <w:pPr>
              <w:rPr>
                <w:rFonts w:ascii="宋体"/>
              </w:rPr>
            </w:pPr>
          </w:p>
        </w:tc>
        <w:tc>
          <w:tcPr>
            <w:tcW w:w="0" w:type="auto"/>
            <w:shd w:val="clear" w:color="auto" w:fill="auto"/>
            <w:vAlign w:val="center"/>
          </w:tcPr>
          <w:p w14:paraId="64A894B9" w14:textId="77777777" w:rsidR="008D6614" w:rsidRDefault="008D6614">
            <w:pPr>
              <w:rPr>
                <w:rFonts w:ascii="宋体"/>
              </w:rPr>
            </w:pPr>
          </w:p>
        </w:tc>
        <w:tc>
          <w:tcPr>
            <w:tcW w:w="0" w:type="auto"/>
            <w:shd w:val="clear" w:color="auto" w:fill="auto"/>
            <w:vAlign w:val="center"/>
          </w:tcPr>
          <w:p w14:paraId="64A894BA" w14:textId="77777777" w:rsidR="008D6614" w:rsidRDefault="008D6614">
            <w:pPr>
              <w:rPr>
                <w:rFonts w:ascii="宋体"/>
              </w:rPr>
            </w:pPr>
          </w:p>
        </w:tc>
      </w:tr>
      <w:tr w:rsidR="008D6614" w14:paraId="64A894DB" w14:textId="77777777">
        <w:trPr>
          <w:jc w:val="center"/>
        </w:trPr>
        <w:tc>
          <w:tcPr>
            <w:tcW w:w="0" w:type="auto"/>
            <w:gridSpan w:val="3"/>
            <w:shd w:val="clear" w:color="auto" w:fill="E2E2E2"/>
            <w:tcMar>
              <w:top w:w="40" w:type="dxa"/>
              <w:left w:w="20" w:type="dxa"/>
              <w:bottom w:w="40" w:type="dxa"/>
              <w:right w:w="20" w:type="dxa"/>
            </w:tcMar>
            <w:vAlign w:val="bottom"/>
          </w:tcPr>
          <w:p w14:paraId="64A894BC" w14:textId="77777777" w:rsidR="008D6614" w:rsidRDefault="00866AF2">
            <w:pPr>
              <w:textAlignment w:val="bottom"/>
            </w:pPr>
            <w:r>
              <w:rPr>
                <w:rFonts w:ascii="Arial" w:eastAsia="宋体" w:hAnsi="Arial" w:cs="Arial"/>
                <w:color w:val="000000"/>
                <w:sz w:val="16"/>
                <w:szCs w:val="16"/>
              </w:rPr>
              <w:t>Intangible 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4BD"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4BE"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4BF"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4C0"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4C1"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4C2"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4C3" w14:textId="77777777" w:rsidR="008D6614" w:rsidRDefault="00866AF2">
            <w:pPr>
              <w:jc w:val="cente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4C4"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4C5"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4C6"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4C7"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4C8"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4C9"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4CA"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4CB" w14:textId="77777777" w:rsidR="008D6614" w:rsidRDefault="00866AF2">
            <w:pPr>
              <w:jc w:val="center"/>
              <w:textAlignment w:val="bottom"/>
            </w:pPr>
            <w:r>
              <w:rPr>
                <w:rFonts w:ascii="Arial" w:eastAsia="宋体" w:hAnsi="Arial" w:cs="Arial"/>
                <w:color w:val="000000"/>
                <w:sz w:val="16"/>
                <w:szCs w:val="16"/>
              </w:rPr>
              <w:t> </w:t>
            </w:r>
          </w:p>
        </w:tc>
        <w:tc>
          <w:tcPr>
            <w:tcW w:w="0" w:type="auto"/>
            <w:shd w:val="clear" w:color="auto" w:fill="auto"/>
            <w:vAlign w:val="center"/>
          </w:tcPr>
          <w:p w14:paraId="64A894CC" w14:textId="77777777" w:rsidR="008D6614" w:rsidRDefault="008D6614">
            <w:pPr>
              <w:rPr>
                <w:rFonts w:ascii="宋体"/>
              </w:rPr>
            </w:pPr>
          </w:p>
        </w:tc>
        <w:tc>
          <w:tcPr>
            <w:tcW w:w="0" w:type="auto"/>
            <w:shd w:val="clear" w:color="auto" w:fill="auto"/>
            <w:vAlign w:val="center"/>
          </w:tcPr>
          <w:p w14:paraId="64A894CD" w14:textId="77777777" w:rsidR="008D6614" w:rsidRDefault="008D6614">
            <w:pPr>
              <w:rPr>
                <w:rFonts w:ascii="宋体"/>
              </w:rPr>
            </w:pPr>
          </w:p>
        </w:tc>
        <w:tc>
          <w:tcPr>
            <w:tcW w:w="0" w:type="auto"/>
            <w:shd w:val="clear" w:color="auto" w:fill="auto"/>
            <w:vAlign w:val="center"/>
          </w:tcPr>
          <w:p w14:paraId="64A894CE" w14:textId="77777777" w:rsidR="008D6614" w:rsidRDefault="008D6614">
            <w:pPr>
              <w:rPr>
                <w:rFonts w:ascii="宋体"/>
              </w:rPr>
            </w:pPr>
          </w:p>
        </w:tc>
        <w:tc>
          <w:tcPr>
            <w:tcW w:w="0" w:type="auto"/>
            <w:shd w:val="clear" w:color="auto" w:fill="auto"/>
            <w:vAlign w:val="center"/>
          </w:tcPr>
          <w:p w14:paraId="64A894CF" w14:textId="77777777" w:rsidR="008D6614" w:rsidRDefault="008D6614">
            <w:pPr>
              <w:rPr>
                <w:rFonts w:ascii="宋体"/>
              </w:rPr>
            </w:pPr>
          </w:p>
        </w:tc>
        <w:tc>
          <w:tcPr>
            <w:tcW w:w="0" w:type="auto"/>
            <w:shd w:val="clear" w:color="auto" w:fill="auto"/>
            <w:vAlign w:val="center"/>
          </w:tcPr>
          <w:p w14:paraId="64A894D0" w14:textId="77777777" w:rsidR="008D6614" w:rsidRDefault="008D6614">
            <w:pPr>
              <w:rPr>
                <w:rFonts w:ascii="宋体"/>
              </w:rPr>
            </w:pPr>
          </w:p>
        </w:tc>
        <w:tc>
          <w:tcPr>
            <w:tcW w:w="0" w:type="auto"/>
            <w:shd w:val="clear" w:color="auto" w:fill="auto"/>
            <w:vAlign w:val="center"/>
          </w:tcPr>
          <w:p w14:paraId="64A894D1" w14:textId="77777777" w:rsidR="008D6614" w:rsidRDefault="008D6614">
            <w:pPr>
              <w:rPr>
                <w:rFonts w:ascii="宋体"/>
              </w:rPr>
            </w:pPr>
          </w:p>
        </w:tc>
        <w:tc>
          <w:tcPr>
            <w:tcW w:w="0" w:type="auto"/>
            <w:shd w:val="clear" w:color="auto" w:fill="auto"/>
            <w:vAlign w:val="center"/>
          </w:tcPr>
          <w:p w14:paraId="64A894D2" w14:textId="77777777" w:rsidR="008D6614" w:rsidRDefault="008D6614">
            <w:pPr>
              <w:rPr>
                <w:rFonts w:ascii="宋体"/>
              </w:rPr>
            </w:pPr>
          </w:p>
        </w:tc>
        <w:tc>
          <w:tcPr>
            <w:tcW w:w="0" w:type="auto"/>
            <w:shd w:val="clear" w:color="auto" w:fill="auto"/>
            <w:vAlign w:val="center"/>
          </w:tcPr>
          <w:p w14:paraId="64A894D3" w14:textId="77777777" w:rsidR="008D6614" w:rsidRDefault="008D6614">
            <w:pPr>
              <w:rPr>
                <w:rFonts w:ascii="宋体"/>
              </w:rPr>
            </w:pPr>
          </w:p>
        </w:tc>
        <w:tc>
          <w:tcPr>
            <w:tcW w:w="0" w:type="auto"/>
            <w:shd w:val="clear" w:color="auto" w:fill="auto"/>
            <w:vAlign w:val="center"/>
          </w:tcPr>
          <w:p w14:paraId="64A894D4" w14:textId="77777777" w:rsidR="008D6614" w:rsidRDefault="008D6614">
            <w:pPr>
              <w:rPr>
                <w:rFonts w:ascii="宋体"/>
              </w:rPr>
            </w:pPr>
          </w:p>
        </w:tc>
        <w:tc>
          <w:tcPr>
            <w:tcW w:w="0" w:type="auto"/>
            <w:shd w:val="clear" w:color="auto" w:fill="auto"/>
            <w:vAlign w:val="center"/>
          </w:tcPr>
          <w:p w14:paraId="64A894D5" w14:textId="77777777" w:rsidR="008D6614" w:rsidRDefault="008D6614">
            <w:pPr>
              <w:rPr>
                <w:rFonts w:ascii="宋体"/>
              </w:rPr>
            </w:pPr>
          </w:p>
        </w:tc>
        <w:tc>
          <w:tcPr>
            <w:tcW w:w="0" w:type="auto"/>
            <w:shd w:val="clear" w:color="auto" w:fill="auto"/>
            <w:vAlign w:val="center"/>
          </w:tcPr>
          <w:p w14:paraId="64A894D6" w14:textId="77777777" w:rsidR="008D6614" w:rsidRDefault="008D6614">
            <w:pPr>
              <w:rPr>
                <w:rFonts w:ascii="宋体"/>
              </w:rPr>
            </w:pPr>
          </w:p>
        </w:tc>
        <w:tc>
          <w:tcPr>
            <w:tcW w:w="0" w:type="auto"/>
            <w:shd w:val="clear" w:color="auto" w:fill="auto"/>
            <w:vAlign w:val="center"/>
          </w:tcPr>
          <w:p w14:paraId="64A894D7" w14:textId="77777777" w:rsidR="008D6614" w:rsidRDefault="008D6614">
            <w:pPr>
              <w:rPr>
                <w:rFonts w:ascii="宋体"/>
              </w:rPr>
            </w:pPr>
          </w:p>
        </w:tc>
        <w:tc>
          <w:tcPr>
            <w:tcW w:w="0" w:type="auto"/>
            <w:shd w:val="clear" w:color="auto" w:fill="auto"/>
            <w:vAlign w:val="center"/>
          </w:tcPr>
          <w:p w14:paraId="64A894D8" w14:textId="77777777" w:rsidR="008D6614" w:rsidRDefault="008D6614">
            <w:pPr>
              <w:rPr>
                <w:rFonts w:ascii="宋体"/>
              </w:rPr>
            </w:pPr>
          </w:p>
        </w:tc>
        <w:tc>
          <w:tcPr>
            <w:tcW w:w="0" w:type="auto"/>
            <w:shd w:val="clear" w:color="auto" w:fill="auto"/>
            <w:vAlign w:val="center"/>
          </w:tcPr>
          <w:p w14:paraId="64A894D9" w14:textId="77777777" w:rsidR="008D6614" w:rsidRDefault="008D6614">
            <w:pPr>
              <w:rPr>
                <w:rFonts w:ascii="宋体"/>
              </w:rPr>
            </w:pPr>
          </w:p>
        </w:tc>
        <w:tc>
          <w:tcPr>
            <w:tcW w:w="0" w:type="auto"/>
            <w:shd w:val="clear" w:color="auto" w:fill="auto"/>
            <w:vAlign w:val="center"/>
          </w:tcPr>
          <w:p w14:paraId="64A894DA" w14:textId="77777777" w:rsidR="008D6614" w:rsidRDefault="008D6614">
            <w:pPr>
              <w:rPr>
                <w:rFonts w:ascii="宋体"/>
              </w:rPr>
            </w:pPr>
          </w:p>
        </w:tc>
      </w:tr>
      <w:tr w:rsidR="00866AF2" w14:paraId="64A89507" w14:textId="77777777">
        <w:trPr>
          <w:jc w:val="center"/>
        </w:trPr>
        <w:tc>
          <w:tcPr>
            <w:tcW w:w="0" w:type="auto"/>
            <w:gridSpan w:val="3"/>
            <w:shd w:val="clear" w:color="auto" w:fill="FFFFFF"/>
            <w:tcMar>
              <w:top w:w="40" w:type="dxa"/>
              <w:left w:w="225" w:type="dxa"/>
              <w:bottom w:w="40" w:type="dxa"/>
              <w:right w:w="20" w:type="dxa"/>
            </w:tcMar>
            <w:vAlign w:val="bottom"/>
          </w:tcPr>
          <w:p w14:paraId="64A894DC" w14:textId="77777777" w:rsidR="008D6614" w:rsidRDefault="00866AF2">
            <w:pPr>
              <w:textAlignment w:val="bottom"/>
            </w:pPr>
            <w:r>
              <w:rPr>
                <w:rFonts w:ascii="Arial" w:eastAsia="宋体" w:hAnsi="Arial" w:cs="Arial"/>
                <w:color w:val="000000"/>
                <w:sz w:val="16"/>
                <w:szCs w:val="16"/>
              </w:rPr>
              <w:t>Customer lists and user base</w:t>
            </w:r>
          </w:p>
        </w:tc>
        <w:tc>
          <w:tcPr>
            <w:tcW w:w="0" w:type="auto"/>
            <w:shd w:val="clear" w:color="auto" w:fill="FFFFFF"/>
            <w:tcMar>
              <w:top w:w="40" w:type="dxa"/>
              <w:left w:w="20" w:type="dxa"/>
              <w:bottom w:w="40" w:type="dxa"/>
            </w:tcMar>
            <w:vAlign w:val="bottom"/>
          </w:tcPr>
          <w:p w14:paraId="64A894DD"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94DE" w14:textId="77777777" w:rsidR="008D6614" w:rsidRDefault="00866AF2">
            <w:pPr>
              <w:jc w:val="right"/>
              <w:textAlignment w:val="bottom"/>
            </w:pPr>
            <w:r>
              <w:rPr>
                <w:rFonts w:ascii="Arial" w:eastAsia="宋体" w:hAnsi="Arial" w:cs="Arial"/>
                <w:color w:val="000000"/>
                <w:sz w:val="16"/>
                <w:szCs w:val="16"/>
              </w:rPr>
              <w:t>424 </w:t>
            </w:r>
          </w:p>
        </w:tc>
        <w:tc>
          <w:tcPr>
            <w:tcW w:w="0" w:type="auto"/>
            <w:shd w:val="clear" w:color="auto" w:fill="FFFFFF"/>
            <w:tcMar>
              <w:top w:w="40" w:type="dxa"/>
              <w:bottom w:w="40" w:type="dxa"/>
              <w:right w:w="20" w:type="dxa"/>
            </w:tcMar>
            <w:vAlign w:val="bottom"/>
          </w:tcPr>
          <w:p w14:paraId="64A894D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4E0"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4E1"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94E2" w14:textId="77777777" w:rsidR="008D6614" w:rsidRDefault="00866AF2">
            <w:pPr>
              <w:jc w:val="right"/>
              <w:textAlignment w:val="bottom"/>
            </w:pPr>
            <w:r>
              <w:rPr>
                <w:rFonts w:ascii="Arial" w:eastAsia="宋体" w:hAnsi="Arial" w:cs="Arial"/>
                <w:color w:val="000000"/>
                <w:sz w:val="16"/>
                <w:szCs w:val="16"/>
              </w:rPr>
              <w:t>(382)</w:t>
            </w:r>
          </w:p>
        </w:tc>
        <w:tc>
          <w:tcPr>
            <w:tcW w:w="0" w:type="auto"/>
            <w:shd w:val="clear" w:color="auto" w:fill="FFFFFF"/>
            <w:tcMar>
              <w:top w:w="40" w:type="dxa"/>
              <w:bottom w:w="40" w:type="dxa"/>
              <w:right w:w="20" w:type="dxa"/>
            </w:tcMar>
            <w:vAlign w:val="bottom"/>
          </w:tcPr>
          <w:p w14:paraId="64A894E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4E4"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4E5"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94E6" w14:textId="77777777" w:rsidR="008D6614" w:rsidRDefault="00866AF2">
            <w:pPr>
              <w:jc w:val="right"/>
              <w:textAlignment w:val="bottom"/>
            </w:pPr>
            <w:r>
              <w:rPr>
                <w:rFonts w:ascii="Arial" w:eastAsia="宋体" w:hAnsi="Arial" w:cs="Arial"/>
                <w:color w:val="000000"/>
                <w:sz w:val="16"/>
                <w:szCs w:val="16"/>
              </w:rPr>
              <w:t>42 </w:t>
            </w:r>
          </w:p>
        </w:tc>
        <w:tc>
          <w:tcPr>
            <w:tcW w:w="0" w:type="auto"/>
            <w:shd w:val="clear" w:color="auto" w:fill="FFFFFF"/>
            <w:tcMar>
              <w:top w:w="40" w:type="dxa"/>
              <w:bottom w:w="40" w:type="dxa"/>
              <w:right w:w="20" w:type="dxa"/>
            </w:tcMar>
            <w:vAlign w:val="bottom"/>
          </w:tcPr>
          <w:p w14:paraId="64A894E7"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4E8"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94E9" w14:textId="77777777" w:rsidR="008D6614" w:rsidRDefault="00866AF2">
            <w:pPr>
              <w:jc w:val="center"/>
              <w:textAlignment w:val="bottom"/>
            </w:pPr>
            <w:r>
              <w:rPr>
                <w:rFonts w:ascii="Arial" w:eastAsia="宋体" w:hAnsi="Arial" w:cs="Arial"/>
                <w:color w:val="000000"/>
                <w:sz w:val="16"/>
                <w:szCs w:val="16"/>
              </w:rPr>
              <w:t>5</w:t>
            </w:r>
          </w:p>
        </w:tc>
        <w:tc>
          <w:tcPr>
            <w:tcW w:w="0" w:type="auto"/>
            <w:gridSpan w:val="3"/>
            <w:shd w:val="clear" w:color="auto" w:fill="FFFFFF"/>
            <w:tcMar>
              <w:left w:w="20" w:type="dxa"/>
              <w:right w:w="20" w:type="dxa"/>
            </w:tcMar>
            <w:vAlign w:val="bottom"/>
          </w:tcPr>
          <w:p w14:paraId="64A894EA"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4EB"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94EC" w14:textId="77777777" w:rsidR="008D6614" w:rsidRDefault="00866AF2">
            <w:pPr>
              <w:jc w:val="right"/>
              <w:textAlignment w:val="bottom"/>
            </w:pPr>
            <w:r>
              <w:rPr>
                <w:rFonts w:ascii="Arial" w:eastAsia="宋体" w:hAnsi="Arial" w:cs="Arial"/>
                <w:color w:val="000000"/>
                <w:sz w:val="16"/>
                <w:szCs w:val="16"/>
              </w:rPr>
              <w:t>432 </w:t>
            </w:r>
          </w:p>
        </w:tc>
        <w:tc>
          <w:tcPr>
            <w:tcW w:w="0" w:type="auto"/>
            <w:shd w:val="clear" w:color="auto" w:fill="FFFFFF"/>
            <w:tcMar>
              <w:top w:w="40" w:type="dxa"/>
              <w:bottom w:w="40" w:type="dxa"/>
              <w:right w:w="20" w:type="dxa"/>
            </w:tcMar>
            <w:vAlign w:val="bottom"/>
          </w:tcPr>
          <w:p w14:paraId="64A894E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4EE"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4EF"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94F0" w14:textId="77777777" w:rsidR="008D6614" w:rsidRDefault="00866AF2">
            <w:pPr>
              <w:jc w:val="right"/>
              <w:textAlignment w:val="bottom"/>
            </w:pPr>
            <w:r>
              <w:rPr>
                <w:rFonts w:ascii="Arial" w:eastAsia="宋体" w:hAnsi="Arial" w:cs="Arial"/>
                <w:color w:val="000000"/>
                <w:sz w:val="16"/>
                <w:szCs w:val="16"/>
              </w:rPr>
              <w:t>(383)</w:t>
            </w:r>
          </w:p>
        </w:tc>
        <w:tc>
          <w:tcPr>
            <w:tcW w:w="0" w:type="auto"/>
            <w:shd w:val="clear" w:color="auto" w:fill="FFFFFF"/>
            <w:tcMar>
              <w:top w:w="40" w:type="dxa"/>
              <w:bottom w:w="40" w:type="dxa"/>
              <w:right w:w="20" w:type="dxa"/>
            </w:tcMar>
            <w:vAlign w:val="bottom"/>
          </w:tcPr>
          <w:p w14:paraId="64A894F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4F2"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4F3"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94F4" w14:textId="77777777" w:rsidR="008D6614" w:rsidRDefault="00866AF2">
            <w:pPr>
              <w:jc w:val="right"/>
              <w:textAlignment w:val="bottom"/>
            </w:pPr>
            <w:r>
              <w:rPr>
                <w:rFonts w:ascii="Arial" w:eastAsia="宋体" w:hAnsi="Arial" w:cs="Arial"/>
                <w:color w:val="000000"/>
                <w:sz w:val="16"/>
                <w:szCs w:val="16"/>
              </w:rPr>
              <w:t>49 </w:t>
            </w:r>
          </w:p>
        </w:tc>
        <w:tc>
          <w:tcPr>
            <w:tcW w:w="0" w:type="auto"/>
            <w:shd w:val="clear" w:color="auto" w:fill="FFFFFF"/>
            <w:tcMar>
              <w:top w:w="40" w:type="dxa"/>
              <w:bottom w:w="40" w:type="dxa"/>
              <w:right w:w="20" w:type="dxa"/>
            </w:tcMar>
            <w:vAlign w:val="bottom"/>
          </w:tcPr>
          <w:p w14:paraId="64A894F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4F6"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94F7" w14:textId="77777777" w:rsidR="008D6614" w:rsidRDefault="00866AF2">
            <w:pPr>
              <w:jc w:val="center"/>
              <w:textAlignment w:val="bottom"/>
            </w:pPr>
            <w:r>
              <w:rPr>
                <w:rFonts w:ascii="Arial" w:eastAsia="宋体" w:hAnsi="Arial" w:cs="Arial"/>
                <w:color w:val="000000"/>
                <w:sz w:val="16"/>
                <w:szCs w:val="16"/>
              </w:rPr>
              <w:t>5</w:t>
            </w:r>
          </w:p>
        </w:tc>
        <w:tc>
          <w:tcPr>
            <w:tcW w:w="0" w:type="auto"/>
            <w:shd w:val="clear" w:color="auto" w:fill="auto"/>
            <w:vAlign w:val="center"/>
          </w:tcPr>
          <w:p w14:paraId="64A894F8" w14:textId="77777777" w:rsidR="008D6614" w:rsidRDefault="008D6614">
            <w:pPr>
              <w:rPr>
                <w:rFonts w:ascii="宋体"/>
              </w:rPr>
            </w:pPr>
          </w:p>
        </w:tc>
        <w:tc>
          <w:tcPr>
            <w:tcW w:w="0" w:type="auto"/>
            <w:shd w:val="clear" w:color="auto" w:fill="auto"/>
            <w:vAlign w:val="center"/>
          </w:tcPr>
          <w:p w14:paraId="64A894F9" w14:textId="77777777" w:rsidR="008D6614" w:rsidRDefault="008D6614">
            <w:pPr>
              <w:rPr>
                <w:rFonts w:ascii="宋体"/>
              </w:rPr>
            </w:pPr>
          </w:p>
        </w:tc>
        <w:tc>
          <w:tcPr>
            <w:tcW w:w="0" w:type="auto"/>
            <w:shd w:val="clear" w:color="auto" w:fill="auto"/>
            <w:vAlign w:val="center"/>
          </w:tcPr>
          <w:p w14:paraId="64A894FA" w14:textId="77777777" w:rsidR="008D6614" w:rsidRDefault="008D6614">
            <w:pPr>
              <w:rPr>
                <w:rFonts w:ascii="宋体"/>
              </w:rPr>
            </w:pPr>
          </w:p>
        </w:tc>
        <w:tc>
          <w:tcPr>
            <w:tcW w:w="0" w:type="auto"/>
            <w:shd w:val="clear" w:color="auto" w:fill="auto"/>
            <w:vAlign w:val="center"/>
          </w:tcPr>
          <w:p w14:paraId="64A894FB" w14:textId="77777777" w:rsidR="008D6614" w:rsidRDefault="008D6614">
            <w:pPr>
              <w:rPr>
                <w:rFonts w:ascii="宋体"/>
              </w:rPr>
            </w:pPr>
          </w:p>
        </w:tc>
        <w:tc>
          <w:tcPr>
            <w:tcW w:w="0" w:type="auto"/>
            <w:shd w:val="clear" w:color="auto" w:fill="auto"/>
            <w:vAlign w:val="center"/>
          </w:tcPr>
          <w:p w14:paraId="64A894FC" w14:textId="77777777" w:rsidR="008D6614" w:rsidRDefault="008D6614">
            <w:pPr>
              <w:rPr>
                <w:rFonts w:ascii="宋体"/>
              </w:rPr>
            </w:pPr>
          </w:p>
        </w:tc>
        <w:tc>
          <w:tcPr>
            <w:tcW w:w="0" w:type="auto"/>
            <w:shd w:val="clear" w:color="auto" w:fill="auto"/>
            <w:vAlign w:val="center"/>
          </w:tcPr>
          <w:p w14:paraId="64A894FD" w14:textId="77777777" w:rsidR="008D6614" w:rsidRDefault="008D6614">
            <w:pPr>
              <w:rPr>
                <w:rFonts w:ascii="宋体"/>
              </w:rPr>
            </w:pPr>
          </w:p>
        </w:tc>
        <w:tc>
          <w:tcPr>
            <w:tcW w:w="0" w:type="auto"/>
            <w:shd w:val="clear" w:color="auto" w:fill="auto"/>
            <w:vAlign w:val="center"/>
          </w:tcPr>
          <w:p w14:paraId="64A894FE" w14:textId="77777777" w:rsidR="008D6614" w:rsidRDefault="008D6614">
            <w:pPr>
              <w:rPr>
                <w:rFonts w:ascii="宋体"/>
              </w:rPr>
            </w:pPr>
          </w:p>
        </w:tc>
        <w:tc>
          <w:tcPr>
            <w:tcW w:w="0" w:type="auto"/>
            <w:shd w:val="clear" w:color="auto" w:fill="auto"/>
            <w:vAlign w:val="center"/>
          </w:tcPr>
          <w:p w14:paraId="64A894FF" w14:textId="77777777" w:rsidR="008D6614" w:rsidRDefault="008D6614">
            <w:pPr>
              <w:rPr>
                <w:rFonts w:ascii="宋体"/>
              </w:rPr>
            </w:pPr>
          </w:p>
        </w:tc>
        <w:tc>
          <w:tcPr>
            <w:tcW w:w="0" w:type="auto"/>
            <w:shd w:val="clear" w:color="auto" w:fill="auto"/>
            <w:vAlign w:val="center"/>
          </w:tcPr>
          <w:p w14:paraId="64A89500" w14:textId="77777777" w:rsidR="008D6614" w:rsidRDefault="008D6614">
            <w:pPr>
              <w:rPr>
                <w:rFonts w:ascii="宋体"/>
              </w:rPr>
            </w:pPr>
          </w:p>
        </w:tc>
        <w:tc>
          <w:tcPr>
            <w:tcW w:w="0" w:type="auto"/>
            <w:shd w:val="clear" w:color="auto" w:fill="auto"/>
            <w:vAlign w:val="center"/>
          </w:tcPr>
          <w:p w14:paraId="64A89501" w14:textId="77777777" w:rsidR="008D6614" w:rsidRDefault="008D6614">
            <w:pPr>
              <w:rPr>
                <w:rFonts w:ascii="宋体"/>
              </w:rPr>
            </w:pPr>
          </w:p>
        </w:tc>
        <w:tc>
          <w:tcPr>
            <w:tcW w:w="0" w:type="auto"/>
            <w:shd w:val="clear" w:color="auto" w:fill="auto"/>
            <w:vAlign w:val="center"/>
          </w:tcPr>
          <w:p w14:paraId="64A89502" w14:textId="77777777" w:rsidR="008D6614" w:rsidRDefault="008D6614">
            <w:pPr>
              <w:rPr>
                <w:rFonts w:ascii="宋体"/>
              </w:rPr>
            </w:pPr>
          </w:p>
        </w:tc>
        <w:tc>
          <w:tcPr>
            <w:tcW w:w="0" w:type="auto"/>
            <w:shd w:val="clear" w:color="auto" w:fill="auto"/>
            <w:vAlign w:val="center"/>
          </w:tcPr>
          <w:p w14:paraId="64A89503" w14:textId="77777777" w:rsidR="008D6614" w:rsidRDefault="008D6614">
            <w:pPr>
              <w:rPr>
                <w:rFonts w:ascii="宋体"/>
              </w:rPr>
            </w:pPr>
          </w:p>
        </w:tc>
        <w:tc>
          <w:tcPr>
            <w:tcW w:w="0" w:type="auto"/>
            <w:shd w:val="clear" w:color="auto" w:fill="auto"/>
            <w:vAlign w:val="center"/>
          </w:tcPr>
          <w:p w14:paraId="64A89504" w14:textId="77777777" w:rsidR="008D6614" w:rsidRDefault="008D6614">
            <w:pPr>
              <w:rPr>
                <w:rFonts w:ascii="宋体"/>
              </w:rPr>
            </w:pPr>
          </w:p>
        </w:tc>
        <w:tc>
          <w:tcPr>
            <w:tcW w:w="0" w:type="auto"/>
            <w:shd w:val="clear" w:color="auto" w:fill="auto"/>
            <w:vAlign w:val="center"/>
          </w:tcPr>
          <w:p w14:paraId="64A89505" w14:textId="77777777" w:rsidR="008D6614" w:rsidRDefault="008D6614">
            <w:pPr>
              <w:rPr>
                <w:rFonts w:ascii="宋体"/>
              </w:rPr>
            </w:pPr>
          </w:p>
        </w:tc>
        <w:tc>
          <w:tcPr>
            <w:tcW w:w="0" w:type="auto"/>
            <w:shd w:val="clear" w:color="auto" w:fill="auto"/>
            <w:vAlign w:val="center"/>
          </w:tcPr>
          <w:p w14:paraId="64A89506" w14:textId="77777777" w:rsidR="008D6614" w:rsidRDefault="008D6614">
            <w:pPr>
              <w:rPr>
                <w:rFonts w:ascii="宋体"/>
              </w:rPr>
            </w:pPr>
          </w:p>
        </w:tc>
      </w:tr>
      <w:tr w:rsidR="008D6614" w14:paraId="64A8952D" w14:textId="77777777">
        <w:trPr>
          <w:jc w:val="center"/>
        </w:trPr>
        <w:tc>
          <w:tcPr>
            <w:tcW w:w="0" w:type="auto"/>
            <w:gridSpan w:val="3"/>
            <w:shd w:val="clear" w:color="auto" w:fill="E2E2E2"/>
            <w:tcMar>
              <w:top w:w="40" w:type="dxa"/>
              <w:left w:w="225" w:type="dxa"/>
              <w:bottom w:w="40" w:type="dxa"/>
              <w:right w:w="20" w:type="dxa"/>
            </w:tcMar>
            <w:vAlign w:val="bottom"/>
          </w:tcPr>
          <w:p w14:paraId="64A89508" w14:textId="77777777" w:rsidR="008D6614" w:rsidRDefault="00866AF2">
            <w:pPr>
              <w:textAlignment w:val="bottom"/>
            </w:pPr>
            <w:r>
              <w:rPr>
                <w:rFonts w:ascii="Arial" w:eastAsia="宋体" w:hAnsi="Arial" w:cs="Arial"/>
                <w:color w:val="000000"/>
                <w:sz w:val="16"/>
                <w:szCs w:val="16"/>
              </w:rPr>
              <w:t>Marketing related</w:t>
            </w:r>
          </w:p>
        </w:tc>
        <w:tc>
          <w:tcPr>
            <w:tcW w:w="0" w:type="auto"/>
            <w:gridSpan w:val="2"/>
            <w:shd w:val="clear" w:color="auto" w:fill="E2E2E2"/>
            <w:tcMar>
              <w:top w:w="40" w:type="dxa"/>
              <w:left w:w="20" w:type="dxa"/>
              <w:bottom w:w="40" w:type="dxa"/>
              <w:right w:w="0" w:type="dxa"/>
            </w:tcMar>
            <w:vAlign w:val="bottom"/>
          </w:tcPr>
          <w:p w14:paraId="64A89509" w14:textId="77777777" w:rsidR="008D6614" w:rsidRDefault="00866AF2">
            <w:pPr>
              <w:jc w:val="right"/>
              <w:textAlignment w:val="bottom"/>
            </w:pPr>
            <w:r>
              <w:rPr>
                <w:rFonts w:ascii="Arial" w:eastAsia="宋体" w:hAnsi="Arial" w:cs="Arial"/>
                <w:color w:val="000000"/>
                <w:sz w:val="16"/>
                <w:szCs w:val="16"/>
              </w:rPr>
              <w:t>477 </w:t>
            </w:r>
          </w:p>
        </w:tc>
        <w:tc>
          <w:tcPr>
            <w:tcW w:w="0" w:type="auto"/>
            <w:shd w:val="clear" w:color="auto" w:fill="E2E2E2"/>
            <w:tcMar>
              <w:top w:w="40" w:type="dxa"/>
              <w:bottom w:w="40" w:type="dxa"/>
              <w:right w:w="20" w:type="dxa"/>
            </w:tcMar>
            <w:vAlign w:val="bottom"/>
          </w:tcPr>
          <w:p w14:paraId="64A8950A"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0B"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0C" w14:textId="77777777" w:rsidR="008D6614" w:rsidRDefault="00866AF2">
            <w:pPr>
              <w:jc w:val="right"/>
              <w:textAlignment w:val="bottom"/>
            </w:pPr>
            <w:r>
              <w:rPr>
                <w:rFonts w:ascii="Arial" w:eastAsia="宋体" w:hAnsi="Arial" w:cs="Arial"/>
                <w:color w:val="000000"/>
                <w:sz w:val="16"/>
                <w:szCs w:val="16"/>
              </w:rPr>
              <w:t>(473)</w:t>
            </w:r>
          </w:p>
        </w:tc>
        <w:tc>
          <w:tcPr>
            <w:tcW w:w="0" w:type="auto"/>
            <w:shd w:val="clear" w:color="auto" w:fill="E2E2E2"/>
            <w:tcMar>
              <w:top w:w="40" w:type="dxa"/>
              <w:bottom w:w="40" w:type="dxa"/>
              <w:right w:w="20" w:type="dxa"/>
            </w:tcMar>
            <w:vAlign w:val="bottom"/>
          </w:tcPr>
          <w:p w14:paraId="64A8950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0E"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0F" w14:textId="77777777" w:rsidR="008D6614" w:rsidRDefault="00866AF2">
            <w:pPr>
              <w:jc w:val="right"/>
              <w:textAlignment w:val="bottom"/>
            </w:pPr>
            <w:r>
              <w:rPr>
                <w:rFonts w:ascii="Arial" w:eastAsia="宋体" w:hAnsi="Arial" w:cs="Arial"/>
                <w:color w:val="000000"/>
                <w:sz w:val="16"/>
                <w:szCs w:val="16"/>
              </w:rPr>
              <w:t>4 </w:t>
            </w:r>
          </w:p>
        </w:tc>
        <w:tc>
          <w:tcPr>
            <w:tcW w:w="0" w:type="auto"/>
            <w:shd w:val="clear" w:color="auto" w:fill="E2E2E2"/>
            <w:tcMar>
              <w:top w:w="40" w:type="dxa"/>
              <w:bottom w:w="40" w:type="dxa"/>
              <w:right w:w="20" w:type="dxa"/>
            </w:tcMar>
            <w:vAlign w:val="bottom"/>
          </w:tcPr>
          <w:p w14:paraId="64A8951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11"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9512" w14:textId="77777777" w:rsidR="008D6614" w:rsidRDefault="00866AF2">
            <w:pPr>
              <w:jc w:val="center"/>
              <w:textAlignment w:val="bottom"/>
            </w:pPr>
            <w:r>
              <w:rPr>
                <w:rFonts w:ascii="Arial" w:eastAsia="宋体" w:hAnsi="Arial" w:cs="Arial"/>
                <w:color w:val="000000"/>
                <w:sz w:val="16"/>
                <w:szCs w:val="16"/>
              </w:rPr>
              <w:t>5</w:t>
            </w:r>
          </w:p>
        </w:tc>
        <w:tc>
          <w:tcPr>
            <w:tcW w:w="0" w:type="auto"/>
            <w:gridSpan w:val="3"/>
            <w:shd w:val="clear" w:color="auto" w:fill="E2E2E2"/>
            <w:tcMar>
              <w:left w:w="20" w:type="dxa"/>
              <w:right w:w="20" w:type="dxa"/>
            </w:tcMar>
            <w:vAlign w:val="bottom"/>
          </w:tcPr>
          <w:p w14:paraId="64A8951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14" w14:textId="77777777" w:rsidR="008D6614" w:rsidRDefault="00866AF2">
            <w:pPr>
              <w:jc w:val="right"/>
              <w:textAlignment w:val="bottom"/>
            </w:pPr>
            <w:r>
              <w:rPr>
                <w:rFonts w:ascii="Arial" w:eastAsia="宋体" w:hAnsi="Arial" w:cs="Arial"/>
                <w:color w:val="000000"/>
                <w:sz w:val="16"/>
                <w:szCs w:val="16"/>
              </w:rPr>
              <w:t>491 </w:t>
            </w:r>
          </w:p>
        </w:tc>
        <w:tc>
          <w:tcPr>
            <w:tcW w:w="0" w:type="auto"/>
            <w:shd w:val="clear" w:color="auto" w:fill="E2E2E2"/>
            <w:tcMar>
              <w:top w:w="40" w:type="dxa"/>
              <w:bottom w:w="40" w:type="dxa"/>
              <w:right w:w="20" w:type="dxa"/>
            </w:tcMar>
            <w:vAlign w:val="bottom"/>
          </w:tcPr>
          <w:p w14:paraId="64A8951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16"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17" w14:textId="77777777" w:rsidR="008D6614" w:rsidRDefault="00866AF2">
            <w:pPr>
              <w:jc w:val="right"/>
              <w:textAlignment w:val="bottom"/>
            </w:pPr>
            <w:r>
              <w:rPr>
                <w:rFonts w:ascii="Arial" w:eastAsia="宋体" w:hAnsi="Arial" w:cs="Arial"/>
                <w:color w:val="000000"/>
                <w:sz w:val="16"/>
                <w:szCs w:val="16"/>
              </w:rPr>
              <w:t>(486)</w:t>
            </w:r>
          </w:p>
        </w:tc>
        <w:tc>
          <w:tcPr>
            <w:tcW w:w="0" w:type="auto"/>
            <w:shd w:val="clear" w:color="auto" w:fill="E2E2E2"/>
            <w:tcMar>
              <w:top w:w="40" w:type="dxa"/>
              <w:bottom w:w="40" w:type="dxa"/>
              <w:right w:w="20" w:type="dxa"/>
            </w:tcMar>
            <w:vAlign w:val="bottom"/>
          </w:tcPr>
          <w:p w14:paraId="64A8951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1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1A" w14:textId="77777777" w:rsidR="008D6614" w:rsidRDefault="00866AF2">
            <w:pPr>
              <w:jc w:val="right"/>
              <w:textAlignment w:val="bottom"/>
            </w:pPr>
            <w:r>
              <w:rPr>
                <w:rFonts w:ascii="Arial" w:eastAsia="宋体" w:hAnsi="Arial" w:cs="Arial"/>
                <w:color w:val="000000"/>
                <w:sz w:val="16"/>
                <w:szCs w:val="16"/>
              </w:rPr>
              <w:t>5 </w:t>
            </w:r>
          </w:p>
        </w:tc>
        <w:tc>
          <w:tcPr>
            <w:tcW w:w="0" w:type="auto"/>
            <w:shd w:val="clear" w:color="auto" w:fill="E2E2E2"/>
            <w:tcMar>
              <w:top w:w="40" w:type="dxa"/>
              <w:bottom w:w="40" w:type="dxa"/>
              <w:right w:w="20" w:type="dxa"/>
            </w:tcMar>
            <w:vAlign w:val="bottom"/>
          </w:tcPr>
          <w:p w14:paraId="64A8951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1C"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951D" w14:textId="77777777" w:rsidR="008D6614" w:rsidRDefault="00866AF2">
            <w:pPr>
              <w:jc w:val="center"/>
              <w:textAlignment w:val="bottom"/>
            </w:pPr>
            <w:r>
              <w:rPr>
                <w:rFonts w:ascii="Arial" w:eastAsia="宋体" w:hAnsi="Arial" w:cs="Arial"/>
                <w:color w:val="000000"/>
                <w:sz w:val="16"/>
                <w:szCs w:val="16"/>
              </w:rPr>
              <w:t>5</w:t>
            </w:r>
          </w:p>
        </w:tc>
        <w:tc>
          <w:tcPr>
            <w:tcW w:w="0" w:type="auto"/>
            <w:shd w:val="clear" w:color="auto" w:fill="auto"/>
            <w:vAlign w:val="center"/>
          </w:tcPr>
          <w:p w14:paraId="64A8951E" w14:textId="77777777" w:rsidR="008D6614" w:rsidRDefault="008D6614">
            <w:pPr>
              <w:rPr>
                <w:rFonts w:ascii="宋体"/>
              </w:rPr>
            </w:pPr>
          </w:p>
        </w:tc>
        <w:tc>
          <w:tcPr>
            <w:tcW w:w="0" w:type="auto"/>
            <w:shd w:val="clear" w:color="auto" w:fill="auto"/>
            <w:vAlign w:val="center"/>
          </w:tcPr>
          <w:p w14:paraId="64A8951F" w14:textId="77777777" w:rsidR="008D6614" w:rsidRDefault="008D6614">
            <w:pPr>
              <w:rPr>
                <w:rFonts w:ascii="宋体"/>
              </w:rPr>
            </w:pPr>
          </w:p>
        </w:tc>
        <w:tc>
          <w:tcPr>
            <w:tcW w:w="0" w:type="auto"/>
            <w:shd w:val="clear" w:color="auto" w:fill="auto"/>
            <w:vAlign w:val="center"/>
          </w:tcPr>
          <w:p w14:paraId="64A89520" w14:textId="77777777" w:rsidR="008D6614" w:rsidRDefault="008D6614">
            <w:pPr>
              <w:rPr>
                <w:rFonts w:ascii="宋体"/>
              </w:rPr>
            </w:pPr>
          </w:p>
        </w:tc>
        <w:tc>
          <w:tcPr>
            <w:tcW w:w="0" w:type="auto"/>
            <w:shd w:val="clear" w:color="auto" w:fill="auto"/>
            <w:vAlign w:val="center"/>
          </w:tcPr>
          <w:p w14:paraId="64A89521" w14:textId="77777777" w:rsidR="008D6614" w:rsidRDefault="008D6614">
            <w:pPr>
              <w:rPr>
                <w:rFonts w:ascii="宋体"/>
              </w:rPr>
            </w:pPr>
          </w:p>
        </w:tc>
        <w:tc>
          <w:tcPr>
            <w:tcW w:w="0" w:type="auto"/>
            <w:shd w:val="clear" w:color="auto" w:fill="auto"/>
            <w:vAlign w:val="center"/>
          </w:tcPr>
          <w:p w14:paraId="64A89522" w14:textId="77777777" w:rsidR="008D6614" w:rsidRDefault="008D6614">
            <w:pPr>
              <w:rPr>
                <w:rFonts w:ascii="宋体"/>
              </w:rPr>
            </w:pPr>
          </w:p>
        </w:tc>
        <w:tc>
          <w:tcPr>
            <w:tcW w:w="0" w:type="auto"/>
            <w:shd w:val="clear" w:color="auto" w:fill="auto"/>
            <w:vAlign w:val="center"/>
          </w:tcPr>
          <w:p w14:paraId="64A89523" w14:textId="77777777" w:rsidR="008D6614" w:rsidRDefault="008D6614">
            <w:pPr>
              <w:rPr>
                <w:rFonts w:ascii="宋体"/>
              </w:rPr>
            </w:pPr>
          </w:p>
        </w:tc>
        <w:tc>
          <w:tcPr>
            <w:tcW w:w="0" w:type="auto"/>
            <w:shd w:val="clear" w:color="auto" w:fill="auto"/>
            <w:vAlign w:val="center"/>
          </w:tcPr>
          <w:p w14:paraId="64A89524" w14:textId="77777777" w:rsidR="008D6614" w:rsidRDefault="008D6614">
            <w:pPr>
              <w:rPr>
                <w:rFonts w:ascii="宋体"/>
              </w:rPr>
            </w:pPr>
          </w:p>
        </w:tc>
        <w:tc>
          <w:tcPr>
            <w:tcW w:w="0" w:type="auto"/>
            <w:shd w:val="clear" w:color="auto" w:fill="auto"/>
            <w:vAlign w:val="center"/>
          </w:tcPr>
          <w:p w14:paraId="64A89525" w14:textId="77777777" w:rsidR="008D6614" w:rsidRDefault="008D6614">
            <w:pPr>
              <w:rPr>
                <w:rFonts w:ascii="宋体"/>
              </w:rPr>
            </w:pPr>
          </w:p>
        </w:tc>
        <w:tc>
          <w:tcPr>
            <w:tcW w:w="0" w:type="auto"/>
            <w:shd w:val="clear" w:color="auto" w:fill="auto"/>
            <w:vAlign w:val="center"/>
          </w:tcPr>
          <w:p w14:paraId="64A89526" w14:textId="77777777" w:rsidR="008D6614" w:rsidRDefault="008D6614">
            <w:pPr>
              <w:rPr>
                <w:rFonts w:ascii="宋体"/>
              </w:rPr>
            </w:pPr>
          </w:p>
        </w:tc>
        <w:tc>
          <w:tcPr>
            <w:tcW w:w="0" w:type="auto"/>
            <w:shd w:val="clear" w:color="auto" w:fill="auto"/>
            <w:vAlign w:val="center"/>
          </w:tcPr>
          <w:p w14:paraId="64A89527" w14:textId="77777777" w:rsidR="008D6614" w:rsidRDefault="008D6614">
            <w:pPr>
              <w:rPr>
                <w:rFonts w:ascii="宋体"/>
              </w:rPr>
            </w:pPr>
          </w:p>
        </w:tc>
        <w:tc>
          <w:tcPr>
            <w:tcW w:w="0" w:type="auto"/>
            <w:shd w:val="clear" w:color="auto" w:fill="auto"/>
            <w:vAlign w:val="center"/>
          </w:tcPr>
          <w:p w14:paraId="64A89528" w14:textId="77777777" w:rsidR="008D6614" w:rsidRDefault="008D6614">
            <w:pPr>
              <w:rPr>
                <w:rFonts w:ascii="宋体"/>
              </w:rPr>
            </w:pPr>
          </w:p>
        </w:tc>
        <w:tc>
          <w:tcPr>
            <w:tcW w:w="0" w:type="auto"/>
            <w:shd w:val="clear" w:color="auto" w:fill="auto"/>
            <w:vAlign w:val="center"/>
          </w:tcPr>
          <w:p w14:paraId="64A89529" w14:textId="77777777" w:rsidR="008D6614" w:rsidRDefault="008D6614">
            <w:pPr>
              <w:rPr>
                <w:rFonts w:ascii="宋体"/>
              </w:rPr>
            </w:pPr>
          </w:p>
        </w:tc>
        <w:tc>
          <w:tcPr>
            <w:tcW w:w="0" w:type="auto"/>
            <w:shd w:val="clear" w:color="auto" w:fill="auto"/>
            <w:vAlign w:val="center"/>
          </w:tcPr>
          <w:p w14:paraId="64A8952A" w14:textId="77777777" w:rsidR="008D6614" w:rsidRDefault="008D6614">
            <w:pPr>
              <w:rPr>
                <w:rFonts w:ascii="宋体"/>
              </w:rPr>
            </w:pPr>
          </w:p>
        </w:tc>
        <w:tc>
          <w:tcPr>
            <w:tcW w:w="0" w:type="auto"/>
            <w:shd w:val="clear" w:color="auto" w:fill="auto"/>
            <w:vAlign w:val="center"/>
          </w:tcPr>
          <w:p w14:paraId="64A8952B" w14:textId="77777777" w:rsidR="008D6614" w:rsidRDefault="008D6614">
            <w:pPr>
              <w:rPr>
                <w:rFonts w:ascii="宋体"/>
              </w:rPr>
            </w:pPr>
          </w:p>
        </w:tc>
        <w:tc>
          <w:tcPr>
            <w:tcW w:w="0" w:type="auto"/>
            <w:shd w:val="clear" w:color="auto" w:fill="auto"/>
            <w:vAlign w:val="center"/>
          </w:tcPr>
          <w:p w14:paraId="64A8952C" w14:textId="77777777" w:rsidR="008D6614" w:rsidRDefault="008D6614">
            <w:pPr>
              <w:rPr>
                <w:rFonts w:ascii="宋体"/>
              </w:rPr>
            </w:pPr>
          </w:p>
        </w:tc>
      </w:tr>
      <w:tr w:rsidR="008D6614" w14:paraId="64A89553" w14:textId="77777777">
        <w:trPr>
          <w:jc w:val="center"/>
        </w:trPr>
        <w:tc>
          <w:tcPr>
            <w:tcW w:w="0" w:type="auto"/>
            <w:gridSpan w:val="3"/>
            <w:shd w:val="clear" w:color="auto" w:fill="FFFFFF"/>
            <w:tcMar>
              <w:top w:w="40" w:type="dxa"/>
              <w:left w:w="225" w:type="dxa"/>
              <w:bottom w:w="40" w:type="dxa"/>
              <w:right w:w="20" w:type="dxa"/>
            </w:tcMar>
            <w:vAlign w:val="bottom"/>
          </w:tcPr>
          <w:p w14:paraId="64A8952E" w14:textId="77777777" w:rsidR="008D6614" w:rsidRDefault="00866AF2">
            <w:pPr>
              <w:textAlignment w:val="bottom"/>
            </w:pPr>
            <w:r>
              <w:rPr>
                <w:rFonts w:ascii="Arial" w:eastAsia="宋体" w:hAnsi="Arial" w:cs="Arial"/>
                <w:color w:val="000000"/>
                <w:sz w:val="16"/>
                <w:szCs w:val="16"/>
              </w:rPr>
              <w:t>Developed technologies</w:t>
            </w:r>
          </w:p>
        </w:tc>
        <w:tc>
          <w:tcPr>
            <w:tcW w:w="0" w:type="auto"/>
            <w:gridSpan w:val="2"/>
            <w:shd w:val="clear" w:color="auto" w:fill="FFFFFF"/>
            <w:tcMar>
              <w:top w:w="40" w:type="dxa"/>
              <w:left w:w="20" w:type="dxa"/>
              <w:bottom w:w="40" w:type="dxa"/>
              <w:right w:w="0" w:type="dxa"/>
            </w:tcMar>
            <w:vAlign w:val="bottom"/>
          </w:tcPr>
          <w:p w14:paraId="64A8952F" w14:textId="77777777" w:rsidR="008D6614" w:rsidRDefault="00866AF2">
            <w:pPr>
              <w:jc w:val="right"/>
              <w:textAlignment w:val="bottom"/>
            </w:pPr>
            <w:r>
              <w:rPr>
                <w:rFonts w:ascii="Arial" w:eastAsia="宋体" w:hAnsi="Arial" w:cs="Arial"/>
                <w:color w:val="000000"/>
                <w:sz w:val="16"/>
                <w:szCs w:val="16"/>
              </w:rPr>
              <w:t>232 </w:t>
            </w:r>
          </w:p>
        </w:tc>
        <w:tc>
          <w:tcPr>
            <w:tcW w:w="0" w:type="auto"/>
            <w:shd w:val="clear" w:color="auto" w:fill="FFFFFF"/>
            <w:tcMar>
              <w:top w:w="40" w:type="dxa"/>
              <w:bottom w:w="40" w:type="dxa"/>
              <w:right w:w="20" w:type="dxa"/>
            </w:tcMar>
            <w:vAlign w:val="bottom"/>
          </w:tcPr>
          <w:p w14:paraId="64A8953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3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532" w14:textId="77777777" w:rsidR="008D6614" w:rsidRDefault="00866AF2">
            <w:pPr>
              <w:jc w:val="right"/>
              <w:textAlignment w:val="bottom"/>
            </w:pPr>
            <w:r>
              <w:rPr>
                <w:rFonts w:ascii="Arial" w:eastAsia="宋体" w:hAnsi="Arial" w:cs="Arial"/>
                <w:color w:val="000000"/>
                <w:sz w:val="16"/>
                <w:szCs w:val="16"/>
              </w:rPr>
              <w:t>(229)</w:t>
            </w:r>
          </w:p>
        </w:tc>
        <w:tc>
          <w:tcPr>
            <w:tcW w:w="0" w:type="auto"/>
            <w:shd w:val="clear" w:color="auto" w:fill="FFFFFF"/>
            <w:tcMar>
              <w:top w:w="40" w:type="dxa"/>
              <w:bottom w:w="40" w:type="dxa"/>
              <w:right w:w="20" w:type="dxa"/>
            </w:tcMar>
            <w:vAlign w:val="bottom"/>
          </w:tcPr>
          <w:p w14:paraId="64A8953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3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535" w14:textId="77777777" w:rsidR="008D6614" w:rsidRDefault="00866AF2">
            <w:pPr>
              <w:jc w:val="right"/>
              <w:textAlignment w:val="bottom"/>
            </w:pPr>
            <w:r>
              <w:rPr>
                <w:rFonts w:ascii="Arial" w:eastAsia="宋体" w:hAnsi="Arial" w:cs="Arial"/>
                <w:color w:val="000000"/>
                <w:sz w:val="16"/>
                <w:szCs w:val="16"/>
              </w:rPr>
              <w:t>3 </w:t>
            </w:r>
          </w:p>
        </w:tc>
        <w:tc>
          <w:tcPr>
            <w:tcW w:w="0" w:type="auto"/>
            <w:shd w:val="clear" w:color="auto" w:fill="FFFFFF"/>
            <w:tcMar>
              <w:top w:w="40" w:type="dxa"/>
              <w:bottom w:w="40" w:type="dxa"/>
              <w:right w:w="20" w:type="dxa"/>
            </w:tcMar>
            <w:vAlign w:val="bottom"/>
          </w:tcPr>
          <w:p w14:paraId="64A8953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37"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9538" w14:textId="77777777" w:rsidR="008D6614" w:rsidRDefault="00866AF2">
            <w:pPr>
              <w:jc w:val="center"/>
              <w:textAlignment w:val="bottom"/>
            </w:pPr>
            <w:r>
              <w:rPr>
                <w:rFonts w:ascii="Arial" w:eastAsia="宋体" w:hAnsi="Arial" w:cs="Arial"/>
                <w:color w:val="000000"/>
                <w:sz w:val="16"/>
                <w:szCs w:val="16"/>
              </w:rPr>
              <w:t>3</w:t>
            </w:r>
          </w:p>
        </w:tc>
        <w:tc>
          <w:tcPr>
            <w:tcW w:w="0" w:type="auto"/>
            <w:gridSpan w:val="3"/>
            <w:shd w:val="clear" w:color="auto" w:fill="FFFFFF"/>
            <w:tcMar>
              <w:left w:w="20" w:type="dxa"/>
              <w:right w:w="20" w:type="dxa"/>
            </w:tcMar>
            <w:vAlign w:val="bottom"/>
          </w:tcPr>
          <w:p w14:paraId="64A8953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53A" w14:textId="77777777" w:rsidR="008D6614" w:rsidRDefault="00866AF2">
            <w:pPr>
              <w:jc w:val="right"/>
              <w:textAlignment w:val="bottom"/>
            </w:pPr>
            <w:r>
              <w:rPr>
                <w:rFonts w:ascii="Arial" w:eastAsia="宋体" w:hAnsi="Arial" w:cs="Arial"/>
                <w:color w:val="000000"/>
                <w:sz w:val="16"/>
                <w:szCs w:val="16"/>
              </w:rPr>
              <w:t>235 </w:t>
            </w:r>
          </w:p>
        </w:tc>
        <w:tc>
          <w:tcPr>
            <w:tcW w:w="0" w:type="auto"/>
            <w:shd w:val="clear" w:color="auto" w:fill="FFFFFF"/>
            <w:tcMar>
              <w:top w:w="40" w:type="dxa"/>
              <w:bottom w:w="40" w:type="dxa"/>
              <w:right w:w="20" w:type="dxa"/>
            </w:tcMar>
            <w:vAlign w:val="bottom"/>
          </w:tcPr>
          <w:p w14:paraId="64A8953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3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53D" w14:textId="77777777" w:rsidR="008D6614" w:rsidRDefault="00866AF2">
            <w:pPr>
              <w:jc w:val="right"/>
              <w:textAlignment w:val="bottom"/>
            </w:pPr>
            <w:r>
              <w:rPr>
                <w:rFonts w:ascii="Arial" w:eastAsia="宋体" w:hAnsi="Arial" w:cs="Arial"/>
                <w:color w:val="000000"/>
                <w:sz w:val="16"/>
                <w:szCs w:val="16"/>
              </w:rPr>
              <w:t>(230)</w:t>
            </w:r>
          </w:p>
        </w:tc>
        <w:tc>
          <w:tcPr>
            <w:tcW w:w="0" w:type="auto"/>
            <w:shd w:val="clear" w:color="auto" w:fill="FFFFFF"/>
            <w:tcMar>
              <w:top w:w="40" w:type="dxa"/>
              <w:bottom w:w="40" w:type="dxa"/>
              <w:right w:w="20" w:type="dxa"/>
            </w:tcMar>
            <w:vAlign w:val="bottom"/>
          </w:tcPr>
          <w:p w14:paraId="64A8953E"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3F"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540" w14:textId="77777777" w:rsidR="008D6614" w:rsidRDefault="00866AF2">
            <w:pPr>
              <w:jc w:val="right"/>
              <w:textAlignment w:val="bottom"/>
            </w:pPr>
            <w:r>
              <w:rPr>
                <w:rFonts w:ascii="Arial" w:eastAsia="宋体" w:hAnsi="Arial" w:cs="Arial"/>
                <w:color w:val="000000"/>
                <w:sz w:val="16"/>
                <w:szCs w:val="16"/>
              </w:rPr>
              <w:t>5 </w:t>
            </w:r>
          </w:p>
        </w:tc>
        <w:tc>
          <w:tcPr>
            <w:tcW w:w="0" w:type="auto"/>
            <w:shd w:val="clear" w:color="auto" w:fill="FFFFFF"/>
            <w:tcMar>
              <w:top w:w="40" w:type="dxa"/>
              <w:bottom w:w="40" w:type="dxa"/>
              <w:right w:w="20" w:type="dxa"/>
            </w:tcMar>
            <w:vAlign w:val="bottom"/>
          </w:tcPr>
          <w:p w14:paraId="64A8954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42"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9543" w14:textId="77777777" w:rsidR="008D6614" w:rsidRDefault="00866AF2">
            <w:pPr>
              <w:jc w:val="center"/>
              <w:textAlignment w:val="bottom"/>
            </w:pPr>
            <w:r>
              <w:rPr>
                <w:rFonts w:ascii="Arial" w:eastAsia="宋体" w:hAnsi="Arial" w:cs="Arial"/>
                <w:color w:val="000000"/>
                <w:sz w:val="16"/>
                <w:szCs w:val="16"/>
              </w:rPr>
              <w:t>3</w:t>
            </w:r>
          </w:p>
        </w:tc>
        <w:tc>
          <w:tcPr>
            <w:tcW w:w="0" w:type="auto"/>
            <w:shd w:val="clear" w:color="auto" w:fill="auto"/>
            <w:vAlign w:val="center"/>
          </w:tcPr>
          <w:p w14:paraId="64A89544" w14:textId="77777777" w:rsidR="008D6614" w:rsidRDefault="008D6614">
            <w:pPr>
              <w:rPr>
                <w:rFonts w:ascii="宋体"/>
              </w:rPr>
            </w:pPr>
          </w:p>
        </w:tc>
        <w:tc>
          <w:tcPr>
            <w:tcW w:w="0" w:type="auto"/>
            <w:shd w:val="clear" w:color="auto" w:fill="auto"/>
            <w:vAlign w:val="center"/>
          </w:tcPr>
          <w:p w14:paraId="64A89545" w14:textId="77777777" w:rsidR="008D6614" w:rsidRDefault="008D6614">
            <w:pPr>
              <w:rPr>
                <w:rFonts w:ascii="宋体"/>
              </w:rPr>
            </w:pPr>
          </w:p>
        </w:tc>
        <w:tc>
          <w:tcPr>
            <w:tcW w:w="0" w:type="auto"/>
            <w:shd w:val="clear" w:color="auto" w:fill="auto"/>
            <w:vAlign w:val="center"/>
          </w:tcPr>
          <w:p w14:paraId="64A89546" w14:textId="77777777" w:rsidR="008D6614" w:rsidRDefault="008D6614">
            <w:pPr>
              <w:rPr>
                <w:rFonts w:ascii="宋体"/>
              </w:rPr>
            </w:pPr>
          </w:p>
        </w:tc>
        <w:tc>
          <w:tcPr>
            <w:tcW w:w="0" w:type="auto"/>
            <w:shd w:val="clear" w:color="auto" w:fill="auto"/>
            <w:vAlign w:val="center"/>
          </w:tcPr>
          <w:p w14:paraId="64A89547" w14:textId="77777777" w:rsidR="008D6614" w:rsidRDefault="008D6614">
            <w:pPr>
              <w:rPr>
                <w:rFonts w:ascii="宋体"/>
              </w:rPr>
            </w:pPr>
          </w:p>
        </w:tc>
        <w:tc>
          <w:tcPr>
            <w:tcW w:w="0" w:type="auto"/>
            <w:shd w:val="clear" w:color="auto" w:fill="auto"/>
            <w:vAlign w:val="center"/>
          </w:tcPr>
          <w:p w14:paraId="64A89548" w14:textId="77777777" w:rsidR="008D6614" w:rsidRDefault="008D6614">
            <w:pPr>
              <w:rPr>
                <w:rFonts w:ascii="宋体"/>
              </w:rPr>
            </w:pPr>
          </w:p>
        </w:tc>
        <w:tc>
          <w:tcPr>
            <w:tcW w:w="0" w:type="auto"/>
            <w:shd w:val="clear" w:color="auto" w:fill="auto"/>
            <w:vAlign w:val="center"/>
          </w:tcPr>
          <w:p w14:paraId="64A89549" w14:textId="77777777" w:rsidR="008D6614" w:rsidRDefault="008D6614">
            <w:pPr>
              <w:rPr>
                <w:rFonts w:ascii="宋体"/>
              </w:rPr>
            </w:pPr>
          </w:p>
        </w:tc>
        <w:tc>
          <w:tcPr>
            <w:tcW w:w="0" w:type="auto"/>
            <w:shd w:val="clear" w:color="auto" w:fill="auto"/>
            <w:vAlign w:val="center"/>
          </w:tcPr>
          <w:p w14:paraId="64A8954A" w14:textId="77777777" w:rsidR="008D6614" w:rsidRDefault="008D6614">
            <w:pPr>
              <w:rPr>
                <w:rFonts w:ascii="宋体"/>
              </w:rPr>
            </w:pPr>
          </w:p>
        </w:tc>
        <w:tc>
          <w:tcPr>
            <w:tcW w:w="0" w:type="auto"/>
            <w:shd w:val="clear" w:color="auto" w:fill="auto"/>
            <w:vAlign w:val="center"/>
          </w:tcPr>
          <w:p w14:paraId="64A8954B" w14:textId="77777777" w:rsidR="008D6614" w:rsidRDefault="008D6614">
            <w:pPr>
              <w:rPr>
                <w:rFonts w:ascii="宋体"/>
              </w:rPr>
            </w:pPr>
          </w:p>
        </w:tc>
        <w:tc>
          <w:tcPr>
            <w:tcW w:w="0" w:type="auto"/>
            <w:shd w:val="clear" w:color="auto" w:fill="auto"/>
            <w:vAlign w:val="center"/>
          </w:tcPr>
          <w:p w14:paraId="64A8954C" w14:textId="77777777" w:rsidR="008D6614" w:rsidRDefault="008D6614">
            <w:pPr>
              <w:rPr>
                <w:rFonts w:ascii="宋体"/>
              </w:rPr>
            </w:pPr>
          </w:p>
        </w:tc>
        <w:tc>
          <w:tcPr>
            <w:tcW w:w="0" w:type="auto"/>
            <w:shd w:val="clear" w:color="auto" w:fill="auto"/>
            <w:vAlign w:val="center"/>
          </w:tcPr>
          <w:p w14:paraId="64A8954D" w14:textId="77777777" w:rsidR="008D6614" w:rsidRDefault="008D6614">
            <w:pPr>
              <w:rPr>
                <w:rFonts w:ascii="宋体"/>
              </w:rPr>
            </w:pPr>
          </w:p>
        </w:tc>
        <w:tc>
          <w:tcPr>
            <w:tcW w:w="0" w:type="auto"/>
            <w:shd w:val="clear" w:color="auto" w:fill="auto"/>
            <w:vAlign w:val="center"/>
          </w:tcPr>
          <w:p w14:paraId="64A8954E" w14:textId="77777777" w:rsidR="008D6614" w:rsidRDefault="008D6614">
            <w:pPr>
              <w:rPr>
                <w:rFonts w:ascii="宋体"/>
              </w:rPr>
            </w:pPr>
          </w:p>
        </w:tc>
        <w:tc>
          <w:tcPr>
            <w:tcW w:w="0" w:type="auto"/>
            <w:shd w:val="clear" w:color="auto" w:fill="auto"/>
            <w:vAlign w:val="center"/>
          </w:tcPr>
          <w:p w14:paraId="64A8954F" w14:textId="77777777" w:rsidR="008D6614" w:rsidRDefault="008D6614">
            <w:pPr>
              <w:rPr>
                <w:rFonts w:ascii="宋体"/>
              </w:rPr>
            </w:pPr>
          </w:p>
        </w:tc>
        <w:tc>
          <w:tcPr>
            <w:tcW w:w="0" w:type="auto"/>
            <w:shd w:val="clear" w:color="auto" w:fill="auto"/>
            <w:vAlign w:val="center"/>
          </w:tcPr>
          <w:p w14:paraId="64A89550" w14:textId="77777777" w:rsidR="008D6614" w:rsidRDefault="008D6614">
            <w:pPr>
              <w:rPr>
                <w:rFonts w:ascii="宋体"/>
              </w:rPr>
            </w:pPr>
          </w:p>
        </w:tc>
        <w:tc>
          <w:tcPr>
            <w:tcW w:w="0" w:type="auto"/>
            <w:shd w:val="clear" w:color="auto" w:fill="auto"/>
            <w:vAlign w:val="center"/>
          </w:tcPr>
          <w:p w14:paraId="64A89551" w14:textId="77777777" w:rsidR="008D6614" w:rsidRDefault="008D6614">
            <w:pPr>
              <w:rPr>
                <w:rFonts w:ascii="宋体"/>
              </w:rPr>
            </w:pPr>
          </w:p>
        </w:tc>
        <w:tc>
          <w:tcPr>
            <w:tcW w:w="0" w:type="auto"/>
            <w:shd w:val="clear" w:color="auto" w:fill="auto"/>
            <w:vAlign w:val="center"/>
          </w:tcPr>
          <w:p w14:paraId="64A89552" w14:textId="77777777" w:rsidR="008D6614" w:rsidRDefault="008D6614">
            <w:pPr>
              <w:rPr>
                <w:rFonts w:ascii="宋体"/>
              </w:rPr>
            </w:pPr>
          </w:p>
        </w:tc>
      </w:tr>
      <w:tr w:rsidR="008D6614" w14:paraId="64A89579" w14:textId="77777777">
        <w:trPr>
          <w:jc w:val="center"/>
        </w:trPr>
        <w:tc>
          <w:tcPr>
            <w:tcW w:w="0" w:type="auto"/>
            <w:gridSpan w:val="3"/>
            <w:shd w:val="clear" w:color="auto" w:fill="E2E2E2"/>
            <w:tcMar>
              <w:top w:w="40" w:type="dxa"/>
              <w:left w:w="225" w:type="dxa"/>
              <w:bottom w:w="40" w:type="dxa"/>
              <w:right w:w="20" w:type="dxa"/>
            </w:tcMar>
            <w:vAlign w:val="bottom"/>
          </w:tcPr>
          <w:p w14:paraId="64A89554" w14:textId="77777777" w:rsidR="008D6614" w:rsidRDefault="00866AF2">
            <w:pPr>
              <w:textAlignment w:val="bottom"/>
            </w:pPr>
            <w:r>
              <w:rPr>
                <w:rFonts w:ascii="Arial" w:eastAsia="宋体" w:hAnsi="Arial" w:cs="Arial"/>
                <w:color w:val="000000"/>
                <w:sz w:val="16"/>
                <w:szCs w:val="16"/>
              </w:rPr>
              <w:t>All other</w:t>
            </w:r>
          </w:p>
        </w:tc>
        <w:tc>
          <w:tcPr>
            <w:tcW w:w="0" w:type="auto"/>
            <w:gridSpan w:val="2"/>
            <w:shd w:val="clear" w:color="auto" w:fill="E2E2E2"/>
            <w:tcMar>
              <w:top w:w="40" w:type="dxa"/>
              <w:left w:w="20" w:type="dxa"/>
              <w:bottom w:w="40" w:type="dxa"/>
              <w:right w:w="0" w:type="dxa"/>
            </w:tcMar>
            <w:vAlign w:val="bottom"/>
          </w:tcPr>
          <w:p w14:paraId="64A89555" w14:textId="77777777" w:rsidR="008D6614" w:rsidRDefault="00866AF2">
            <w:pPr>
              <w:jc w:val="right"/>
              <w:textAlignment w:val="bottom"/>
            </w:pPr>
            <w:r>
              <w:rPr>
                <w:rFonts w:ascii="Arial" w:eastAsia="宋体" w:hAnsi="Arial" w:cs="Arial"/>
                <w:color w:val="000000"/>
                <w:sz w:val="16"/>
                <w:szCs w:val="16"/>
              </w:rPr>
              <w:t>161 </w:t>
            </w:r>
          </w:p>
        </w:tc>
        <w:tc>
          <w:tcPr>
            <w:tcW w:w="0" w:type="auto"/>
            <w:shd w:val="clear" w:color="auto" w:fill="E2E2E2"/>
            <w:tcMar>
              <w:top w:w="40" w:type="dxa"/>
              <w:bottom w:w="40" w:type="dxa"/>
              <w:right w:w="20" w:type="dxa"/>
            </w:tcMar>
            <w:vAlign w:val="bottom"/>
          </w:tcPr>
          <w:p w14:paraId="64A8955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5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58" w14:textId="77777777" w:rsidR="008D6614" w:rsidRDefault="00866AF2">
            <w:pPr>
              <w:jc w:val="right"/>
              <w:textAlignment w:val="bottom"/>
            </w:pPr>
            <w:r>
              <w:rPr>
                <w:rFonts w:ascii="Arial" w:eastAsia="宋体" w:hAnsi="Arial" w:cs="Arial"/>
                <w:color w:val="000000"/>
                <w:sz w:val="16"/>
                <w:szCs w:val="16"/>
              </w:rPr>
              <w:t>(160)</w:t>
            </w:r>
          </w:p>
        </w:tc>
        <w:tc>
          <w:tcPr>
            <w:tcW w:w="0" w:type="auto"/>
            <w:shd w:val="clear" w:color="auto" w:fill="E2E2E2"/>
            <w:tcMar>
              <w:top w:w="40" w:type="dxa"/>
              <w:bottom w:w="40" w:type="dxa"/>
              <w:right w:w="20" w:type="dxa"/>
            </w:tcMar>
            <w:vAlign w:val="bottom"/>
          </w:tcPr>
          <w:p w14:paraId="64A8955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5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5B" w14:textId="77777777" w:rsidR="008D6614" w:rsidRDefault="00866AF2">
            <w:pPr>
              <w:jc w:val="right"/>
              <w:textAlignment w:val="bottom"/>
            </w:pPr>
            <w:r>
              <w:rPr>
                <w:rFonts w:ascii="Arial" w:eastAsia="宋体" w:hAnsi="Arial" w:cs="Arial"/>
                <w:color w:val="000000"/>
                <w:sz w:val="16"/>
                <w:szCs w:val="16"/>
              </w:rPr>
              <w:t>1 </w:t>
            </w:r>
          </w:p>
        </w:tc>
        <w:tc>
          <w:tcPr>
            <w:tcW w:w="0" w:type="auto"/>
            <w:shd w:val="clear" w:color="auto" w:fill="E2E2E2"/>
            <w:tcMar>
              <w:top w:w="40" w:type="dxa"/>
              <w:bottom w:w="40" w:type="dxa"/>
              <w:right w:w="20" w:type="dxa"/>
            </w:tcMar>
            <w:vAlign w:val="bottom"/>
          </w:tcPr>
          <w:p w14:paraId="64A8955C"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5D"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955E" w14:textId="77777777" w:rsidR="008D6614" w:rsidRDefault="00866AF2">
            <w:pPr>
              <w:jc w:val="center"/>
              <w:textAlignment w:val="bottom"/>
            </w:pPr>
            <w:r>
              <w:rPr>
                <w:rFonts w:ascii="Arial" w:eastAsia="宋体" w:hAnsi="Arial" w:cs="Arial"/>
                <w:color w:val="000000"/>
                <w:sz w:val="16"/>
                <w:szCs w:val="16"/>
              </w:rPr>
              <w:t>4</w:t>
            </w:r>
          </w:p>
        </w:tc>
        <w:tc>
          <w:tcPr>
            <w:tcW w:w="0" w:type="auto"/>
            <w:gridSpan w:val="3"/>
            <w:shd w:val="clear" w:color="auto" w:fill="E2E2E2"/>
            <w:tcMar>
              <w:left w:w="20" w:type="dxa"/>
              <w:right w:w="20" w:type="dxa"/>
            </w:tcMar>
            <w:vAlign w:val="bottom"/>
          </w:tcPr>
          <w:p w14:paraId="64A8955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60" w14:textId="77777777" w:rsidR="008D6614" w:rsidRDefault="00866AF2">
            <w:pPr>
              <w:jc w:val="right"/>
              <w:textAlignment w:val="bottom"/>
            </w:pPr>
            <w:r>
              <w:rPr>
                <w:rFonts w:ascii="Arial" w:eastAsia="宋体" w:hAnsi="Arial" w:cs="Arial"/>
                <w:color w:val="000000"/>
                <w:sz w:val="16"/>
                <w:szCs w:val="16"/>
              </w:rPr>
              <w:t>161 </w:t>
            </w:r>
          </w:p>
        </w:tc>
        <w:tc>
          <w:tcPr>
            <w:tcW w:w="0" w:type="auto"/>
            <w:shd w:val="clear" w:color="auto" w:fill="E2E2E2"/>
            <w:tcMar>
              <w:top w:w="40" w:type="dxa"/>
              <w:bottom w:w="40" w:type="dxa"/>
              <w:right w:w="20" w:type="dxa"/>
            </w:tcMar>
            <w:vAlign w:val="bottom"/>
          </w:tcPr>
          <w:p w14:paraId="64A8956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6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63" w14:textId="77777777" w:rsidR="008D6614" w:rsidRDefault="00866AF2">
            <w:pPr>
              <w:jc w:val="right"/>
              <w:textAlignment w:val="bottom"/>
            </w:pPr>
            <w:r>
              <w:rPr>
                <w:rFonts w:ascii="Arial" w:eastAsia="宋体" w:hAnsi="Arial" w:cs="Arial"/>
                <w:color w:val="000000"/>
                <w:sz w:val="16"/>
                <w:szCs w:val="16"/>
              </w:rPr>
              <w:t>(158)</w:t>
            </w:r>
          </w:p>
        </w:tc>
        <w:tc>
          <w:tcPr>
            <w:tcW w:w="0" w:type="auto"/>
            <w:shd w:val="clear" w:color="auto" w:fill="E2E2E2"/>
            <w:tcMar>
              <w:top w:w="40" w:type="dxa"/>
              <w:bottom w:w="40" w:type="dxa"/>
              <w:right w:w="20" w:type="dxa"/>
            </w:tcMar>
            <w:vAlign w:val="bottom"/>
          </w:tcPr>
          <w:p w14:paraId="64A8956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6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66" w14:textId="77777777" w:rsidR="008D6614" w:rsidRDefault="00866AF2">
            <w:pPr>
              <w:jc w:val="right"/>
              <w:textAlignment w:val="bottom"/>
            </w:pPr>
            <w:r>
              <w:rPr>
                <w:rFonts w:ascii="Arial" w:eastAsia="宋体" w:hAnsi="Arial" w:cs="Arial"/>
                <w:color w:val="000000"/>
                <w:sz w:val="16"/>
                <w:szCs w:val="16"/>
              </w:rPr>
              <w:t>3 </w:t>
            </w:r>
          </w:p>
        </w:tc>
        <w:tc>
          <w:tcPr>
            <w:tcW w:w="0" w:type="auto"/>
            <w:shd w:val="clear" w:color="auto" w:fill="E2E2E2"/>
            <w:tcMar>
              <w:top w:w="40" w:type="dxa"/>
              <w:bottom w:w="40" w:type="dxa"/>
              <w:right w:w="20" w:type="dxa"/>
            </w:tcMar>
            <w:vAlign w:val="bottom"/>
          </w:tcPr>
          <w:p w14:paraId="64A89567"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9568"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9569" w14:textId="77777777" w:rsidR="008D6614" w:rsidRDefault="00866AF2">
            <w:pPr>
              <w:jc w:val="center"/>
              <w:textAlignment w:val="bottom"/>
            </w:pPr>
            <w:r>
              <w:rPr>
                <w:rFonts w:ascii="Arial" w:eastAsia="宋体" w:hAnsi="Arial" w:cs="Arial"/>
                <w:color w:val="000000"/>
                <w:sz w:val="16"/>
                <w:szCs w:val="16"/>
              </w:rPr>
              <w:t>4</w:t>
            </w:r>
          </w:p>
        </w:tc>
        <w:tc>
          <w:tcPr>
            <w:tcW w:w="0" w:type="auto"/>
            <w:shd w:val="clear" w:color="auto" w:fill="auto"/>
            <w:vAlign w:val="center"/>
          </w:tcPr>
          <w:p w14:paraId="64A8956A" w14:textId="77777777" w:rsidR="008D6614" w:rsidRDefault="008D6614">
            <w:pPr>
              <w:rPr>
                <w:rFonts w:ascii="宋体"/>
              </w:rPr>
            </w:pPr>
          </w:p>
        </w:tc>
        <w:tc>
          <w:tcPr>
            <w:tcW w:w="0" w:type="auto"/>
            <w:shd w:val="clear" w:color="auto" w:fill="auto"/>
            <w:vAlign w:val="center"/>
          </w:tcPr>
          <w:p w14:paraId="64A8956B" w14:textId="77777777" w:rsidR="008D6614" w:rsidRDefault="008D6614">
            <w:pPr>
              <w:rPr>
                <w:rFonts w:ascii="宋体"/>
              </w:rPr>
            </w:pPr>
          </w:p>
        </w:tc>
        <w:tc>
          <w:tcPr>
            <w:tcW w:w="0" w:type="auto"/>
            <w:shd w:val="clear" w:color="auto" w:fill="auto"/>
            <w:vAlign w:val="center"/>
          </w:tcPr>
          <w:p w14:paraId="64A8956C" w14:textId="77777777" w:rsidR="008D6614" w:rsidRDefault="008D6614">
            <w:pPr>
              <w:rPr>
                <w:rFonts w:ascii="宋体"/>
              </w:rPr>
            </w:pPr>
          </w:p>
        </w:tc>
        <w:tc>
          <w:tcPr>
            <w:tcW w:w="0" w:type="auto"/>
            <w:shd w:val="clear" w:color="auto" w:fill="auto"/>
            <w:vAlign w:val="center"/>
          </w:tcPr>
          <w:p w14:paraId="64A8956D" w14:textId="77777777" w:rsidR="008D6614" w:rsidRDefault="008D6614">
            <w:pPr>
              <w:rPr>
                <w:rFonts w:ascii="宋体"/>
              </w:rPr>
            </w:pPr>
          </w:p>
        </w:tc>
        <w:tc>
          <w:tcPr>
            <w:tcW w:w="0" w:type="auto"/>
            <w:shd w:val="clear" w:color="auto" w:fill="auto"/>
            <w:vAlign w:val="center"/>
          </w:tcPr>
          <w:p w14:paraId="64A8956E" w14:textId="77777777" w:rsidR="008D6614" w:rsidRDefault="008D6614">
            <w:pPr>
              <w:rPr>
                <w:rFonts w:ascii="宋体"/>
              </w:rPr>
            </w:pPr>
          </w:p>
        </w:tc>
        <w:tc>
          <w:tcPr>
            <w:tcW w:w="0" w:type="auto"/>
            <w:shd w:val="clear" w:color="auto" w:fill="auto"/>
            <w:vAlign w:val="center"/>
          </w:tcPr>
          <w:p w14:paraId="64A8956F" w14:textId="77777777" w:rsidR="008D6614" w:rsidRDefault="008D6614">
            <w:pPr>
              <w:rPr>
                <w:rFonts w:ascii="宋体"/>
              </w:rPr>
            </w:pPr>
          </w:p>
        </w:tc>
        <w:tc>
          <w:tcPr>
            <w:tcW w:w="0" w:type="auto"/>
            <w:shd w:val="clear" w:color="auto" w:fill="auto"/>
            <w:vAlign w:val="center"/>
          </w:tcPr>
          <w:p w14:paraId="64A89570" w14:textId="77777777" w:rsidR="008D6614" w:rsidRDefault="008D6614">
            <w:pPr>
              <w:rPr>
                <w:rFonts w:ascii="宋体"/>
              </w:rPr>
            </w:pPr>
          </w:p>
        </w:tc>
        <w:tc>
          <w:tcPr>
            <w:tcW w:w="0" w:type="auto"/>
            <w:shd w:val="clear" w:color="auto" w:fill="auto"/>
            <w:vAlign w:val="center"/>
          </w:tcPr>
          <w:p w14:paraId="64A89571" w14:textId="77777777" w:rsidR="008D6614" w:rsidRDefault="008D6614">
            <w:pPr>
              <w:rPr>
                <w:rFonts w:ascii="宋体"/>
              </w:rPr>
            </w:pPr>
          </w:p>
        </w:tc>
        <w:tc>
          <w:tcPr>
            <w:tcW w:w="0" w:type="auto"/>
            <w:shd w:val="clear" w:color="auto" w:fill="auto"/>
            <w:vAlign w:val="center"/>
          </w:tcPr>
          <w:p w14:paraId="64A89572" w14:textId="77777777" w:rsidR="008D6614" w:rsidRDefault="008D6614">
            <w:pPr>
              <w:rPr>
                <w:rFonts w:ascii="宋体"/>
              </w:rPr>
            </w:pPr>
          </w:p>
        </w:tc>
        <w:tc>
          <w:tcPr>
            <w:tcW w:w="0" w:type="auto"/>
            <w:shd w:val="clear" w:color="auto" w:fill="auto"/>
            <w:vAlign w:val="center"/>
          </w:tcPr>
          <w:p w14:paraId="64A89573" w14:textId="77777777" w:rsidR="008D6614" w:rsidRDefault="008D6614">
            <w:pPr>
              <w:rPr>
                <w:rFonts w:ascii="宋体"/>
              </w:rPr>
            </w:pPr>
          </w:p>
        </w:tc>
        <w:tc>
          <w:tcPr>
            <w:tcW w:w="0" w:type="auto"/>
            <w:shd w:val="clear" w:color="auto" w:fill="auto"/>
            <w:vAlign w:val="center"/>
          </w:tcPr>
          <w:p w14:paraId="64A89574" w14:textId="77777777" w:rsidR="008D6614" w:rsidRDefault="008D6614">
            <w:pPr>
              <w:rPr>
                <w:rFonts w:ascii="宋体"/>
              </w:rPr>
            </w:pPr>
          </w:p>
        </w:tc>
        <w:tc>
          <w:tcPr>
            <w:tcW w:w="0" w:type="auto"/>
            <w:shd w:val="clear" w:color="auto" w:fill="auto"/>
            <w:vAlign w:val="center"/>
          </w:tcPr>
          <w:p w14:paraId="64A89575" w14:textId="77777777" w:rsidR="008D6614" w:rsidRDefault="008D6614">
            <w:pPr>
              <w:rPr>
                <w:rFonts w:ascii="宋体"/>
              </w:rPr>
            </w:pPr>
          </w:p>
        </w:tc>
        <w:tc>
          <w:tcPr>
            <w:tcW w:w="0" w:type="auto"/>
            <w:shd w:val="clear" w:color="auto" w:fill="auto"/>
            <w:vAlign w:val="center"/>
          </w:tcPr>
          <w:p w14:paraId="64A89576" w14:textId="77777777" w:rsidR="008D6614" w:rsidRDefault="008D6614">
            <w:pPr>
              <w:rPr>
                <w:rFonts w:ascii="宋体"/>
              </w:rPr>
            </w:pPr>
          </w:p>
        </w:tc>
        <w:tc>
          <w:tcPr>
            <w:tcW w:w="0" w:type="auto"/>
            <w:shd w:val="clear" w:color="auto" w:fill="auto"/>
            <w:vAlign w:val="center"/>
          </w:tcPr>
          <w:p w14:paraId="64A89577" w14:textId="77777777" w:rsidR="008D6614" w:rsidRDefault="008D6614">
            <w:pPr>
              <w:rPr>
                <w:rFonts w:ascii="宋体"/>
              </w:rPr>
            </w:pPr>
          </w:p>
        </w:tc>
        <w:tc>
          <w:tcPr>
            <w:tcW w:w="0" w:type="auto"/>
            <w:shd w:val="clear" w:color="auto" w:fill="auto"/>
            <w:vAlign w:val="center"/>
          </w:tcPr>
          <w:p w14:paraId="64A89578" w14:textId="77777777" w:rsidR="008D6614" w:rsidRDefault="008D6614">
            <w:pPr>
              <w:rPr>
                <w:rFonts w:ascii="宋体"/>
              </w:rPr>
            </w:pPr>
          </w:p>
        </w:tc>
      </w:tr>
      <w:tr w:rsidR="00866AF2" w14:paraId="64A895A5" w14:textId="77777777">
        <w:trPr>
          <w:jc w:val="center"/>
        </w:trPr>
        <w:tc>
          <w:tcPr>
            <w:tcW w:w="0" w:type="auto"/>
            <w:gridSpan w:val="3"/>
            <w:shd w:val="clear" w:color="auto" w:fill="FFFFFF"/>
            <w:tcMar>
              <w:top w:w="40" w:type="dxa"/>
              <w:left w:w="495" w:type="dxa"/>
              <w:bottom w:w="40" w:type="dxa"/>
              <w:right w:w="20" w:type="dxa"/>
            </w:tcMar>
            <w:vAlign w:val="bottom"/>
          </w:tcPr>
          <w:p w14:paraId="64A8957A" w14:textId="77777777" w:rsidR="008D6614" w:rsidRDefault="00866AF2">
            <w:pPr>
              <w:textAlignment w:val="bottom"/>
            </w:pPr>
            <w:r>
              <w:rPr>
                <w:rFonts w:ascii="Arial" w:eastAsia="宋体" w:hAnsi="Arial" w:cs="Arial"/>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57B"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57C" w14:textId="77777777" w:rsidR="008D6614" w:rsidRDefault="00866AF2">
            <w:pPr>
              <w:jc w:val="right"/>
              <w:textAlignment w:val="bottom"/>
            </w:pPr>
            <w:r>
              <w:rPr>
                <w:rFonts w:ascii="Arial" w:eastAsia="宋体" w:hAnsi="Arial" w:cs="Arial"/>
                <w:color w:val="000000"/>
                <w:sz w:val="16"/>
                <w:szCs w:val="16"/>
              </w:rPr>
              <w:t>1,294 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57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7E"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57F"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580" w14:textId="77777777" w:rsidR="008D6614" w:rsidRDefault="00866AF2">
            <w:pPr>
              <w:jc w:val="right"/>
              <w:textAlignment w:val="bottom"/>
            </w:pPr>
            <w:r>
              <w:rPr>
                <w:rFonts w:ascii="Arial" w:eastAsia="宋体" w:hAnsi="Arial" w:cs="Arial"/>
                <w:color w:val="000000"/>
                <w:sz w:val="16"/>
                <w:szCs w:val="16"/>
              </w:rPr>
              <w:t>(1,244)</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58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82"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583"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584" w14:textId="77777777" w:rsidR="008D6614" w:rsidRDefault="00866AF2">
            <w:pPr>
              <w:jc w:val="right"/>
              <w:textAlignment w:val="bottom"/>
            </w:pPr>
            <w:r>
              <w:rPr>
                <w:rFonts w:ascii="Arial" w:eastAsia="宋体" w:hAnsi="Arial" w:cs="Arial"/>
                <w:color w:val="000000"/>
                <w:sz w:val="16"/>
                <w:szCs w:val="16"/>
              </w:rPr>
              <w:t>50 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58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86"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9587" w14:textId="77777777" w:rsidR="008D6614" w:rsidRDefault="00866AF2">
            <w:pPr>
              <w:jc w:val="center"/>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88"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589"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58A" w14:textId="77777777" w:rsidR="008D6614" w:rsidRDefault="00866AF2">
            <w:pPr>
              <w:jc w:val="right"/>
              <w:textAlignment w:val="bottom"/>
            </w:pPr>
            <w:r>
              <w:rPr>
                <w:rFonts w:ascii="Arial" w:eastAsia="宋体" w:hAnsi="Arial" w:cs="Arial"/>
                <w:color w:val="000000"/>
                <w:sz w:val="16"/>
                <w:szCs w:val="16"/>
              </w:rPr>
              <w:t>1,319 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58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8C"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58D"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58E" w14:textId="77777777" w:rsidR="008D6614" w:rsidRDefault="00866AF2">
            <w:pPr>
              <w:jc w:val="right"/>
              <w:textAlignment w:val="bottom"/>
            </w:pPr>
            <w:r>
              <w:rPr>
                <w:rFonts w:ascii="Arial" w:eastAsia="宋体" w:hAnsi="Arial" w:cs="Arial"/>
                <w:color w:val="000000"/>
                <w:sz w:val="16"/>
                <w:szCs w:val="16"/>
              </w:rPr>
              <w:t>(1,257)</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58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90"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591"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592" w14:textId="77777777" w:rsidR="008D6614" w:rsidRDefault="00866AF2">
            <w:pPr>
              <w:jc w:val="right"/>
              <w:textAlignment w:val="bottom"/>
            </w:pPr>
            <w:r>
              <w:rPr>
                <w:rFonts w:ascii="Arial" w:eastAsia="宋体" w:hAnsi="Arial" w:cs="Arial"/>
                <w:color w:val="000000"/>
                <w:sz w:val="16"/>
                <w:szCs w:val="16"/>
              </w:rPr>
              <w:t>62 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59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9594"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9595" w14:textId="77777777" w:rsidR="008D6614" w:rsidRDefault="00866AF2">
            <w:pPr>
              <w:jc w:val="center"/>
              <w:textAlignment w:val="bottom"/>
            </w:pPr>
            <w:r>
              <w:rPr>
                <w:rFonts w:ascii="Arial" w:eastAsia="宋体" w:hAnsi="Arial" w:cs="Arial"/>
                <w:color w:val="000000"/>
                <w:sz w:val="16"/>
                <w:szCs w:val="16"/>
              </w:rPr>
              <w:t> </w:t>
            </w:r>
          </w:p>
        </w:tc>
        <w:tc>
          <w:tcPr>
            <w:tcW w:w="0" w:type="auto"/>
            <w:shd w:val="clear" w:color="auto" w:fill="auto"/>
            <w:vAlign w:val="center"/>
          </w:tcPr>
          <w:p w14:paraId="64A89596" w14:textId="77777777" w:rsidR="008D6614" w:rsidRDefault="008D6614">
            <w:pPr>
              <w:rPr>
                <w:rFonts w:ascii="宋体"/>
              </w:rPr>
            </w:pPr>
          </w:p>
        </w:tc>
        <w:tc>
          <w:tcPr>
            <w:tcW w:w="0" w:type="auto"/>
            <w:shd w:val="clear" w:color="auto" w:fill="auto"/>
            <w:vAlign w:val="center"/>
          </w:tcPr>
          <w:p w14:paraId="64A89597" w14:textId="77777777" w:rsidR="008D6614" w:rsidRDefault="008D6614">
            <w:pPr>
              <w:rPr>
                <w:rFonts w:ascii="宋体"/>
              </w:rPr>
            </w:pPr>
          </w:p>
        </w:tc>
        <w:tc>
          <w:tcPr>
            <w:tcW w:w="0" w:type="auto"/>
            <w:shd w:val="clear" w:color="auto" w:fill="auto"/>
            <w:vAlign w:val="center"/>
          </w:tcPr>
          <w:p w14:paraId="64A89598" w14:textId="77777777" w:rsidR="008D6614" w:rsidRDefault="008D6614">
            <w:pPr>
              <w:rPr>
                <w:rFonts w:ascii="宋体"/>
              </w:rPr>
            </w:pPr>
          </w:p>
        </w:tc>
        <w:tc>
          <w:tcPr>
            <w:tcW w:w="0" w:type="auto"/>
            <w:shd w:val="clear" w:color="auto" w:fill="auto"/>
            <w:vAlign w:val="center"/>
          </w:tcPr>
          <w:p w14:paraId="64A89599" w14:textId="77777777" w:rsidR="008D6614" w:rsidRDefault="008D6614">
            <w:pPr>
              <w:rPr>
                <w:rFonts w:ascii="宋体"/>
              </w:rPr>
            </w:pPr>
          </w:p>
        </w:tc>
        <w:tc>
          <w:tcPr>
            <w:tcW w:w="0" w:type="auto"/>
            <w:shd w:val="clear" w:color="auto" w:fill="auto"/>
            <w:vAlign w:val="center"/>
          </w:tcPr>
          <w:p w14:paraId="64A8959A" w14:textId="77777777" w:rsidR="008D6614" w:rsidRDefault="008D6614">
            <w:pPr>
              <w:rPr>
                <w:rFonts w:ascii="宋体"/>
              </w:rPr>
            </w:pPr>
          </w:p>
        </w:tc>
        <w:tc>
          <w:tcPr>
            <w:tcW w:w="0" w:type="auto"/>
            <w:shd w:val="clear" w:color="auto" w:fill="auto"/>
            <w:vAlign w:val="center"/>
          </w:tcPr>
          <w:p w14:paraId="64A8959B" w14:textId="77777777" w:rsidR="008D6614" w:rsidRDefault="008D6614">
            <w:pPr>
              <w:rPr>
                <w:rFonts w:ascii="宋体"/>
              </w:rPr>
            </w:pPr>
          </w:p>
        </w:tc>
        <w:tc>
          <w:tcPr>
            <w:tcW w:w="0" w:type="auto"/>
            <w:shd w:val="clear" w:color="auto" w:fill="auto"/>
            <w:vAlign w:val="center"/>
          </w:tcPr>
          <w:p w14:paraId="64A8959C" w14:textId="77777777" w:rsidR="008D6614" w:rsidRDefault="008D6614">
            <w:pPr>
              <w:rPr>
                <w:rFonts w:ascii="宋体"/>
              </w:rPr>
            </w:pPr>
          </w:p>
        </w:tc>
        <w:tc>
          <w:tcPr>
            <w:tcW w:w="0" w:type="auto"/>
            <w:shd w:val="clear" w:color="auto" w:fill="auto"/>
            <w:vAlign w:val="center"/>
          </w:tcPr>
          <w:p w14:paraId="64A8959D" w14:textId="77777777" w:rsidR="008D6614" w:rsidRDefault="008D6614">
            <w:pPr>
              <w:rPr>
                <w:rFonts w:ascii="宋体"/>
              </w:rPr>
            </w:pPr>
          </w:p>
        </w:tc>
        <w:tc>
          <w:tcPr>
            <w:tcW w:w="0" w:type="auto"/>
            <w:shd w:val="clear" w:color="auto" w:fill="auto"/>
            <w:vAlign w:val="center"/>
          </w:tcPr>
          <w:p w14:paraId="64A8959E" w14:textId="77777777" w:rsidR="008D6614" w:rsidRDefault="008D6614">
            <w:pPr>
              <w:rPr>
                <w:rFonts w:ascii="宋体"/>
              </w:rPr>
            </w:pPr>
          </w:p>
        </w:tc>
        <w:tc>
          <w:tcPr>
            <w:tcW w:w="0" w:type="auto"/>
            <w:shd w:val="clear" w:color="auto" w:fill="auto"/>
            <w:vAlign w:val="center"/>
          </w:tcPr>
          <w:p w14:paraId="64A8959F" w14:textId="77777777" w:rsidR="008D6614" w:rsidRDefault="008D6614">
            <w:pPr>
              <w:rPr>
                <w:rFonts w:ascii="宋体"/>
              </w:rPr>
            </w:pPr>
          </w:p>
        </w:tc>
        <w:tc>
          <w:tcPr>
            <w:tcW w:w="0" w:type="auto"/>
            <w:shd w:val="clear" w:color="auto" w:fill="auto"/>
            <w:vAlign w:val="center"/>
          </w:tcPr>
          <w:p w14:paraId="64A895A0" w14:textId="77777777" w:rsidR="008D6614" w:rsidRDefault="008D6614">
            <w:pPr>
              <w:rPr>
                <w:rFonts w:ascii="宋体"/>
              </w:rPr>
            </w:pPr>
          </w:p>
        </w:tc>
        <w:tc>
          <w:tcPr>
            <w:tcW w:w="0" w:type="auto"/>
            <w:shd w:val="clear" w:color="auto" w:fill="auto"/>
            <w:vAlign w:val="center"/>
          </w:tcPr>
          <w:p w14:paraId="64A895A1" w14:textId="77777777" w:rsidR="008D6614" w:rsidRDefault="008D6614">
            <w:pPr>
              <w:rPr>
                <w:rFonts w:ascii="宋体"/>
              </w:rPr>
            </w:pPr>
          </w:p>
        </w:tc>
        <w:tc>
          <w:tcPr>
            <w:tcW w:w="0" w:type="auto"/>
            <w:shd w:val="clear" w:color="auto" w:fill="auto"/>
            <w:vAlign w:val="center"/>
          </w:tcPr>
          <w:p w14:paraId="64A895A2" w14:textId="77777777" w:rsidR="008D6614" w:rsidRDefault="008D6614">
            <w:pPr>
              <w:rPr>
                <w:rFonts w:ascii="宋体"/>
              </w:rPr>
            </w:pPr>
          </w:p>
        </w:tc>
        <w:tc>
          <w:tcPr>
            <w:tcW w:w="0" w:type="auto"/>
            <w:shd w:val="clear" w:color="auto" w:fill="auto"/>
            <w:vAlign w:val="center"/>
          </w:tcPr>
          <w:p w14:paraId="64A895A3" w14:textId="77777777" w:rsidR="008D6614" w:rsidRDefault="008D6614">
            <w:pPr>
              <w:rPr>
                <w:rFonts w:ascii="宋体"/>
              </w:rPr>
            </w:pPr>
          </w:p>
        </w:tc>
        <w:tc>
          <w:tcPr>
            <w:tcW w:w="0" w:type="auto"/>
            <w:shd w:val="clear" w:color="auto" w:fill="auto"/>
            <w:vAlign w:val="center"/>
          </w:tcPr>
          <w:p w14:paraId="64A895A4" w14:textId="77777777" w:rsidR="008D6614" w:rsidRDefault="008D6614">
            <w:pPr>
              <w:rPr>
                <w:rFonts w:ascii="宋体"/>
              </w:rPr>
            </w:pPr>
          </w:p>
        </w:tc>
      </w:tr>
    </w:tbl>
    <w:p w14:paraId="64A895A6" w14:textId="77777777" w:rsidR="008D6614" w:rsidRDefault="008D6614">
      <w:pPr>
        <w:ind w:hanging="540"/>
      </w:pPr>
    </w:p>
    <w:p w14:paraId="64A895A7" w14:textId="77777777" w:rsidR="008D6614" w:rsidRDefault="00866AF2">
      <w:pPr>
        <w:ind w:firstLine="540"/>
        <w:jc w:val="both"/>
      </w:pPr>
      <w:r>
        <w:rPr>
          <w:rFonts w:ascii="Arial" w:eastAsia="宋体" w:hAnsi="Arial" w:cs="Arial"/>
          <w:color w:val="000000"/>
          <w:sz w:val="20"/>
          <w:szCs w:val="20"/>
        </w:rPr>
        <w:t>Amortization expense for intangible assets was $10 million and $13 mil</w:t>
      </w:r>
      <w:r>
        <w:rPr>
          <w:rFonts w:ascii="Arial" w:eastAsia="宋体" w:hAnsi="Arial" w:cs="Arial"/>
          <w:color w:val="000000"/>
          <w:sz w:val="20"/>
          <w:szCs w:val="20"/>
        </w:rPr>
        <w:t>lion for the three months ended March 31, 2020 and 2019, respectively.</w:t>
      </w:r>
    </w:p>
    <w:p w14:paraId="64A895A8" w14:textId="77777777" w:rsidR="008D6614" w:rsidRDefault="008D6614">
      <w:pPr>
        <w:ind w:firstLine="540"/>
      </w:pPr>
    </w:p>
    <w:p w14:paraId="64A895A9" w14:textId="77777777" w:rsidR="008D6614" w:rsidRDefault="00866AF2">
      <w:pPr>
        <w:ind w:firstLine="540"/>
      </w:pPr>
      <w:r>
        <w:rPr>
          <w:rFonts w:ascii="Arial" w:eastAsia="宋体" w:hAnsi="Arial" w:cs="Arial"/>
          <w:color w:val="000000"/>
          <w:sz w:val="20"/>
          <w:szCs w:val="20"/>
        </w:rPr>
        <w:t>Expected future intangible asset amortization as of March 31, 2020 is as follows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60"/>
        <w:gridCol w:w="7016"/>
        <w:gridCol w:w="60"/>
        <w:gridCol w:w="36"/>
        <w:gridCol w:w="36"/>
        <w:gridCol w:w="41"/>
        <w:gridCol w:w="136"/>
        <w:gridCol w:w="853"/>
        <w:gridCol w:w="86"/>
      </w:tblGrid>
      <w:tr w:rsidR="008D6614" w14:paraId="64A895B3" w14:textId="77777777">
        <w:trPr>
          <w:jc w:val="center"/>
        </w:trPr>
        <w:tc>
          <w:tcPr>
            <w:tcW w:w="50" w:type="pct"/>
            <w:shd w:val="clear" w:color="auto" w:fill="auto"/>
            <w:vAlign w:val="center"/>
          </w:tcPr>
          <w:p w14:paraId="64A895AA" w14:textId="77777777" w:rsidR="008D6614" w:rsidRDefault="008D6614">
            <w:pPr>
              <w:rPr>
                <w:rFonts w:ascii="宋体"/>
              </w:rPr>
            </w:pPr>
          </w:p>
        </w:tc>
        <w:tc>
          <w:tcPr>
            <w:tcW w:w="4226" w:type="pct"/>
            <w:shd w:val="clear" w:color="auto" w:fill="auto"/>
            <w:vAlign w:val="center"/>
          </w:tcPr>
          <w:p w14:paraId="64A895AB" w14:textId="77777777" w:rsidR="008D6614" w:rsidRDefault="008D6614">
            <w:pPr>
              <w:rPr>
                <w:rFonts w:ascii="宋体"/>
              </w:rPr>
            </w:pPr>
          </w:p>
        </w:tc>
        <w:tc>
          <w:tcPr>
            <w:tcW w:w="50" w:type="pct"/>
            <w:shd w:val="clear" w:color="auto" w:fill="auto"/>
            <w:vAlign w:val="center"/>
          </w:tcPr>
          <w:p w14:paraId="64A895AC" w14:textId="77777777" w:rsidR="008D6614" w:rsidRDefault="008D6614">
            <w:pPr>
              <w:rPr>
                <w:rFonts w:ascii="宋体"/>
              </w:rPr>
            </w:pPr>
          </w:p>
        </w:tc>
        <w:tc>
          <w:tcPr>
            <w:tcW w:w="5" w:type="pct"/>
            <w:shd w:val="clear" w:color="auto" w:fill="auto"/>
            <w:vAlign w:val="center"/>
          </w:tcPr>
          <w:p w14:paraId="64A895AD" w14:textId="77777777" w:rsidR="008D6614" w:rsidRDefault="008D6614">
            <w:pPr>
              <w:rPr>
                <w:rFonts w:ascii="宋体"/>
              </w:rPr>
            </w:pPr>
          </w:p>
        </w:tc>
        <w:tc>
          <w:tcPr>
            <w:tcW w:w="26" w:type="pct"/>
            <w:shd w:val="clear" w:color="auto" w:fill="auto"/>
            <w:vAlign w:val="center"/>
          </w:tcPr>
          <w:p w14:paraId="64A895AE" w14:textId="77777777" w:rsidR="008D6614" w:rsidRDefault="008D6614">
            <w:pPr>
              <w:rPr>
                <w:rFonts w:ascii="宋体"/>
              </w:rPr>
            </w:pPr>
          </w:p>
        </w:tc>
        <w:tc>
          <w:tcPr>
            <w:tcW w:w="5" w:type="pct"/>
            <w:shd w:val="clear" w:color="auto" w:fill="auto"/>
            <w:vAlign w:val="center"/>
          </w:tcPr>
          <w:p w14:paraId="64A895AF" w14:textId="77777777" w:rsidR="008D6614" w:rsidRDefault="008D6614">
            <w:pPr>
              <w:rPr>
                <w:rFonts w:ascii="宋体"/>
              </w:rPr>
            </w:pPr>
          </w:p>
        </w:tc>
        <w:tc>
          <w:tcPr>
            <w:tcW w:w="50" w:type="pct"/>
            <w:shd w:val="clear" w:color="auto" w:fill="auto"/>
            <w:vAlign w:val="center"/>
          </w:tcPr>
          <w:p w14:paraId="64A895B0" w14:textId="77777777" w:rsidR="008D6614" w:rsidRDefault="008D6614">
            <w:pPr>
              <w:rPr>
                <w:rFonts w:ascii="宋体"/>
              </w:rPr>
            </w:pPr>
          </w:p>
        </w:tc>
        <w:tc>
          <w:tcPr>
            <w:tcW w:w="536" w:type="pct"/>
            <w:shd w:val="clear" w:color="auto" w:fill="auto"/>
            <w:vAlign w:val="center"/>
          </w:tcPr>
          <w:p w14:paraId="64A895B1" w14:textId="77777777" w:rsidR="008D6614" w:rsidRDefault="008D6614">
            <w:pPr>
              <w:rPr>
                <w:rFonts w:ascii="宋体"/>
              </w:rPr>
            </w:pPr>
          </w:p>
        </w:tc>
        <w:tc>
          <w:tcPr>
            <w:tcW w:w="50" w:type="pct"/>
            <w:shd w:val="clear" w:color="auto" w:fill="auto"/>
            <w:vAlign w:val="center"/>
          </w:tcPr>
          <w:p w14:paraId="64A895B2" w14:textId="77777777" w:rsidR="008D6614" w:rsidRDefault="008D6614">
            <w:pPr>
              <w:rPr>
                <w:rFonts w:ascii="宋体"/>
              </w:rPr>
            </w:pPr>
          </w:p>
        </w:tc>
      </w:tr>
      <w:tr w:rsidR="008D6614" w14:paraId="64A895B7" w14:textId="77777777">
        <w:trPr>
          <w:trHeight w:val="300"/>
          <w:jc w:val="center"/>
        </w:trPr>
        <w:tc>
          <w:tcPr>
            <w:tcW w:w="0" w:type="auto"/>
            <w:gridSpan w:val="3"/>
            <w:shd w:val="clear" w:color="auto" w:fill="auto"/>
            <w:tcMar>
              <w:left w:w="20" w:type="dxa"/>
              <w:right w:w="20" w:type="dxa"/>
            </w:tcMar>
            <w:vAlign w:val="bottom"/>
          </w:tcPr>
          <w:p w14:paraId="64A895B4"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95B5"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95B6" w14:textId="77777777" w:rsidR="008D6614" w:rsidRDefault="008D6614">
            <w:pPr>
              <w:rPr>
                <w:rFonts w:ascii="宋体"/>
              </w:rPr>
            </w:pPr>
          </w:p>
        </w:tc>
      </w:tr>
      <w:tr w:rsidR="008D6614" w14:paraId="64A895BE" w14:textId="77777777">
        <w:trPr>
          <w:jc w:val="center"/>
        </w:trPr>
        <w:tc>
          <w:tcPr>
            <w:tcW w:w="0" w:type="auto"/>
            <w:gridSpan w:val="3"/>
            <w:shd w:val="clear" w:color="auto" w:fill="E2E2E2"/>
            <w:tcMar>
              <w:top w:w="40" w:type="dxa"/>
              <w:left w:w="20" w:type="dxa"/>
              <w:bottom w:w="40" w:type="dxa"/>
              <w:right w:w="20" w:type="dxa"/>
            </w:tcMar>
            <w:vAlign w:val="bottom"/>
          </w:tcPr>
          <w:p w14:paraId="64A895B8" w14:textId="77777777" w:rsidR="008D6614" w:rsidRDefault="00866AF2">
            <w:pPr>
              <w:textAlignment w:val="bottom"/>
            </w:pPr>
            <w:r>
              <w:rPr>
                <w:rFonts w:ascii="Arial" w:eastAsia="宋体" w:hAnsi="Arial" w:cs="Arial"/>
                <w:color w:val="000000"/>
                <w:sz w:val="18"/>
                <w:szCs w:val="18"/>
              </w:rPr>
              <w:t>Remaining 2020</w:t>
            </w:r>
          </w:p>
        </w:tc>
        <w:tc>
          <w:tcPr>
            <w:tcW w:w="0" w:type="auto"/>
            <w:gridSpan w:val="2"/>
            <w:shd w:val="clear" w:color="auto" w:fill="E2E2E2"/>
            <w:tcMar>
              <w:left w:w="20" w:type="dxa"/>
              <w:right w:w="0" w:type="dxa"/>
            </w:tcMar>
            <w:vAlign w:val="bottom"/>
          </w:tcPr>
          <w:p w14:paraId="64A895B9" w14:textId="77777777" w:rsidR="008D6614" w:rsidRDefault="008D6614">
            <w:pPr>
              <w:jc w:val="right"/>
              <w:rPr>
                <w:rFonts w:ascii="宋体"/>
              </w:rPr>
            </w:pPr>
          </w:p>
        </w:tc>
        <w:tc>
          <w:tcPr>
            <w:tcW w:w="0" w:type="auto"/>
            <w:shd w:val="clear" w:color="auto" w:fill="E2E2E2"/>
            <w:tcMar>
              <w:right w:w="20" w:type="dxa"/>
            </w:tcMar>
            <w:vAlign w:val="bottom"/>
          </w:tcPr>
          <w:p w14:paraId="64A895BA" w14:textId="77777777" w:rsidR="008D6614" w:rsidRDefault="008D6614">
            <w:pPr>
              <w:jc w:val="right"/>
              <w:rPr>
                <w:rFonts w:ascii="宋体"/>
              </w:rPr>
            </w:pPr>
          </w:p>
        </w:tc>
        <w:tc>
          <w:tcPr>
            <w:tcW w:w="0" w:type="auto"/>
            <w:shd w:val="clear" w:color="auto" w:fill="E2E2E2"/>
            <w:tcMar>
              <w:top w:w="40" w:type="dxa"/>
              <w:left w:w="20" w:type="dxa"/>
              <w:bottom w:w="40" w:type="dxa"/>
            </w:tcMar>
            <w:vAlign w:val="bottom"/>
          </w:tcPr>
          <w:p w14:paraId="64A895BB"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5BC" w14:textId="77777777" w:rsidR="008D6614" w:rsidRDefault="00866AF2">
            <w:pPr>
              <w:jc w:val="right"/>
              <w:textAlignment w:val="bottom"/>
            </w:pPr>
            <w:r>
              <w:rPr>
                <w:rFonts w:ascii="Arial" w:eastAsia="宋体" w:hAnsi="Arial" w:cs="Arial"/>
                <w:color w:val="000000"/>
                <w:sz w:val="18"/>
                <w:szCs w:val="18"/>
              </w:rPr>
              <w:t>28 </w:t>
            </w:r>
          </w:p>
        </w:tc>
        <w:tc>
          <w:tcPr>
            <w:tcW w:w="0" w:type="auto"/>
            <w:shd w:val="clear" w:color="auto" w:fill="E2E2E2"/>
            <w:tcMar>
              <w:top w:w="40" w:type="dxa"/>
              <w:bottom w:w="40" w:type="dxa"/>
              <w:right w:w="20" w:type="dxa"/>
            </w:tcMar>
            <w:vAlign w:val="bottom"/>
          </w:tcPr>
          <w:p w14:paraId="64A895BD" w14:textId="77777777" w:rsidR="008D6614" w:rsidRDefault="00866AF2">
            <w:pPr>
              <w:jc w:val="right"/>
              <w:textAlignment w:val="bottom"/>
            </w:pPr>
            <w:r>
              <w:rPr>
                <w:rFonts w:ascii="Arial" w:eastAsia="宋体" w:hAnsi="Arial" w:cs="Arial"/>
                <w:color w:val="000000"/>
                <w:sz w:val="18"/>
                <w:szCs w:val="18"/>
              </w:rPr>
              <w:t> </w:t>
            </w:r>
          </w:p>
        </w:tc>
      </w:tr>
      <w:tr w:rsidR="008D6614" w14:paraId="64A895C4" w14:textId="77777777">
        <w:trPr>
          <w:jc w:val="center"/>
        </w:trPr>
        <w:tc>
          <w:tcPr>
            <w:tcW w:w="0" w:type="auto"/>
            <w:gridSpan w:val="3"/>
            <w:shd w:val="clear" w:color="auto" w:fill="FFFFFF"/>
            <w:tcMar>
              <w:top w:w="40" w:type="dxa"/>
              <w:left w:w="20" w:type="dxa"/>
              <w:bottom w:w="40" w:type="dxa"/>
              <w:right w:w="20" w:type="dxa"/>
            </w:tcMar>
            <w:vAlign w:val="bottom"/>
          </w:tcPr>
          <w:p w14:paraId="64A895BF" w14:textId="77777777" w:rsidR="008D6614" w:rsidRDefault="00866AF2">
            <w:pPr>
              <w:textAlignment w:val="bottom"/>
            </w:pPr>
            <w:r>
              <w:rPr>
                <w:rFonts w:ascii="Arial" w:eastAsia="宋体" w:hAnsi="Arial" w:cs="Arial"/>
                <w:color w:val="000000"/>
                <w:sz w:val="18"/>
                <w:szCs w:val="18"/>
              </w:rPr>
              <w:t>2021</w:t>
            </w:r>
          </w:p>
        </w:tc>
        <w:tc>
          <w:tcPr>
            <w:tcW w:w="0" w:type="auto"/>
            <w:gridSpan w:val="2"/>
            <w:shd w:val="clear" w:color="auto" w:fill="FFFFFF"/>
            <w:tcMar>
              <w:left w:w="20" w:type="dxa"/>
              <w:right w:w="0" w:type="dxa"/>
            </w:tcMar>
            <w:vAlign w:val="bottom"/>
          </w:tcPr>
          <w:p w14:paraId="64A895C0" w14:textId="77777777" w:rsidR="008D6614" w:rsidRDefault="008D6614">
            <w:pPr>
              <w:jc w:val="right"/>
              <w:rPr>
                <w:rFonts w:ascii="宋体"/>
              </w:rPr>
            </w:pPr>
          </w:p>
        </w:tc>
        <w:tc>
          <w:tcPr>
            <w:tcW w:w="0" w:type="auto"/>
            <w:shd w:val="clear" w:color="auto" w:fill="FFFFFF"/>
            <w:tcMar>
              <w:right w:w="20" w:type="dxa"/>
            </w:tcMar>
            <w:vAlign w:val="bottom"/>
          </w:tcPr>
          <w:p w14:paraId="64A895C1"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95C2" w14:textId="77777777" w:rsidR="008D6614" w:rsidRDefault="00866AF2">
            <w:pPr>
              <w:jc w:val="right"/>
              <w:textAlignment w:val="bottom"/>
            </w:pPr>
            <w:r>
              <w:rPr>
                <w:rFonts w:ascii="Arial" w:eastAsia="宋体" w:hAnsi="Arial" w:cs="Arial"/>
                <w:color w:val="000000"/>
                <w:sz w:val="18"/>
                <w:szCs w:val="18"/>
              </w:rPr>
              <w:t>18 </w:t>
            </w:r>
          </w:p>
        </w:tc>
        <w:tc>
          <w:tcPr>
            <w:tcW w:w="0" w:type="auto"/>
            <w:shd w:val="clear" w:color="auto" w:fill="FFFFFF"/>
            <w:tcMar>
              <w:top w:w="40" w:type="dxa"/>
              <w:bottom w:w="40" w:type="dxa"/>
              <w:right w:w="20" w:type="dxa"/>
            </w:tcMar>
            <w:vAlign w:val="bottom"/>
          </w:tcPr>
          <w:p w14:paraId="64A895C3" w14:textId="77777777" w:rsidR="008D6614" w:rsidRDefault="00866AF2">
            <w:pPr>
              <w:jc w:val="right"/>
              <w:textAlignment w:val="bottom"/>
            </w:pPr>
            <w:r>
              <w:rPr>
                <w:rFonts w:ascii="Arial" w:eastAsia="宋体" w:hAnsi="Arial" w:cs="Arial"/>
                <w:color w:val="000000"/>
                <w:sz w:val="18"/>
                <w:szCs w:val="18"/>
              </w:rPr>
              <w:t> </w:t>
            </w:r>
          </w:p>
        </w:tc>
      </w:tr>
      <w:tr w:rsidR="008D6614" w14:paraId="64A895C9" w14:textId="77777777">
        <w:trPr>
          <w:jc w:val="center"/>
        </w:trPr>
        <w:tc>
          <w:tcPr>
            <w:tcW w:w="0" w:type="auto"/>
            <w:gridSpan w:val="3"/>
            <w:shd w:val="clear" w:color="auto" w:fill="E2E2E2"/>
            <w:tcMar>
              <w:top w:w="40" w:type="dxa"/>
              <w:left w:w="20" w:type="dxa"/>
              <w:bottom w:w="40" w:type="dxa"/>
              <w:right w:w="20" w:type="dxa"/>
            </w:tcMar>
            <w:vAlign w:val="bottom"/>
          </w:tcPr>
          <w:p w14:paraId="64A895C5" w14:textId="77777777" w:rsidR="008D6614" w:rsidRDefault="00866AF2">
            <w:pPr>
              <w:textAlignment w:val="bottom"/>
            </w:pPr>
            <w:r>
              <w:rPr>
                <w:rFonts w:ascii="Arial" w:eastAsia="宋体" w:hAnsi="Arial" w:cs="Arial"/>
                <w:color w:val="000000"/>
                <w:sz w:val="18"/>
                <w:szCs w:val="18"/>
              </w:rPr>
              <w:t>2022</w:t>
            </w:r>
          </w:p>
        </w:tc>
        <w:tc>
          <w:tcPr>
            <w:tcW w:w="0" w:type="auto"/>
            <w:gridSpan w:val="3"/>
            <w:shd w:val="clear" w:color="auto" w:fill="E2E2E2"/>
            <w:tcMar>
              <w:left w:w="20" w:type="dxa"/>
              <w:right w:w="20" w:type="dxa"/>
            </w:tcMar>
            <w:vAlign w:val="bottom"/>
          </w:tcPr>
          <w:p w14:paraId="64A895C6"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C7"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E2E2E2"/>
            <w:tcMar>
              <w:top w:w="40" w:type="dxa"/>
              <w:bottom w:w="40" w:type="dxa"/>
              <w:right w:w="20" w:type="dxa"/>
            </w:tcMar>
            <w:vAlign w:val="bottom"/>
          </w:tcPr>
          <w:p w14:paraId="64A895C8" w14:textId="77777777" w:rsidR="008D6614" w:rsidRDefault="00866AF2">
            <w:pPr>
              <w:jc w:val="right"/>
              <w:textAlignment w:val="bottom"/>
            </w:pPr>
            <w:r>
              <w:rPr>
                <w:rFonts w:ascii="Arial" w:eastAsia="宋体" w:hAnsi="Arial" w:cs="Arial"/>
                <w:color w:val="000000"/>
                <w:sz w:val="18"/>
                <w:szCs w:val="18"/>
              </w:rPr>
              <w:t> </w:t>
            </w:r>
          </w:p>
        </w:tc>
      </w:tr>
      <w:tr w:rsidR="008D6614" w14:paraId="64A895CE" w14:textId="77777777">
        <w:trPr>
          <w:jc w:val="center"/>
        </w:trPr>
        <w:tc>
          <w:tcPr>
            <w:tcW w:w="0" w:type="auto"/>
            <w:gridSpan w:val="3"/>
            <w:shd w:val="clear" w:color="auto" w:fill="FFFFFF"/>
            <w:tcMar>
              <w:top w:w="40" w:type="dxa"/>
              <w:left w:w="20" w:type="dxa"/>
              <w:bottom w:w="40" w:type="dxa"/>
              <w:right w:w="20" w:type="dxa"/>
            </w:tcMar>
            <w:vAlign w:val="bottom"/>
          </w:tcPr>
          <w:p w14:paraId="64A895CA" w14:textId="77777777" w:rsidR="008D6614" w:rsidRDefault="00866AF2">
            <w:pPr>
              <w:textAlignment w:val="bottom"/>
            </w:pPr>
            <w:r>
              <w:rPr>
                <w:rFonts w:ascii="Arial" w:eastAsia="宋体" w:hAnsi="Arial" w:cs="Arial"/>
                <w:color w:val="000000"/>
                <w:sz w:val="18"/>
                <w:szCs w:val="18"/>
              </w:rPr>
              <w:t>2023</w:t>
            </w:r>
          </w:p>
        </w:tc>
        <w:tc>
          <w:tcPr>
            <w:tcW w:w="0" w:type="auto"/>
            <w:gridSpan w:val="3"/>
            <w:shd w:val="clear" w:color="auto" w:fill="FFFFFF"/>
            <w:tcMar>
              <w:left w:w="20" w:type="dxa"/>
              <w:right w:w="20" w:type="dxa"/>
            </w:tcMar>
            <w:vAlign w:val="bottom"/>
          </w:tcPr>
          <w:p w14:paraId="64A895C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5CC"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95CD" w14:textId="77777777" w:rsidR="008D6614" w:rsidRDefault="00866AF2">
            <w:pPr>
              <w:jc w:val="right"/>
              <w:textAlignment w:val="bottom"/>
            </w:pPr>
            <w:r>
              <w:rPr>
                <w:rFonts w:ascii="Arial" w:eastAsia="宋体" w:hAnsi="Arial" w:cs="Arial"/>
                <w:color w:val="000000"/>
                <w:sz w:val="18"/>
                <w:szCs w:val="18"/>
              </w:rPr>
              <w:t> </w:t>
            </w:r>
          </w:p>
        </w:tc>
      </w:tr>
      <w:tr w:rsidR="008D6614" w14:paraId="64A895D3" w14:textId="77777777">
        <w:trPr>
          <w:jc w:val="center"/>
        </w:trPr>
        <w:tc>
          <w:tcPr>
            <w:tcW w:w="0" w:type="auto"/>
            <w:gridSpan w:val="3"/>
            <w:shd w:val="clear" w:color="auto" w:fill="E2E2E2"/>
            <w:tcMar>
              <w:top w:w="40" w:type="dxa"/>
              <w:left w:w="20" w:type="dxa"/>
              <w:bottom w:w="40" w:type="dxa"/>
              <w:right w:w="20" w:type="dxa"/>
            </w:tcMar>
            <w:vAlign w:val="bottom"/>
          </w:tcPr>
          <w:p w14:paraId="64A895CF" w14:textId="77777777" w:rsidR="008D6614" w:rsidRDefault="00866AF2">
            <w:pPr>
              <w:textAlignment w:val="bottom"/>
            </w:pPr>
            <w:r>
              <w:rPr>
                <w:rFonts w:ascii="Arial" w:eastAsia="宋体" w:hAnsi="Arial" w:cs="Arial"/>
                <w:color w:val="000000"/>
                <w:sz w:val="18"/>
                <w:szCs w:val="18"/>
              </w:rPr>
              <w:t>2024</w:t>
            </w:r>
          </w:p>
        </w:tc>
        <w:tc>
          <w:tcPr>
            <w:tcW w:w="0" w:type="auto"/>
            <w:gridSpan w:val="3"/>
            <w:shd w:val="clear" w:color="auto" w:fill="E2E2E2"/>
            <w:tcMar>
              <w:left w:w="20" w:type="dxa"/>
              <w:right w:w="20" w:type="dxa"/>
            </w:tcMar>
            <w:vAlign w:val="bottom"/>
          </w:tcPr>
          <w:p w14:paraId="64A895D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5D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95D2" w14:textId="77777777" w:rsidR="008D6614" w:rsidRDefault="00866AF2">
            <w:pPr>
              <w:jc w:val="right"/>
              <w:textAlignment w:val="bottom"/>
            </w:pPr>
            <w:r>
              <w:rPr>
                <w:rFonts w:ascii="Arial" w:eastAsia="宋体" w:hAnsi="Arial" w:cs="Arial"/>
                <w:color w:val="000000"/>
                <w:sz w:val="18"/>
                <w:szCs w:val="18"/>
              </w:rPr>
              <w:t> </w:t>
            </w:r>
          </w:p>
        </w:tc>
      </w:tr>
      <w:tr w:rsidR="008D6614" w14:paraId="64A895D7" w14:textId="77777777">
        <w:trPr>
          <w:jc w:val="center"/>
          <w:hidden/>
        </w:trPr>
        <w:tc>
          <w:tcPr>
            <w:tcW w:w="0" w:type="auto"/>
            <w:gridSpan w:val="3"/>
            <w:shd w:val="clear" w:color="auto" w:fill="auto"/>
            <w:vAlign w:val="center"/>
          </w:tcPr>
          <w:p w14:paraId="64A895D4" w14:textId="77777777" w:rsidR="008D6614" w:rsidRDefault="008D6614">
            <w:pPr>
              <w:rPr>
                <w:rFonts w:ascii="宋体"/>
                <w:vanish/>
              </w:rPr>
            </w:pPr>
          </w:p>
        </w:tc>
        <w:tc>
          <w:tcPr>
            <w:tcW w:w="0" w:type="auto"/>
            <w:gridSpan w:val="3"/>
            <w:shd w:val="clear" w:color="auto" w:fill="auto"/>
            <w:vAlign w:val="center"/>
          </w:tcPr>
          <w:p w14:paraId="64A895D5" w14:textId="77777777" w:rsidR="008D6614" w:rsidRDefault="008D6614">
            <w:pPr>
              <w:rPr>
                <w:rFonts w:ascii="宋体"/>
                <w:vanish/>
              </w:rPr>
            </w:pPr>
          </w:p>
        </w:tc>
        <w:tc>
          <w:tcPr>
            <w:tcW w:w="0" w:type="auto"/>
            <w:gridSpan w:val="3"/>
            <w:shd w:val="clear" w:color="auto" w:fill="auto"/>
            <w:vAlign w:val="center"/>
          </w:tcPr>
          <w:p w14:paraId="64A895D6" w14:textId="77777777" w:rsidR="008D6614" w:rsidRDefault="008D6614">
            <w:pPr>
              <w:rPr>
                <w:rFonts w:ascii="宋体"/>
                <w:vanish/>
              </w:rPr>
            </w:pPr>
          </w:p>
        </w:tc>
      </w:tr>
      <w:tr w:rsidR="008D6614" w14:paraId="64A895DD" w14:textId="77777777">
        <w:trPr>
          <w:jc w:val="center"/>
        </w:trPr>
        <w:tc>
          <w:tcPr>
            <w:tcW w:w="0" w:type="auto"/>
            <w:gridSpan w:val="3"/>
            <w:shd w:val="clear" w:color="auto" w:fill="FFFFFF"/>
            <w:tcMar>
              <w:top w:w="40" w:type="dxa"/>
              <w:left w:w="225" w:type="dxa"/>
              <w:bottom w:w="40" w:type="dxa"/>
              <w:right w:w="20" w:type="dxa"/>
            </w:tcMar>
            <w:vAlign w:val="bottom"/>
          </w:tcPr>
          <w:p w14:paraId="64A895D8" w14:textId="77777777" w:rsidR="008D6614" w:rsidRDefault="00866AF2">
            <w:pPr>
              <w:textAlignment w:val="bottom"/>
            </w:pPr>
            <w:r>
              <w:rPr>
                <w:rFonts w:ascii="Arial" w:eastAsia="宋体" w:hAnsi="Arial" w:cs="Arial"/>
                <w:color w:val="000000"/>
                <w:sz w:val="18"/>
                <w:szCs w:val="18"/>
              </w:rPr>
              <w:t>Total</w:t>
            </w:r>
          </w:p>
        </w:tc>
        <w:tc>
          <w:tcPr>
            <w:tcW w:w="0" w:type="auto"/>
            <w:gridSpan w:val="3"/>
            <w:shd w:val="clear" w:color="auto" w:fill="FFFFFF"/>
            <w:tcMar>
              <w:left w:w="20" w:type="dxa"/>
              <w:right w:w="20" w:type="dxa"/>
            </w:tcMar>
            <w:vAlign w:val="bottom"/>
          </w:tcPr>
          <w:p w14:paraId="64A895D9"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5D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5DB" w14:textId="77777777" w:rsidR="008D6614" w:rsidRDefault="00866AF2">
            <w:pPr>
              <w:jc w:val="right"/>
              <w:textAlignment w:val="bottom"/>
            </w:pPr>
            <w:r>
              <w:rPr>
                <w:rFonts w:ascii="Arial" w:eastAsia="宋体" w:hAnsi="Arial" w:cs="Arial"/>
                <w:color w:val="000000"/>
                <w:sz w:val="18"/>
                <w:szCs w:val="18"/>
              </w:rPr>
              <w:t>50 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5DC" w14:textId="77777777" w:rsidR="008D6614" w:rsidRDefault="00866AF2">
            <w:pPr>
              <w:jc w:val="right"/>
              <w:textAlignment w:val="bottom"/>
            </w:pPr>
            <w:r>
              <w:rPr>
                <w:rFonts w:ascii="Arial" w:eastAsia="宋体" w:hAnsi="Arial" w:cs="Arial"/>
                <w:color w:val="000000"/>
                <w:sz w:val="18"/>
                <w:szCs w:val="18"/>
              </w:rPr>
              <w:t> </w:t>
            </w:r>
          </w:p>
        </w:tc>
      </w:tr>
    </w:tbl>
    <w:p w14:paraId="64A895DE" w14:textId="77777777" w:rsidR="008D6614" w:rsidRDefault="008D6614">
      <w:pPr>
        <w:jc w:val="center"/>
      </w:pPr>
    </w:p>
    <w:p w14:paraId="64A895DF" w14:textId="77777777" w:rsidR="008D6614" w:rsidRDefault="00866AF2">
      <w:r>
        <w:rPr>
          <w:rFonts w:ascii="Arial" w:eastAsia="宋体" w:hAnsi="Arial" w:cs="Arial"/>
          <w:b/>
          <w:bCs/>
          <w:color w:val="000000"/>
          <w:sz w:val="20"/>
          <w:szCs w:val="20"/>
        </w:rPr>
        <w:t>Note 6 — Segments</w:t>
      </w:r>
    </w:p>
    <w:p w14:paraId="64A895E0" w14:textId="77777777" w:rsidR="008D6614" w:rsidRDefault="008D6614"/>
    <w:p w14:paraId="64A895E1" w14:textId="77777777" w:rsidR="008D6614" w:rsidRDefault="00866AF2">
      <w:pPr>
        <w:ind w:firstLine="540"/>
        <w:jc w:val="both"/>
      </w:pPr>
      <w:r>
        <w:rPr>
          <w:rFonts w:ascii="Arial" w:eastAsia="宋体" w:hAnsi="Arial" w:cs="Arial"/>
          <w:color w:val="000000"/>
          <w:sz w:val="20"/>
          <w:szCs w:val="20"/>
        </w:rPr>
        <w:t>We have two reportable segments to reflect the way management and our CODM review and assess performance of the business. During the first quarter of 2020, we classified the results of our previous StubHub segment as discontinued operations in our condense</w:t>
      </w:r>
      <w:r>
        <w:rPr>
          <w:rFonts w:ascii="Arial" w:eastAsia="宋体" w:hAnsi="Arial" w:cs="Arial"/>
          <w:color w:val="000000"/>
          <w:sz w:val="20"/>
          <w:szCs w:val="20"/>
        </w:rPr>
        <w:t>d consolidated statement of income for all prior periods presented. Our two reportable segments are Marketplace and Classifieds. Marketplace includes our online marketplace located at www.ebay.com, its localized counterparts and the eBay suite of mobile ap</w:t>
      </w:r>
      <w:r>
        <w:rPr>
          <w:rFonts w:ascii="Arial" w:eastAsia="宋体" w:hAnsi="Arial" w:cs="Arial"/>
          <w:color w:val="000000"/>
          <w:sz w:val="20"/>
          <w:szCs w:val="20"/>
        </w:rPr>
        <w:t>ps. Classifieds includes a collection of brands such as mobile.de, Kijiji, Gumtree, Marktplaats, eBay Kleinanzeigen and others. The accounting policies of our segments are the same as those described in “Note 1 – The Company and Summary of Significant Acco</w:t>
      </w:r>
      <w:r>
        <w:rPr>
          <w:rFonts w:ascii="Arial" w:eastAsia="宋体" w:hAnsi="Arial" w:cs="Arial"/>
          <w:color w:val="000000"/>
          <w:sz w:val="20"/>
          <w:szCs w:val="20"/>
        </w:rPr>
        <w:t xml:space="preserve">unting Policies”. Prior period segment information has been reclassified to conform to the current period segment presentation. </w:t>
      </w:r>
    </w:p>
    <w:p w14:paraId="64A895E2" w14:textId="77777777" w:rsidR="008D6614" w:rsidRDefault="008D6614">
      <w:pPr>
        <w:ind w:firstLine="540"/>
        <w:jc w:val="both"/>
      </w:pPr>
    </w:p>
    <w:p w14:paraId="64A895E3" w14:textId="77777777" w:rsidR="008D6614" w:rsidRDefault="00866AF2">
      <w:pPr>
        <w:ind w:firstLine="540"/>
        <w:jc w:val="both"/>
      </w:pPr>
      <w:r>
        <w:rPr>
          <w:rFonts w:ascii="Arial" w:eastAsia="宋体" w:hAnsi="Arial" w:cs="Arial"/>
          <w:color w:val="000000"/>
          <w:sz w:val="20"/>
          <w:szCs w:val="20"/>
        </w:rPr>
        <w:t>Our reportable segments reflect the way management and our CODM review and assess performance of the business. Our CODM review</w:t>
      </w:r>
      <w:r>
        <w:rPr>
          <w:rFonts w:ascii="Arial" w:eastAsia="宋体" w:hAnsi="Arial" w:cs="Arial"/>
          <w:color w:val="000000"/>
          <w:sz w:val="20"/>
          <w:szCs w:val="20"/>
        </w:rPr>
        <w:t xml:space="preserve">s revenue and operating income (loss) for each reportable segment. Our CODM does not evaluate reportable segments using asset information. Corporate and other costs includes: (i) corporate management costs, such as human resources, finance and legal, that </w:t>
      </w:r>
      <w:r>
        <w:rPr>
          <w:rFonts w:ascii="Arial" w:eastAsia="宋体" w:hAnsi="Arial" w:cs="Arial"/>
          <w:color w:val="000000"/>
          <w:sz w:val="20"/>
          <w:szCs w:val="20"/>
        </w:rPr>
        <w:t>are not allocated to our segments; (ii) amortization of intangible assets; (iii) restructuring charges; (iv) stock-based compensation; and (v) results of operations of various initiatives that support all of our reportable segments.</w:t>
      </w:r>
    </w:p>
    <w:p w14:paraId="64A895E4" w14:textId="77777777" w:rsidR="008D6614" w:rsidRDefault="008D6614">
      <w:pPr>
        <w:ind w:firstLine="540"/>
        <w:jc w:val="both"/>
      </w:pPr>
    </w:p>
    <w:p w14:paraId="64A895E5" w14:textId="77777777" w:rsidR="008D6614" w:rsidRDefault="008D6614">
      <w:pPr>
        <w:ind w:firstLine="540"/>
        <w:jc w:val="both"/>
      </w:pPr>
    </w:p>
    <w:p w14:paraId="64A895E6" w14:textId="77777777" w:rsidR="008D6614" w:rsidRDefault="008D6614">
      <w:pPr>
        <w:jc w:val="center"/>
      </w:pPr>
    </w:p>
    <w:p w14:paraId="64A895E7" w14:textId="77777777" w:rsidR="008D6614" w:rsidRDefault="00866AF2">
      <w:pPr>
        <w:jc w:val="center"/>
      </w:pPr>
      <w:r>
        <w:rPr>
          <w:rFonts w:ascii="Arial" w:eastAsia="宋体" w:hAnsi="Arial" w:cs="Arial"/>
          <w:color w:val="000000"/>
          <w:sz w:val="20"/>
          <w:szCs w:val="20"/>
        </w:rPr>
        <w:t>14</w:t>
      </w:r>
    </w:p>
    <w:p w14:paraId="64A895E8" w14:textId="77777777" w:rsidR="008D6614" w:rsidRDefault="00866AF2">
      <w:r>
        <w:pict w14:anchorId="64A8B9EB">
          <v:rect id="_x0000_i1038" style="width:415.3pt;height:1.5pt" o:hralign="center" o:hrstd="t" o:hr="t" fillcolor="#a0a0a0" stroked="f"/>
        </w:pict>
      </w:r>
    </w:p>
    <w:p w14:paraId="64A895E9" w14:textId="77777777" w:rsidR="008D6614" w:rsidRDefault="008D6614">
      <w:pPr>
        <w:jc w:val="center"/>
      </w:pPr>
    </w:p>
    <w:p w14:paraId="64A895EA" w14:textId="77777777" w:rsidR="008D6614" w:rsidRDefault="00866AF2">
      <w:pPr>
        <w:jc w:val="center"/>
      </w:pPr>
      <w:r>
        <w:rPr>
          <w:rFonts w:ascii="Arial" w:eastAsia="宋体" w:hAnsi="Arial" w:cs="Arial"/>
          <w:b/>
          <w:bCs/>
          <w:color w:val="000000"/>
          <w:sz w:val="20"/>
          <w:szCs w:val="20"/>
        </w:rPr>
        <w:t>eBay Inc.</w:t>
      </w:r>
    </w:p>
    <w:p w14:paraId="64A895EB" w14:textId="77777777" w:rsidR="008D6614" w:rsidRDefault="00866AF2">
      <w:pPr>
        <w:spacing w:after="240"/>
        <w:jc w:val="center"/>
      </w:pPr>
      <w:r>
        <w:rPr>
          <w:rFonts w:ascii="Arial" w:eastAsia="宋体" w:hAnsi="Arial" w:cs="Arial"/>
          <w:b/>
          <w:bCs/>
          <w:color w:val="000000"/>
          <w:sz w:val="20"/>
          <w:szCs w:val="20"/>
        </w:rPr>
        <w:t>NOTE</w:t>
      </w:r>
      <w:r>
        <w:rPr>
          <w:rFonts w:ascii="Arial" w:eastAsia="宋体" w:hAnsi="Arial" w:cs="Arial"/>
          <w:b/>
          <w:bCs/>
          <w:color w:val="000000"/>
          <w:sz w:val="20"/>
          <w:szCs w:val="20"/>
        </w:rPr>
        <w:t>S TO CONDENSED CONSOLIDATED FINANCIAL STATEMENTS—(Continued)</w:t>
      </w:r>
    </w:p>
    <w:p w14:paraId="64A895EC" w14:textId="77777777" w:rsidR="008D6614" w:rsidRDefault="00866AF2">
      <w:pPr>
        <w:ind w:firstLine="540"/>
        <w:jc w:val="both"/>
      </w:pPr>
      <w:r>
        <w:rPr>
          <w:rFonts w:ascii="Arial" w:eastAsia="宋体" w:hAnsi="Arial" w:cs="Arial"/>
          <w:color w:val="000000"/>
          <w:sz w:val="20"/>
          <w:szCs w:val="20"/>
        </w:rPr>
        <w:t xml:space="preserve">Segment net revenue and operating income were as follows (in millions): </w:t>
      </w:r>
    </w:p>
    <w:tbl>
      <w:tblPr>
        <w:tblW w:w="4993" w:type="pct"/>
        <w:tblCellMar>
          <w:top w:w="15" w:type="dxa"/>
          <w:left w:w="15" w:type="dxa"/>
          <w:bottom w:w="15" w:type="dxa"/>
          <w:right w:w="15" w:type="dxa"/>
        </w:tblCellMar>
        <w:tblLook w:val="04A0" w:firstRow="1" w:lastRow="0" w:firstColumn="1" w:lastColumn="0" w:noHBand="0" w:noVBand="1"/>
      </w:tblPr>
      <w:tblGrid>
        <w:gridCol w:w="46"/>
        <w:gridCol w:w="5653"/>
        <w:gridCol w:w="47"/>
        <w:gridCol w:w="36"/>
        <w:gridCol w:w="36"/>
        <w:gridCol w:w="36"/>
        <w:gridCol w:w="36"/>
        <w:gridCol w:w="36"/>
        <w:gridCol w:w="36"/>
        <w:gridCol w:w="136"/>
        <w:gridCol w:w="797"/>
        <w:gridCol w:w="86"/>
        <w:gridCol w:w="36"/>
        <w:gridCol w:w="36"/>
        <w:gridCol w:w="36"/>
        <w:gridCol w:w="136"/>
        <w:gridCol w:w="797"/>
        <w:gridCol w:w="86"/>
        <w:gridCol w:w="36"/>
        <w:gridCol w:w="36"/>
        <w:gridCol w:w="36"/>
        <w:gridCol w:w="36"/>
        <w:gridCol w:w="36"/>
        <w:gridCol w:w="36"/>
      </w:tblGrid>
      <w:tr w:rsidR="008D6614" w14:paraId="64A895FF" w14:textId="77777777">
        <w:trPr>
          <w:gridAfter w:val="6"/>
        </w:trPr>
        <w:tc>
          <w:tcPr>
            <w:tcW w:w="50" w:type="pct"/>
            <w:shd w:val="clear" w:color="auto" w:fill="auto"/>
            <w:vAlign w:val="center"/>
          </w:tcPr>
          <w:p w14:paraId="64A895ED" w14:textId="77777777" w:rsidR="008D6614" w:rsidRDefault="008D6614">
            <w:pPr>
              <w:rPr>
                <w:rFonts w:ascii="宋体"/>
              </w:rPr>
            </w:pPr>
          </w:p>
        </w:tc>
        <w:tc>
          <w:tcPr>
            <w:tcW w:w="3553" w:type="pct"/>
            <w:shd w:val="clear" w:color="auto" w:fill="auto"/>
            <w:vAlign w:val="center"/>
          </w:tcPr>
          <w:p w14:paraId="64A895EE" w14:textId="77777777" w:rsidR="008D6614" w:rsidRDefault="008D6614">
            <w:pPr>
              <w:rPr>
                <w:rFonts w:ascii="宋体"/>
              </w:rPr>
            </w:pPr>
          </w:p>
        </w:tc>
        <w:tc>
          <w:tcPr>
            <w:tcW w:w="50" w:type="pct"/>
            <w:shd w:val="clear" w:color="auto" w:fill="auto"/>
            <w:vAlign w:val="center"/>
          </w:tcPr>
          <w:p w14:paraId="64A895EF" w14:textId="77777777" w:rsidR="008D6614" w:rsidRDefault="008D6614">
            <w:pPr>
              <w:rPr>
                <w:rFonts w:ascii="宋体"/>
              </w:rPr>
            </w:pPr>
          </w:p>
        </w:tc>
        <w:tc>
          <w:tcPr>
            <w:tcW w:w="0" w:type="auto"/>
            <w:shd w:val="clear" w:color="auto" w:fill="auto"/>
            <w:vAlign w:val="center"/>
          </w:tcPr>
          <w:p w14:paraId="64A895F0" w14:textId="77777777" w:rsidR="008D6614" w:rsidRDefault="008D6614">
            <w:pPr>
              <w:rPr>
                <w:rFonts w:ascii="宋体"/>
                <w:vanish/>
              </w:rPr>
            </w:pPr>
          </w:p>
        </w:tc>
        <w:tc>
          <w:tcPr>
            <w:tcW w:w="0" w:type="auto"/>
            <w:shd w:val="clear" w:color="auto" w:fill="auto"/>
            <w:vAlign w:val="center"/>
          </w:tcPr>
          <w:p w14:paraId="64A895F1" w14:textId="77777777" w:rsidR="008D6614" w:rsidRDefault="008D6614">
            <w:pPr>
              <w:rPr>
                <w:rFonts w:ascii="宋体"/>
                <w:vanish/>
              </w:rPr>
            </w:pPr>
          </w:p>
        </w:tc>
        <w:tc>
          <w:tcPr>
            <w:tcW w:w="0" w:type="auto"/>
            <w:shd w:val="clear" w:color="auto" w:fill="auto"/>
            <w:vAlign w:val="center"/>
          </w:tcPr>
          <w:p w14:paraId="64A895F2" w14:textId="77777777" w:rsidR="008D6614" w:rsidRDefault="008D6614">
            <w:pPr>
              <w:rPr>
                <w:rFonts w:ascii="宋体"/>
                <w:vanish/>
              </w:rPr>
            </w:pPr>
          </w:p>
        </w:tc>
        <w:tc>
          <w:tcPr>
            <w:tcW w:w="5" w:type="pct"/>
            <w:shd w:val="clear" w:color="auto" w:fill="auto"/>
            <w:vAlign w:val="center"/>
          </w:tcPr>
          <w:p w14:paraId="64A895F3" w14:textId="77777777" w:rsidR="008D6614" w:rsidRDefault="008D6614">
            <w:pPr>
              <w:rPr>
                <w:rFonts w:ascii="宋体"/>
              </w:rPr>
            </w:pPr>
          </w:p>
        </w:tc>
        <w:tc>
          <w:tcPr>
            <w:tcW w:w="26" w:type="pct"/>
            <w:shd w:val="clear" w:color="auto" w:fill="auto"/>
            <w:vAlign w:val="center"/>
          </w:tcPr>
          <w:p w14:paraId="64A895F4" w14:textId="77777777" w:rsidR="008D6614" w:rsidRDefault="008D6614">
            <w:pPr>
              <w:rPr>
                <w:rFonts w:ascii="宋体"/>
              </w:rPr>
            </w:pPr>
          </w:p>
        </w:tc>
        <w:tc>
          <w:tcPr>
            <w:tcW w:w="5" w:type="pct"/>
            <w:shd w:val="clear" w:color="auto" w:fill="auto"/>
            <w:vAlign w:val="center"/>
          </w:tcPr>
          <w:p w14:paraId="64A895F5" w14:textId="77777777" w:rsidR="008D6614" w:rsidRDefault="008D6614">
            <w:pPr>
              <w:rPr>
                <w:rFonts w:ascii="宋体"/>
              </w:rPr>
            </w:pPr>
          </w:p>
        </w:tc>
        <w:tc>
          <w:tcPr>
            <w:tcW w:w="50" w:type="pct"/>
            <w:shd w:val="clear" w:color="auto" w:fill="auto"/>
            <w:vAlign w:val="center"/>
          </w:tcPr>
          <w:p w14:paraId="64A895F6" w14:textId="77777777" w:rsidR="008D6614" w:rsidRDefault="008D6614">
            <w:pPr>
              <w:rPr>
                <w:rFonts w:ascii="宋体"/>
              </w:rPr>
            </w:pPr>
          </w:p>
        </w:tc>
        <w:tc>
          <w:tcPr>
            <w:tcW w:w="536" w:type="pct"/>
            <w:shd w:val="clear" w:color="auto" w:fill="auto"/>
            <w:vAlign w:val="center"/>
          </w:tcPr>
          <w:p w14:paraId="64A895F7" w14:textId="77777777" w:rsidR="008D6614" w:rsidRDefault="008D6614">
            <w:pPr>
              <w:rPr>
                <w:rFonts w:ascii="宋体"/>
              </w:rPr>
            </w:pPr>
          </w:p>
        </w:tc>
        <w:tc>
          <w:tcPr>
            <w:tcW w:w="50" w:type="pct"/>
            <w:shd w:val="clear" w:color="auto" w:fill="auto"/>
            <w:vAlign w:val="center"/>
          </w:tcPr>
          <w:p w14:paraId="64A895F8" w14:textId="77777777" w:rsidR="008D6614" w:rsidRDefault="008D6614">
            <w:pPr>
              <w:rPr>
                <w:rFonts w:ascii="宋体"/>
              </w:rPr>
            </w:pPr>
          </w:p>
        </w:tc>
        <w:tc>
          <w:tcPr>
            <w:tcW w:w="5" w:type="pct"/>
            <w:shd w:val="clear" w:color="auto" w:fill="auto"/>
            <w:vAlign w:val="center"/>
          </w:tcPr>
          <w:p w14:paraId="64A895F9" w14:textId="77777777" w:rsidR="008D6614" w:rsidRDefault="008D6614">
            <w:pPr>
              <w:rPr>
                <w:rFonts w:ascii="宋体"/>
              </w:rPr>
            </w:pPr>
          </w:p>
        </w:tc>
        <w:tc>
          <w:tcPr>
            <w:tcW w:w="26" w:type="pct"/>
            <w:shd w:val="clear" w:color="auto" w:fill="auto"/>
            <w:vAlign w:val="center"/>
          </w:tcPr>
          <w:p w14:paraId="64A895FA" w14:textId="77777777" w:rsidR="008D6614" w:rsidRDefault="008D6614">
            <w:pPr>
              <w:rPr>
                <w:rFonts w:ascii="宋体"/>
              </w:rPr>
            </w:pPr>
          </w:p>
        </w:tc>
        <w:tc>
          <w:tcPr>
            <w:tcW w:w="5" w:type="pct"/>
            <w:shd w:val="clear" w:color="auto" w:fill="auto"/>
            <w:vAlign w:val="center"/>
          </w:tcPr>
          <w:p w14:paraId="64A895FB" w14:textId="77777777" w:rsidR="008D6614" w:rsidRDefault="008D6614">
            <w:pPr>
              <w:rPr>
                <w:rFonts w:ascii="宋体"/>
              </w:rPr>
            </w:pPr>
          </w:p>
        </w:tc>
        <w:tc>
          <w:tcPr>
            <w:tcW w:w="50" w:type="pct"/>
            <w:shd w:val="clear" w:color="auto" w:fill="auto"/>
            <w:vAlign w:val="center"/>
          </w:tcPr>
          <w:p w14:paraId="64A895FC" w14:textId="77777777" w:rsidR="008D6614" w:rsidRDefault="008D6614">
            <w:pPr>
              <w:rPr>
                <w:rFonts w:ascii="宋体"/>
              </w:rPr>
            </w:pPr>
          </w:p>
        </w:tc>
        <w:tc>
          <w:tcPr>
            <w:tcW w:w="536" w:type="pct"/>
            <w:shd w:val="clear" w:color="auto" w:fill="auto"/>
            <w:vAlign w:val="center"/>
          </w:tcPr>
          <w:p w14:paraId="64A895FD" w14:textId="77777777" w:rsidR="008D6614" w:rsidRDefault="008D6614">
            <w:pPr>
              <w:rPr>
                <w:rFonts w:ascii="宋体"/>
              </w:rPr>
            </w:pPr>
          </w:p>
        </w:tc>
        <w:tc>
          <w:tcPr>
            <w:tcW w:w="50" w:type="pct"/>
            <w:shd w:val="clear" w:color="auto" w:fill="auto"/>
            <w:vAlign w:val="center"/>
          </w:tcPr>
          <w:p w14:paraId="64A895FE" w14:textId="77777777" w:rsidR="008D6614" w:rsidRDefault="008D6614">
            <w:pPr>
              <w:rPr>
                <w:rFonts w:ascii="宋体"/>
              </w:rPr>
            </w:pPr>
          </w:p>
        </w:tc>
      </w:tr>
      <w:tr w:rsidR="008D6614" w14:paraId="64A89608" w14:textId="77777777">
        <w:tc>
          <w:tcPr>
            <w:tcW w:w="0" w:type="auto"/>
            <w:gridSpan w:val="3"/>
            <w:shd w:val="clear" w:color="auto" w:fill="auto"/>
            <w:tcMar>
              <w:top w:w="40" w:type="dxa"/>
              <w:left w:w="135" w:type="dxa"/>
              <w:bottom w:w="40" w:type="dxa"/>
              <w:right w:w="20" w:type="dxa"/>
            </w:tcMar>
            <w:vAlign w:val="bottom"/>
          </w:tcPr>
          <w:p w14:paraId="64A89600"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9601" w14:textId="77777777" w:rsidR="008D6614" w:rsidRDefault="008D6614">
            <w:pPr>
              <w:rPr>
                <w:rFonts w:ascii="宋体"/>
                <w:vanish/>
              </w:rPr>
            </w:pPr>
          </w:p>
        </w:tc>
        <w:tc>
          <w:tcPr>
            <w:tcW w:w="0" w:type="auto"/>
            <w:shd w:val="clear" w:color="auto" w:fill="auto"/>
            <w:vAlign w:val="center"/>
          </w:tcPr>
          <w:p w14:paraId="64A89602" w14:textId="77777777" w:rsidR="008D6614" w:rsidRDefault="008D6614">
            <w:pPr>
              <w:rPr>
                <w:rFonts w:ascii="宋体"/>
                <w:vanish/>
              </w:rPr>
            </w:pPr>
          </w:p>
        </w:tc>
        <w:tc>
          <w:tcPr>
            <w:tcW w:w="0" w:type="auto"/>
            <w:shd w:val="clear" w:color="auto" w:fill="auto"/>
            <w:vAlign w:val="center"/>
          </w:tcPr>
          <w:p w14:paraId="64A89603"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604"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9605"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vAlign w:val="center"/>
          </w:tcPr>
          <w:p w14:paraId="64A89606" w14:textId="77777777" w:rsidR="008D6614" w:rsidRDefault="008D6614">
            <w:pPr>
              <w:rPr>
                <w:rFonts w:ascii="宋体"/>
                <w:vanish/>
              </w:rPr>
            </w:pPr>
          </w:p>
        </w:tc>
        <w:tc>
          <w:tcPr>
            <w:tcW w:w="0" w:type="auto"/>
            <w:gridSpan w:val="3"/>
            <w:shd w:val="clear" w:color="auto" w:fill="auto"/>
            <w:vAlign w:val="center"/>
          </w:tcPr>
          <w:p w14:paraId="64A89607" w14:textId="77777777" w:rsidR="008D6614" w:rsidRDefault="008D6614">
            <w:pPr>
              <w:rPr>
                <w:rFonts w:ascii="宋体"/>
                <w:vanish/>
              </w:rPr>
            </w:pPr>
          </w:p>
        </w:tc>
      </w:tr>
      <w:tr w:rsidR="008D6614" w14:paraId="64A89617" w14:textId="77777777">
        <w:tc>
          <w:tcPr>
            <w:tcW w:w="0" w:type="auto"/>
            <w:gridSpan w:val="3"/>
            <w:shd w:val="clear" w:color="auto" w:fill="auto"/>
            <w:tcMar>
              <w:top w:w="40" w:type="dxa"/>
              <w:left w:w="20" w:type="dxa"/>
              <w:bottom w:w="40" w:type="dxa"/>
              <w:right w:w="20" w:type="dxa"/>
            </w:tcMar>
            <w:vAlign w:val="bottom"/>
          </w:tcPr>
          <w:p w14:paraId="64A89609"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960A" w14:textId="77777777" w:rsidR="008D6614" w:rsidRDefault="008D6614">
            <w:pPr>
              <w:rPr>
                <w:rFonts w:ascii="宋体"/>
                <w:vanish/>
              </w:rPr>
            </w:pPr>
          </w:p>
        </w:tc>
        <w:tc>
          <w:tcPr>
            <w:tcW w:w="0" w:type="auto"/>
            <w:shd w:val="clear" w:color="auto" w:fill="auto"/>
            <w:vAlign w:val="center"/>
          </w:tcPr>
          <w:p w14:paraId="64A8960B" w14:textId="77777777" w:rsidR="008D6614" w:rsidRDefault="008D6614">
            <w:pPr>
              <w:rPr>
                <w:rFonts w:ascii="宋体"/>
                <w:vanish/>
              </w:rPr>
            </w:pPr>
          </w:p>
        </w:tc>
        <w:tc>
          <w:tcPr>
            <w:tcW w:w="0" w:type="auto"/>
            <w:shd w:val="clear" w:color="auto" w:fill="auto"/>
            <w:vAlign w:val="center"/>
          </w:tcPr>
          <w:p w14:paraId="64A8960C"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60D"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60E"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64A8960F"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610"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9611" w14:textId="77777777" w:rsidR="008D6614" w:rsidRDefault="008D6614">
            <w:pPr>
              <w:rPr>
                <w:rFonts w:ascii="宋体"/>
              </w:rPr>
            </w:pPr>
          </w:p>
        </w:tc>
        <w:tc>
          <w:tcPr>
            <w:tcW w:w="0" w:type="auto"/>
            <w:shd w:val="clear" w:color="auto" w:fill="auto"/>
            <w:vAlign w:val="center"/>
          </w:tcPr>
          <w:p w14:paraId="64A89612" w14:textId="77777777" w:rsidR="008D6614" w:rsidRDefault="008D6614">
            <w:pPr>
              <w:rPr>
                <w:rFonts w:ascii="宋体"/>
              </w:rPr>
            </w:pPr>
          </w:p>
        </w:tc>
        <w:tc>
          <w:tcPr>
            <w:tcW w:w="0" w:type="auto"/>
            <w:shd w:val="clear" w:color="auto" w:fill="auto"/>
            <w:vAlign w:val="center"/>
          </w:tcPr>
          <w:p w14:paraId="64A89613" w14:textId="77777777" w:rsidR="008D6614" w:rsidRDefault="008D6614">
            <w:pPr>
              <w:rPr>
                <w:rFonts w:ascii="宋体"/>
              </w:rPr>
            </w:pPr>
          </w:p>
        </w:tc>
        <w:tc>
          <w:tcPr>
            <w:tcW w:w="0" w:type="auto"/>
            <w:shd w:val="clear" w:color="auto" w:fill="auto"/>
            <w:vAlign w:val="center"/>
          </w:tcPr>
          <w:p w14:paraId="64A89614" w14:textId="77777777" w:rsidR="008D6614" w:rsidRDefault="008D6614">
            <w:pPr>
              <w:rPr>
                <w:rFonts w:ascii="宋体"/>
              </w:rPr>
            </w:pPr>
          </w:p>
        </w:tc>
        <w:tc>
          <w:tcPr>
            <w:tcW w:w="0" w:type="auto"/>
            <w:shd w:val="clear" w:color="auto" w:fill="auto"/>
            <w:vAlign w:val="center"/>
          </w:tcPr>
          <w:p w14:paraId="64A89615" w14:textId="77777777" w:rsidR="008D6614" w:rsidRDefault="008D6614">
            <w:pPr>
              <w:rPr>
                <w:rFonts w:ascii="宋体"/>
              </w:rPr>
            </w:pPr>
          </w:p>
        </w:tc>
        <w:tc>
          <w:tcPr>
            <w:tcW w:w="0" w:type="auto"/>
            <w:shd w:val="clear" w:color="auto" w:fill="auto"/>
            <w:vAlign w:val="center"/>
          </w:tcPr>
          <w:p w14:paraId="64A89616" w14:textId="77777777" w:rsidR="008D6614" w:rsidRDefault="008D6614">
            <w:pPr>
              <w:rPr>
                <w:rFonts w:ascii="宋体"/>
              </w:rPr>
            </w:pPr>
          </w:p>
        </w:tc>
      </w:tr>
      <w:tr w:rsidR="008D6614" w14:paraId="64A89626" w14:textId="77777777">
        <w:tc>
          <w:tcPr>
            <w:tcW w:w="0" w:type="auto"/>
            <w:gridSpan w:val="3"/>
            <w:shd w:val="clear" w:color="auto" w:fill="E2E2E2"/>
            <w:tcMar>
              <w:top w:w="40" w:type="dxa"/>
              <w:left w:w="20" w:type="dxa"/>
              <w:bottom w:w="40" w:type="dxa"/>
              <w:right w:w="20" w:type="dxa"/>
            </w:tcMar>
            <w:vAlign w:val="bottom"/>
          </w:tcPr>
          <w:p w14:paraId="64A89618" w14:textId="77777777" w:rsidR="008D6614" w:rsidRDefault="00866AF2">
            <w:pPr>
              <w:textAlignment w:val="bottom"/>
            </w:pPr>
            <w:r>
              <w:rPr>
                <w:rFonts w:ascii="Arial" w:eastAsia="宋体" w:hAnsi="Arial" w:cs="Arial"/>
                <w:b/>
                <w:bCs/>
                <w:color w:val="000000"/>
                <w:sz w:val="18"/>
                <w:szCs w:val="18"/>
              </w:rPr>
              <w:t>Net Revenues</w:t>
            </w:r>
          </w:p>
        </w:tc>
        <w:tc>
          <w:tcPr>
            <w:tcW w:w="0" w:type="auto"/>
            <w:shd w:val="clear" w:color="auto" w:fill="auto"/>
            <w:vAlign w:val="center"/>
          </w:tcPr>
          <w:p w14:paraId="64A89619" w14:textId="77777777" w:rsidR="008D6614" w:rsidRDefault="008D6614">
            <w:pPr>
              <w:rPr>
                <w:rFonts w:ascii="宋体"/>
                <w:vanish/>
              </w:rPr>
            </w:pPr>
          </w:p>
        </w:tc>
        <w:tc>
          <w:tcPr>
            <w:tcW w:w="0" w:type="auto"/>
            <w:shd w:val="clear" w:color="auto" w:fill="auto"/>
            <w:vAlign w:val="center"/>
          </w:tcPr>
          <w:p w14:paraId="64A8961A" w14:textId="77777777" w:rsidR="008D6614" w:rsidRDefault="008D6614">
            <w:pPr>
              <w:rPr>
                <w:rFonts w:ascii="宋体"/>
                <w:vanish/>
              </w:rPr>
            </w:pPr>
          </w:p>
        </w:tc>
        <w:tc>
          <w:tcPr>
            <w:tcW w:w="0" w:type="auto"/>
            <w:shd w:val="clear" w:color="auto" w:fill="auto"/>
            <w:vAlign w:val="center"/>
          </w:tcPr>
          <w:p w14:paraId="64A8961B"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61C"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61D"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61E"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61F" w14:textId="77777777" w:rsidR="008D6614" w:rsidRDefault="008D6614">
            <w:pPr>
              <w:rPr>
                <w:rFonts w:ascii="宋体"/>
              </w:rPr>
            </w:pPr>
          </w:p>
        </w:tc>
        <w:tc>
          <w:tcPr>
            <w:tcW w:w="0" w:type="auto"/>
            <w:shd w:val="clear" w:color="auto" w:fill="auto"/>
            <w:vAlign w:val="center"/>
          </w:tcPr>
          <w:p w14:paraId="64A89620" w14:textId="77777777" w:rsidR="008D6614" w:rsidRDefault="008D6614">
            <w:pPr>
              <w:rPr>
                <w:rFonts w:ascii="宋体"/>
              </w:rPr>
            </w:pPr>
          </w:p>
        </w:tc>
        <w:tc>
          <w:tcPr>
            <w:tcW w:w="0" w:type="auto"/>
            <w:shd w:val="clear" w:color="auto" w:fill="auto"/>
            <w:vAlign w:val="center"/>
          </w:tcPr>
          <w:p w14:paraId="64A89621" w14:textId="77777777" w:rsidR="008D6614" w:rsidRDefault="008D6614">
            <w:pPr>
              <w:rPr>
                <w:rFonts w:ascii="宋体"/>
              </w:rPr>
            </w:pPr>
          </w:p>
        </w:tc>
        <w:tc>
          <w:tcPr>
            <w:tcW w:w="0" w:type="auto"/>
            <w:shd w:val="clear" w:color="auto" w:fill="auto"/>
            <w:vAlign w:val="center"/>
          </w:tcPr>
          <w:p w14:paraId="64A89622" w14:textId="77777777" w:rsidR="008D6614" w:rsidRDefault="008D6614">
            <w:pPr>
              <w:rPr>
                <w:rFonts w:ascii="宋体"/>
              </w:rPr>
            </w:pPr>
          </w:p>
        </w:tc>
        <w:tc>
          <w:tcPr>
            <w:tcW w:w="0" w:type="auto"/>
            <w:shd w:val="clear" w:color="auto" w:fill="auto"/>
            <w:vAlign w:val="center"/>
          </w:tcPr>
          <w:p w14:paraId="64A89623" w14:textId="77777777" w:rsidR="008D6614" w:rsidRDefault="008D6614">
            <w:pPr>
              <w:rPr>
                <w:rFonts w:ascii="宋体"/>
              </w:rPr>
            </w:pPr>
          </w:p>
        </w:tc>
        <w:tc>
          <w:tcPr>
            <w:tcW w:w="0" w:type="auto"/>
            <w:shd w:val="clear" w:color="auto" w:fill="auto"/>
            <w:vAlign w:val="center"/>
          </w:tcPr>
          <w:p w14:paraId="64A89624" w14:textId="77777777" w:rsidR="008D6614" w:rsidRDefault="008D6614">
            <w:pPr>
              <w:rPr>
                <w:rFonts w:ascii="宋体"/>
              </w:rPr>
            </w:pPr>
          </w:p>
        </w:tc>
        <w:tc>
          <w:tcPr>
            <w:tcW w:w="0" w:type="auto"/>
            <w:shd w:val="clear" w:color="auto" w:fill="auto"/>
            <w:vAlign w:val="center"/>
          </w:tcPr>
          <w:p w14:paraId="64A89625" w14:textId="77777777" w:rsidR="008D6614" w:rsidRDefault="008D6614">
            <w:pPr>
              <w:rPr>
                <w:rFonts w:ascii="宋体"/>
              </w:rPr>
            </w:pPr>
          </w:p>
        </w:tc>
      </w:tr>
      <w:tr w:rsidR="008D6614" w14:paraId="64A89635" w14:textId="77777777">
        <w:tc>
          <w:tcPr>
            <w:tcW w:w="0" w:type="auto"/>
            <w:gridSpan w:val="3"/>
            <w:shd w:val="clear" w:color="auto" w:fill="FFFFFF"/>
            <w:tcMar>
              <w:top w:w="40" w:type="dxa"/>
              <w:left w:w="20" w:type="dxa"/>
              <w:bottom w:w="40" w:type="dxa"/>
              <w:right w:w="20" w:type="dxa"/>
            </w:tcMar>
            <w:vAlign w:val="bottom"/>
          </w:tcPr>
          <w:p w14:paraId="64A89627" w14:textId="77777777" w:rsidR="008D6614" w:rsidRDefault="00866AF2">
            <w:pPr>
              <w:textAlignment w:val="bottom"/>
            </w:pPr>
            <w:r>
              <w:rPr>
                <w:rFonts w:ascii="Arial" w:eastAsia="宋体" w:hAnsi="Arial" w:cs="Arial"/>
                <w:color w:val="000000"/>
                <w:sz w:val="18"/>
                <w:szCs w:val="18"/>
              </w:rPr>
              <w:t>Marketplace</w:t>
            </w:r>
          </w:p>
        </w:tc>
        <w:tc>
          <w:tcPr>
            <w:tcW w:w="0" w:type="auto"/>
            <w:shd w:val="clear" w:color="auto" w:fill="auto"/>
            <w:vAlign w:val="center"/>
          </w:tcPr>
          <w:p w14:paraId="64A89628" w14:textId="77777777" w:rsidR="008D6614" w:rsidRDefault="008D6614">
            <w:pPr>
              <w:rPr>
                <w:rFonts w:ascii="宋体"/>
                <w:vanish/>
              </w:rPr>
            </w:pPr>
          </w:p>
        </w:tc>
        <w:tc>
          <w:tcPr>
            <w:tcW w:w="0" w:type="auto"/>
            <w:shd w:val="clear" w:color="auto" w:fill="auto"/>
            <w:vAlign w:val="center"/>
          </w:tcPr>
          <w:p w14:paraId="64A89629" w14:textId="77777777" w:rsidR="008D6614" w:rsidRDefault="008D6614">
            <w:pPr>
              <w:rPr>
                <w:rFonts w:ascii="宋体"/>
                <w:vanish/>
              </w:rPr>
            </w:pPr>
          </w:p>
        </w:tc>
        <w:tc>
          <w:tcPr>
            <w:tcW w:w="0" w:type="auto"/>
            <w:shd w:val="clear" w:color="auto" w:fill="auto"/>
            <w:vAlign w:val="center"/>
          </w:tcPr>
          <w:p w14:paraId="64A8962A"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62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62C"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62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62E" w14:textId="77777777" w:rsidR="008D6614" w:rsidRDefault="008D6614">
            <w:pPr>
              <w:rPr>
                <w:rFonts w:ascii="宋体"/>
              </w:rPr>
            </w:pPr>
          </w:p>
        </w:tc>
        <w:tc>
          <w:tcPr>
            <w:tcW w:w="0" w:type="auto"/>
            <w:shd w:val="clear" w:color="auto" w:fill="auto"/>
            <w:vAlign w:val="center"/>
          </w:tcPr>
          <w:p w14:paraId="64A8962F" w14:textId="77777777" w:rsidR="008D6614" w:rsidRDefault="008D6614">
            <w:pPr>
              <w:rPr>
                <w:rFonts w:ascii="宋体"/>
              </w:rPr>
            </w:pPr>
          </w:p>
        </w:tc>
        <w:tc>
          <w:tcPr>
            <w:tcW w:w="0" w:type="auto"/>
            <w:shd w:val="clear" w:color="auto" w:fill="auto"/>
            <w:vAlign w:val="center"/>
          </w:tcPr>
          <w:p w14:paraId="64A89630" w14:textId="77777777" w:rsidR="008D6614" w:rsidRDefault="008D6614">
            <w:pPr>
              <w:rPr>
                <w:rFonts w:ascii="宋体"/>
              </w:rPr>
            </w:pPr>
          </w:p>
        </w:tc>
        <w:tc>
          <w:tcPr>
            <w:tcW w:w="0" w:type="auto"/>
            <w:shd w:val="clear" w:color="auto" w:fill="auto"/>
            <w:vAlign w:val="center"/>
          </w:tcPr>
          <w:p w14:paraId="64A89631" w14:textId="77777777" w:rsidR="008D6614" w:rsidRDefault="008D6614">
            <w:pPr>
              <w:rPr>
                <w:rFonts w:ascii="宋体"/>
              </w:rPr>
            </w:pPr>
          </w:p>
        </w:tc>
        <w:tc>
          <w:tcPr>
            <w:tcW w:w="0" w:type="auto"/>
            <w:shd w:val="clear" w:color="auto" w:fill="auto"/>
            <w:vAlign w:val="center"/>
          </w:tcPr>
          <w:p w14:paraId="64A89632" w14:textId="77777777" w:rsidR="008D6614" w:rsidRDefault="008D6614">
            <w:pPr>
              <w:rPr>
                <w:rFonts w:ascii="宋体"/>
              </w:rPr>
            </w:pPr>
          </w:p>
        </w:tc>
        <w:tc>
          <w:tcPr>
            <w:tcW w:w="0" w:type="auto"/>
            <w:shd w:val="clear" w:color="auto" w:fill="auto"/>
            <w:vAlign w:val="center"/>
          </w:tcPr>
          <w:p w14:paraId="64A89633" w14:textId="77777777" w:rsidR="008D6614" w:rsidRDefault="008D6614">
            <w:pPr>
              <w:rPr>
                <w:rFonts w:ascii="宋体"/>
              </w:rPr>
            </w:pPr>
          </w:p>
        </w:tc>
        <w:tc>
          <w:tcPr>
            <w:tcW w:w="0" w:type="auto"/>
            <w:shd w:val="clear" w:color="auto" w:fill="auto"/>
            <w:vAlign w:val="center"/>
          </w:tcPr>
          <w:p w14:paraId="64A89634" w14:textId="77777777" w:rsidR="008D6614" w:rsidRDefault="008D6614">
            <w:pPr>
              <w:rPr>
                <w:rFonts w:ascii="宋体"/>
              </w:rPr>
            </w:pPr>
          </w:p>
        </w:tc>
      </w:tr>
      <w:tr w:rsidR="008D6614" w14:paraId="64A89648" w14:textId="77777777">
        <w:tc>
          <w:tcPr>
            <w:tcW w:w="0" w:type="auto"/>
            <w:gridSpan w:val="3"/>
            <w:shd w:val="clear" w:color="auto" w:fill="E2E2E2"/>
            <w:tcMar>
              <w:top w:w="40" w:type="dxa"/>
              <w:left w:w="135" w:type="dxa"/>
              <w:bottom w:w="40" w:type="dxa"/>
              <w:right w:w="20" w:type="dxa"/>
            </w:tcMar>
            <w:vAlign w:val="bottom"/>
          </w:tcPr>
          <w:p w14:paraId="64A89636" w14:textId="77777777" w:rsidR="008D6614" w:rsidRDefault="00866AF2">
            <w:pPr>
              <w:textAlignment w:val="bottom"/>
            </w:pPr>
            <w:r>
              <w:rPr>
                <w:rFonts w:ascii="Arial" w:eastAsia="宋体" w:hAnsi="Arial" w:cs="Arial"/>
                <w:color w:val="000000"/>
                <w:sz w:val="18"/>
                <w:szCs w:val="18"/>
              </w:rPr>
              <w:t>Net transaction revenues</w:t>
            </w:r>
          </w:p>
        </w:tc>
        <w:tc>
          <w:tcPr>
            <w:tcW w:w="0" w:type="auto"/>
            <w:shd w:val="clear" w:color="auto" w:fill="auto"/>
            <w:vAlign w:val="center"/>
          </w:tcPr>
          <w:p w14:paraId="64A89637" w14:textId="77777777" w:rsidR="008D6614" w:rsidRDefault="008D6614">
            <w:pPr>
              <w:rPr>
                <w:rFonts w:ascii="宋体"/>
                <w:vanish/>
              </w:rPr>
            </w:pPr>
          </w:p>
        </w:tc>
        <w:tc>
          <w:tcPr>
            <w:tcW w:w="0" w:type="auto"/>
            <w:shd w:val="clear" w:color="auto" w:fill="auto"/>
            <w:vAlign w:val="center"/>
          </w:tcPr>
          <w:p w14:paraId="64A89638" w14:textId="77777777" w:rsidR="008D6614" w:rsidRDefault="008D6614">
            <w:pPr>
              <w:rPr>
                <w:rFonts w:ascii="宋体"/>
                <w:vanish/>
              </w:rPr>
            </w:pPr>
          </w:p>
        </w:tc>
        <w:tc>
          <w:tcPr>
            <w:tcW w:w="0" w:type="auto"/>
            <w:shd w:val="clear" w:color="auto" w:fill="auto"/>
            <w:vAlign w:val="center"/>
          </w:tcPr>
          <w:p w14:paraId="64A89639"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63A"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963B"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63C" w14:textId="77777777" w:rsidR="008D6614" w:rsidRDefault="00866AF2">
            <w:pPr>
              <w:jc w:val="right"/>
              <w:textAlignment w:val="bottom"/>
            </w:pPr>
            <w:r>
              <w:rPr>
                <w:rFonts w:ascii="Arial" w:eastAsia="宋体" w:hAnsi="Arial" w:cs="Arial"/>
                <w:color w:val="000000"/>
                <w:sz w:val="18"/>
                <w:szCs w:val="18"/>
              </w:rPr>
              <w:t>1,900 </w:t>
            </w:r>
          </w:p>
        </w:tc>
        <w:tc>
          <w:tcPr>
            <w:tcW w:w="0" w:type="auto"/>
            <w:shd w:val="clear" w:color="auto" w:fill="E2E2E2"/>
            <w:tcMar>
              <w:top w:w="40" w:type="dxa"/>
              <w:bottom w:w="40" w:type="dxa"/>
              <w:right w:w="20" w:type="dxa"/>
            </w:tcMar>
            <w:vAlign w:val="bottom"/>
          </w:tcPr>
          <w:p w14:paraId="64A8963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63E"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963F"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640" w14:textId="77777777" w:rsidR="008D6614" w:rsidRDefault="00866AF2">
            <w:pPr>
              <w:jc w:val="right"/>
              <w:textAlignment w:val="bottom"/>
            </w:pPr>
            <w:r>
              <w:rPr>
                <w:rFonts w:ascii="Arial" w:eastAsia="宋体" w:hAnsi="Arial" w:cs="Arial"/>
                <w:color w:val="000000"/>
                <w:sz w:val="18"/>
                <w:szCs w:val="18"/>
              </w:rPr>
              <w:t>1,885 </w:t>
            </w:r>
          </w:p>
        </w:tc>
        <w:tc>
          <w:tcPr>
            <w:tcW w:w="0" w:type="auto"/>
            <w:shd w:val="clear" w:color="auto" w:fill="E2E2E2"/>
            <w:tcMar>
              <w:top w:w="40" w:type="dxa"/>
              <w:bottom w:w="40" w:type="dxa"/>
              <w:right w:w="20" w:type="dxa"/>
            </w:tcMar>
            <w:vAlign w:val="bottom"/>
          </w:tcPr>
          <w:p w14:paraId="64A8964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642" w14:textId="77777777" w:rsidR="008D6614" w:rsidRDefault="008D6614">
            <w:pPr>
              <w:rPr>
                <w:rFonts w:ascii="宋体"/>
              </w:rPr>
            </w:pPr>
          </w:p>
        </w:tc>
        <w:tc>
          <w:tcPr>
            <w:tcW w:w="0" w:type="auto"/>
            <w:shd w:val="clear" w:color="auto" w:fill="auto"/>
            <w:vAlign w:val="center"/>
          </w:tcPr>
          <w:p w14:paraId="64A89643" w14:textId="77777777" w:rsidR="008D6614" w:rsidRDefault="008D6614">
            <w:pPr>
              <w:rPr>
                <w:rFonts w:ascii="宋体"/>
              </w:rPr>
            </w:pPr>
          </w:p>
        </w:tc>
        <w:tc>
          <w:tcPr>
            <w:tcW w:w="0" w:type="auto"/>
            <w:shd w:val="clear" w:color="auto" w:fill="auto"/>
            <w:vAlign w:val="center"/>
          </w:tcPr>
          <w:p w14:paraId="64A89644" w14:textId="77777777" w:rsidR="008D6614" w:rsidRDefault="008D6614">
            <w:pPr>
              <w:rPr>
                <w:rFonts w:ascii="宋体"/>
              </w:rPr>
            </w:pPr>
          </w:p>
        </w:tc>
        <w:tc>
          <w:tcPr>
            <w:tcW w:w="0" w:type="auto"/>
            <w:shd w:val="clear" w:color="auto" w:fill="auto"/>
            <w:vAlign w:val="center"/>
          </w:tcPr>
          <w:p w14:paraId="64A89645" w14:textId="77777777" w:rsidR="008D6614" w:rsidRDefault="008D6614">
            <w:pPr>
              <w:rPr>
                <w:rFonts w:ascii="宋体"/>
              </w:rPr>
            </w:pPr>
          </w:p>
        </w:tc>
        <w:tc>
          <w:tcPr>
            <w:tcW w:w="0" w:type="auto"/>
            <w:shd w:val="clear" w:color="auto" w:fill="auto"/>
            <w:vAlign w:val="center"/>
          </w:tcPr>
          <w:p w14:paraId="64A89646" w14:textId="77777777" w:rsidR="008D6614" w:rsidRDefault="008D6614">
            <w:pPr>
              <w:rPr>
                <w:rFonts w:ascii="宋体"/>
              </w:rPr>
            </w:pPr>
          </w:p>
        </w:tc>
        <w:tc>
          <w:tcPr>
            <w:tcW w:w="0" w:type="auto"/>
            <w:shd w:val="clear" w:color="auto" w:fill="auto"/>
            <w:vAlign w:val="center"/>
          </w:tcPr>
          <w:p w14:paraId="64A89647" w14:textId="77777777" w:rsidR="008D6614" w:rsidRDefault="008D6614">
            <w:pPr>
              <w:rPr>
                <w:rFonts w:ascii="宋体"/>
              </w:rPr>
            </w:pPr>
          </w:p>
        </w:tc>
      </w:tr>
      <w:tr w:rsidR="008D6614" w14:paraId="64A89659" w14:textId="77777777">
        <w:tc>
          <w:tcPr>
            <w:tcW w:w="0" w:type="auto"/>
            <w:gridSpan w:val="3"/>
            <w:shd w:val="clear" w:color="auto" w:fill="FFFFFF"/>
            <w:tcMar>
              <w:top w:w="40" w:type="dxa"/>
              <w:left w:w="135" w:type="dxa"/>
              <w:bottom w:w="40" w:type="dxa"/>
              <w:right w:w="20" w:type="dxa"/>
            </w:tcMar>
            <w:vAlign w:val="bottom"/>
          </w:tcPr>
          <w:p w14:paraId="64A89649" w14:textId="77777777" w:rsidR="008D6614" w:rsidRDefault="00866AF2">
            <w:pPr>
              <w:textAlignment w:val="bottom"/>
            </w:pPr>
            <w:r>
              <w:rPr>
                <w:rFonts w:ascii="Arial" w:eastAsia="宋体" w:hAnsi="Arial" w:cs="Arial"/>
                <w:color w:val="000000"/>
                <w:sz w:val="18"/>
                <w:szCs w:val="18"/>
              </w:rPr>
              <w:t>Marketi</w:t>
            </w:r>
            <w:r>
              <w:rPr>
                <w:rFonts w:ascii="Arial" w:eastAsia="宋体" w:hAnsi="Arial" w:cs="Arial"/>
                <w:color w:val="000000"/>
                <w:sz w:val="18"/>
                <w:szCs w:val="18"/>
              </w:rPr>
              <w:t>ng services and other revenues</w:t>
            </w:r>
          </w:p>
        </w:tc>
        <w:tc>
          <w:tcPr>
            <w:tcW w:w="0" w:type="auto"/>
            <w:shd w:val="clear" w:color="auto" w:fill="auto"/>
            <w:vAlign w:val="center"/>
          </w:tcPr>
          <w:p w14:paraId="64A8964A" w14:textId="77777777" w:rsidR="008D6614" w:rsidRDefault="008D6614">
            <w:pPr>
              <w:rPr>
                <w:rFonts w:ascii="宋体"/>
                <w:vanish/>
              </w:rPr>
            </w:pPr>
          </w:p>
        </w:tc>
        <w:tc>
          <w:tcPr>
            <w:tcW w:w="0" w:type="auto"/>
            <w:shd w:val="clear" w:color="auto" w:fill="auto"/>
            <w:vAlign w:val="center"/>
          </w:tcPr>
          <w:p w14:paraId="64A8964B" w14:textId="77777777" w:rsidR="008D6614" w:rsidRDefault="008D6614">
            <w:pPr>
              <w:rPr>
                <w:rFonts w:ascii="宋体"/>
                <w:vanish/>
              </w:rPr>
            </w:pPr>
          </w:p>
        </w:tc>
        <w:tc>
          <w:tcPr>
            <w:tcW w:w="0" w:type="auto"/>
            <w:shd w:val="clear" w:color="auto" w:fill="auto"/>
            <w:vAlign w:val="center"/>
          </w:tcPr>
          <w:p w14:paraId="64A8964C"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64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64E" w14:textId="77777777" w:rsidR="008D6614" w:rsidRDefault="00866AF2">
            <w:pPr>
              <w:jc w:val="right"/>
              <w:textAlignment w:val="bottom"/>
            </w:pPr>
            <w:r>
              <w:rPr>
                <w:rFonts w:ascii="Arial" w:eastAsia="宋体" w:hAnsi="Arial" w:cs="Arial"/>
                <w:color w:val="000000"/>
                <w:sz w:val="18"/>
                <w:szCs w:val="18"/>
              </w:rPr>
              <w:t>230 </w:t>
            </w:r>
          </w:p>
        </w:tc>
        <w:tc>
          <w:tcPr>
            <w:tcW w:w="0" w:type="auto"/>
            <w:shd w:val="clear" w:color="auto" w:fill="FFFFFF"/>
            <w:tcMar>
              <w:top w:w="40" w:type="dxa"/>
              <w:bottom w:w="40" w:type="dxa"/>
              <w:right w:w="20" w:type="dxa"/>
            </w:tcMar>
            <w:vAlign w:val="bottom"/>
          </w:tcPr>
          <w:p w14:paraId="64A8964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65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651" w14:textId="77777777" w:rsidR="008D6614" w:rsidRDefault="00866AF2">
            <w:pPr>
              <w:jc w:val="right"/>
              <w:textAlignment w:val="bottom"/>
            </w:pPr>
            <w:r>
              <w:rPr>
                <w:rFonts w:ascii="Arial" w:eastAsia="宋体" w:hAnsi="Arial" w:cs="Arial"/>
                <w:color w:val="000000"/>
                <w:sz w:val="18"/>
                <w:szCs w:val="18"/>
              </w:rPr>
              <w:t>277 </w:t>
            </w:r>
          </w:p>
        </w:tc>
        <w:tc>
          <w:tcPr>
            <w:tcW w:w="0" w:type="auto"/>
            <w:shd w:val="clear" w:color="auto" w:fill="FFFFFF"/>
            <w:tcMar>
              <w:top w:w="40" w:type="dxa"/>
              <w:bottom w:w="40" w:type="dxa"/>
              <w:right w:w="20" w:type="dxa"/>
            </w:tcMar>
            <w:vAlign w:val="bottom"/>
          </w:tcPr>
          <w:p w14:paraId="64A8965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653" w14:textId="77777777" w:rsidR="008D6614" w:rsidRDefault="008D6614">
            <w:pPr>
              <w:rPr>
                <w:rFonts w:ascii="宋体"/>
              </w:rPr>
            </w:pPr>
          </w:p>
        </w:tc>
        <w:tc>
          <w:tcPr>
            <w:tcW w:w="0" w:type="auto"/>
            <w:shd w:val="clear" w:color="auto" w:fill="auto"/>
            <w:vAlign w:val="center"/>
          </w:tcPr>
          <w:p w14:paraId="64A89654" w14:textId="77777777" w:rsidR="008D6614" w:rsidRDefault="008D6614">
            <w:pPr>
              <w:rPr>
                <w:rFonts w:ascii="宋体"/>
              </w:rPr>
            </w:pPr>
          </w:p>
        </w:tc>
        <w:tc>
          <w:tcPr>
            <w:tcW w:w="0" w:type="auto"/>
            <w:shd w:val="clear" w:color="auto" w:fill="auto"/>
            <w:vAlign w:val="center"/>
          </w:tcPr>
          <w:p w14:paraId="64A89655" w14:textId="77777777" w:rsidR="008D6614" w:rsidRDefault="008D6614">
            <w:pPr>
              <w:rPr>
                <w:rFonts w:ascii="宋体"/>
              </w:rPr>
            </w:pPr>
          </w:p>
        </w:tc>
        <w:tc>
          <w:tcPr>
            <w:tcW w:w="0" w:type="auto"/>
            <w:shd w:val="clear" w:color="auto" w:fill="auto"/>
            <w:vAlign w:val="center"/>
          </w:tcPr>
          <w:p w14:paraId="64A89656" w14:textId="77777777" w:rsidR="008D6614" w:rsidRDefault="008D6614">
            <w:pPr>
              <w:rPr>
                <w:rFonts w:ascii="宋体"/>
              </w:rPr>
            </w:pPr>
          </w:p>
        </w:tc>
        <w:tc>
          <w:tcPr>
            <w:tcW w:w="0" w:type="auto"/>
            <w:shd w:val="clear" w:color="auto" w:fill="auto"/>
            <w:vAlign w:val="center"/>
          </w:tcPr>
          <w:p w14:paraId="64A89657" w14:textId="77777777" w:rsidR="008D6614" w:rsidRDefault="008D6614">
            <w:pPr>
              <w:rPr>
                <w:rFonts w:ascii="宋体"/>
              </w:rPr>
            </w:pPr>
          </w:p>
        </w:tc>
        <w:tc>
          <w:tcPr>
            <w:tcW w:w="0" w:type="auto"/>
            <w:shd w:val="clear" w:color="auto" w:fill="auto"/>
            <w:vAlign w:val="center"/>
          </w:tcPr>
          <w:p w14:paraId="64A89658" w14:textId="77777777" w:rsidR="008D6614" w:rsidRDefault="008D6614">
            <w:pPr>
              <w:rPr>
                <w:rFonts w:ascii="宋体"/>
              </w:rPr>
            </w:pPr>
          </w:p>
        </w:tc>
      </w:tr>
      <w:tr w:rsidR="008D6614" w14:paraId="64A8966A" w14:textId="77777777">
        <w:tc>
          <w:tcPr>
            <w:tcW w:w="0" w:type="auto"/>
            <w:gridSpan w:val="3"/>
            <w:shd w:val="clear" w:color="auto" w:fill="E2E2E2"/>
            <w:tcMar>
              <w:top w:w="40" w:type="dxa"/>
              <w:left w:w="225" w:type="dxa"/>
              <w:bottom w:w="40" w:type="dxa"/>
              <w:right w:w="20" w:type="dxa"/>
            </w:tcMar>
            <w:vAlign w:val="bottom"/>
          </w:tcPr>
          <w:p w14:paraId="64A8965A" w14:textId="77777777" w:rsidR="008D6614" w:rsidRDefault="00866AF2">
            <w:pPr>
              <w:textAlignment w:val="bottom"/>
            </w:pPr>
            <w:r>
              <w:rPr>
                <w:rFonts w:ascii="Arial" w:eastAsia="宋体" w:hAnsi="Arial" w:cs="Arial"/>
                <w:color w:val="000000"/>
                <w:sz w:val="18"/>
                <w:szCs w:val="18"/>
              </w:rPr>
              <w:t>Total Marketplace</w:t>
            </w:r>
          </w:p>
        </w:tc>
        <w:tc>
          <w:tcPr>
            <w:tcW w:w="0" w:type="auto"/>
            <w:shd w:val="clear" w:color="auto" w:fill="auto"/>
            <w:vAlign w:val="center"/>
          </w:tcPr>
          <w:p w14:paraId="64A8965B" w14:textId="77777777" w:rsidR="008D6614" w:rsidRDefault="008D6614">
            <w:pPr>
              <w:rPr>
                <w:rFonts w:ascii="宋体"/>
                <w:vanish/>
              </w:rPr>
            </w:pPr>
          </w:p>
        </w:tc>
        <w:tc>
          <w:tcPr>
            <w:tcW w:w="0" w:type="auto"/>
            <w:shd w:val="clear" w:color="auto" w:fill="auto"/>
            <w:vAlign w:val="center"/>
          </w:tcPr>
          <w:p w14:paraId="64A8965C" w14:textId="77777777" w:rsidR="008D6614" w:rsidRDefault="008D6614">
            <w:pPr>
              <w:rPr>
                <w:rFonts w:ascii="宋体"/>
                <w:vanish/>
              </w:rPr>
            </w:pPr>
          </w:p>
        </w:tc>
        <w:tc>
          <w:tcPr>
            <w:tcW w:w="0" w:type="auto"/>
            <w:shd w:val="clear" w:color="auto" w:fill="auto"/>
            <w:vAlign w:val="center"/>
          </w:tcPr>
          <w:p w14:paraId="64A8965D"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65E"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965F" w14:textId="77777777" w:rsidR="008D6614" w:rsidRDefault="00866AF2">
            <w:pPr>
              <w:jc w:val="right"/>
              <w:textAlignment w:val="bottom"/>
            </w:pPr>
            <w:r>
              <w:rPr>
                <w:rFonts w:ascii="Arial" w:eastAsia="宋体" w:hAnsi="Arial" w:cs="Arial"/>
                <w:color w:val="000000"/>
                <w:sz w:val="18"/>
                <w:szCs w:val="18"/>
              </w:rPr>
              <w:t>2,130 </w:t>
            </w:r>
          </w:p>
        </w:tc>
        <w:tc>
          <w:tcPr>
            <w:tcW w:w="0" w:type="auto"/>
            <w:tcBorders>
              <w:top w:val="single" w:sz="8" w:space="0" w:color="000000"/>
            </w:tcBorders>
            <w:shd w:val="clear" w:color="auto" w:fill="E2E2E2"/>
            <w:tcMar>
              <w:top w:w="40" w:type="dxa"/>
              <w:bottom w:w="40" w:type="dxa"/>
              <w:right w:w="20" w:type="dxa"/>
            </w:tcMar>
            <w:vAlign w:val="bottom"/>
          </w:tcPr>
          <w:p w14:paraId="64A8966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661"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9662" w14:textId="77777777" w:rsidR="008D6614" w:rsidRDefault="00866AF2">
            <w:pPr>
              <w:jc w:val="right"/>
              <w:textAlignment w:val="bottom"/>
            </w:pPr>
            <w:r>
              <w:rPr>
                <w:rFonts w:ascii="Arial" w:eastAsia="宋体" w:hAnsi="Arial" w:cs="Arial"/>
                <w:color w:val="000000"/>
                <w:sz w:val="18"/>
                <w:szCs w:val="18"/>
              </w:rPr>
              <w:t>2,162 </w:t>
            </w:r>
          </w:p>
        </w:tc>
        <w:tc>
          <w:tcPr>
            <w:tcW w:w="0" w:type="auto"/>
            <w:tcBorders>
              <w:top w:val="single" w:sz="8" w:space="0" w:color="000000"/>
            </w:tcBorders>
            <w:shd w:val="clear" w:color="auto" w:fill="E2E2E2"/>
            <w:tcMar>
              <w:top w:w="40" w:type="dxa"/>
              <w:bottom w:w="40" w:type="dxa"/>
              <w:right w:w="20" w:type="dxa"/>
            </w:tcMar>
            <w:vAlign w:val="bottom"/>
          </w:tcPr>
          <w:p w14:paraId="64A8966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664" w14:textId="77777777" w:rsidR="008D6614" w:rsidRDefault="008D6614">
            <w:pPr>
              <w:rPr>
                <w:rFonts w:ascii="宋体"/>
              </w:rPr>
            </w:pPr>
          </w:p>
        </w:tc>
        <w:tc>
          <w:tcPr>
            <w:tcW w:w="0" w:type="auto"/>
            <w:shd w:val="clear" w:color="auto" w:fill="auto"/>
            <w:vAlign w:val="center"/>
          </w:tcPr>
          <w:p w14:paraId="64A89665" w14:textId="77777777" w:rsidR="008D6614" w:rsidRDefault="008D6614">
            <w:pPr>
              <w:rPr>
                <w:rFonts w:ascii="宋体"/>
              </w:rPr>
            </w:pPr>
          </w:p>
        </w:tc>
        <w:tc>
          <w:tcPr>
            <w:tcW w:w="0" w:type="auto"/>
            <w:shd w:val="clear" w:color="auto" w:fill="auto"/>
            <w:vAlign w:val="center"/>
          </w:tcPr>
          <w:p w14:paraId="64A89666" w14:textId="77777777" w:rsidR="008D6614" w:rsidRDefault="008D6614">
            <w:pPr>
              <w:rPr>
                <w:rFonts w:ascii="宋体"/>
              </w:rPr>
            </w:pPr>
          </w:p>
        </w:tc>
        <w:tc>
          <w:tcPr>
            <w:tcW w:w="0" w:type="auto"/>
            <w:shd w:val="clear" w:color="auto" w:fill="auto"/>
            <w:vAlign w:val="center"/>
          </w:tcPr>
          <w:p w14:paraId="64A89667" w14:textId="77777777" w:rsidR="008D6614" w:rsidRDefault="008D6614">
            <w:pPr>
              <w:rPr>
                <w:rFonts w:ascii="宋体"/>
              </w:rPr>
            </w:pPr>
          </w:p>
        </w:tc>
        <w:tc>
          <w:tcPr>
            <w:tcW w:w="0" w:type="auto"/>
            <w:shd w:val="clear" w:color="auto" w:fill="auto"/>
            <w:vAlign w:val="center"/>
          </w:tcPr>
          <w:p w14:paraId="64A89668" w14:textId="77777777" w:rsidR="008D6614" w:rsidRDefault="008D6614">
            <w:pPr>
              <w:rPr>
                <w:rFonts w:ascii="宋体"/>
              </w:rPr>
            </w:pPr>
          </w:p>
        </w:tc>
        <w:tc>
          <w:tcPr>
            <w:tcW w:w="0" w:type="auto"/>
            <w:shd w:val="clear" w:color="auto" w:fill="auto"/>
            <w:vAlign w:val="center"/>
          </w:tcPr>
          <w:p w14:paraId="64A89669" w14:textId="77777777" w:rsidR="008D6614" w:rsidRDefault="008D6614">
            <w:pPr>
              <w:rPr>
                <w:rFonts w:ascii="宋体"/>
              </w:rPr>
            </w:pPr>
          </w:p>
        </w:tc>
      </w:tr>
      <w:tr w:rsidR="008D6614" w14:paraId="64A89679" w14:textId="77777777">
        <w:trPr>
          <w:trHeight w:val="280"/>
        </w:trPr>
        <w:tc>
          <w:tcPr>
            <w:tcW w:w="0" w:type="auto"/>
            <w:gridSpan w:val="3"/>
            <w:shd w:val="clear" w:color="auto" w:fill="FFFFFF"/>
            <w:tcMar>
              <w:left w:w="20" w:type="dxa"/>
              <w:right w:w="20" w:type="dxa"/>
            </w:tcMar>
            <w:vAlign w:val="bottom"/>
          </w:tcPr>
          <w:p w14:paraId="64A8966B" w14:textId="77777777" w:rsidR="008D6614" w:rsidRDefault="008D6614">
            <w:pPr>
              <w:rPr>
                <w:rFonts w:ascii="宋体"/>
              </w:rPr>
            </w:pPr>
          </w:p>
        </w:tc>
        <w:tc>
          <w:tcPr>
            <w:tcW w:w="0" w:type="auto"/>
            <w:shd w:val="clear" w:color="auto" w:fill="auto"/>
            <w:vAlign w:val="center"/>
          </w:tcPr>
          <w:p w14:paraId="64A8966C" w14:textId="77777777" w:rsidR="008D6614" w:rsidRDefault="008D6614">
            <w:pPr>
              <w:rPr>
                <w:rFonts w:ascii="宋体"/>
                <w:vanish/>
              </w:rPr>
            </w:pPr>
          </w:p>
        </w:tc>
        <w:tc>
          <w:tcPr>
            <w:tcW w:w="0" w:type="auto"/>
            <w:shd w:val="clear" w:color="auto" w:fill="auto"/>
            <w:vAlign w:val="center"/>
          </w:tcPr>
          <w:p w14:paraId="64A8966D" w14:textId="77777777" w:rsidR="008D6614" w:rsidRDefault="008D6614">
            <w:pPr>
              <w:rPr>
                <w:rFonts w:ascii="宋体"/>
                <w:vanish/>
              </w:rPr>
            </w:pPr>
          </w:p>
        </w:tc>
        <w:tc>
          <w:tcPr>
            <w:tcW w:w="0" w:type="auto"/>
            <w:shd w:val="clear" w:color="auto" w:fill="auto"/>
            <w:vAlign w:val="center"/>
          </w:tcPr>
          <w:p w14:paraId="64A8966E"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66F"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9670"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671"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9672" w14:textId="77777777" w:rsidR="008D6614" w:rsidRDefault="008D6614">
            <w:pPr>
              <w:rPr>
                <w:rFonts w:ascii="宋体"/>
              </w:rPr>
            </w:pPr>
          </w:p>
        </w:tc>
        <w:tc>
          <w:tcPr>
            <w:tcW w:w="0" w:type="auto"/>
            <w:shd w:val="clear" w:color="auto" w:fill="auto"/>
            <w:vAlign w:val="center"/>
          </w:tcPr>
          <w:p w14:paraId="64A89673" w14:textId="77777777" w:rsidR="008D6614" w:rsidRDefault="008D6614">
            <w:pPr>
              <w:rPr>
                <w:rFonts w:ascii="宋体"/>
              </w:rPr>
            </w:pPr>
          </w:p>
        </w:tc>
        <w:tc>
          <w:tcPr>
            <w:tcW w:w="0" w:type="auto"/>
            <w:shd w:val="clear" w:color="auto" w:fill="auto"/>
            <w:vAlign w:val="center"/>
          </w:tcPr>
          <w:p w14:paraId="64A89674" w14:textId="77777777" w:rsidR="008D6614" w:rsidRDefault="008D6614">
            <w:pPr>
              <w:rPr>
                <w:rFonts w:ascii="宋体"/>
              </w:rPr>
            </w:pPr>
          </w:p>
        </w:tc>
        <w:tc>
          <w:tcPr>
            <w:tcW w:w="0" w:type="auto"/>
            <w:shd w:val="clear" w:color="auto" w:fill="auto"/>
            <w:vAlign w:val="center"/>
          </w:tcPr>
          <w:p w14:paraId="64A89675" w14:textId="77777777" w:rsidR="008D6614" w:rsidRDefault="008D6614">
            <w:pPr>
              <w:rPr>
                <w:rFonts w:ascii="宋体"/>
              </w:rPr>
            </w:pPr>
          </w:p>
        </w:tc>
        <w:tc>
          <w:tcPr>
            <w:tcW w:w="0" w:type="auto"/>
            <w:shd w:val="clear" w:color="auto" w:fill="auto"/>
            <w:vAlign w:val="center"/>
          </w:tcPr>
          <w:p w14:paraId="64A89676" w14:textId="77777777" w:rsidR="008D6614" w:rsidRDefault="008D6614">
            <w:pPr>
              <w:rPr>
                <w:rFonts w:ascii="宋体"/>
              </w:rPr>
            </w:pPr>
          </w:p>
        </w:tc>
        <w:tc>
          <w:tcPr>
            <w:tcW w:w="0" w:type="auto"/>
            <w:shd w:val="clear" w:color="auto" w:fill="auto"/>
            <w:vAlign w:val="center"/>
          </w:tcPr>
          <w:p w14:paraId="64A89677" w14:textId="77777777" w:rsidR="008D6614" w:rsidRDefault="008D6614">
            <w:pPr>
              <w:rPr>
                <w:rFonts w:ascii="宋体"/>
              </w:rPr>
            </w:pPr>
          </w:p>
        </w:tc>
        <w:tc>
          <w:tcPr>
            <w:tcW w:w="0" w:type="auto"/>
            <w:shd w:val="clear" w:color="auto" w:fill="auto"/>
            <w:vAlign w:val="center"/>
          </w:tcPr>
          <w:p w14:paraId="64A89678" w14:textId="77777777" w:rsidR="008D6614" w:rsidRDefault="008D6614">
            <w:pPr>
              <w:rPr>
                <w:rFonts w:ascii="宋体"/>
              </w:rPr>
            </w:pPr>
          </w:p>
        </w:tc>
      </w:tr>
      <w:tr w:rsidR="008D6614" w14:paraId="64A89688" w14:textId="77777777">
        <w:trPr>
          <w:hidden/>
        </w:trPr>
        <w:tc>
          <w:tcPr>
            <w:tcW w:w="0" w:type="auto"/>
            <w:gridSpan w:val="3"/>
            <w:shd w:val="clear" w:color="auto" w:fill="auto"/>
            <w:vAlign w:val="center"/>
          </w:tcPr>
          <w:p w14:paraId="64A8967A" w14:textId="77777777" w:rsidR="008D6614" w:rsidRDefault="008D6614">
            <w:pPr>
              <w:rPr>
                <w:rFonts w:ascii="宋体"/>
                <w:vanish/>
              </w:rPr>
            </w:pPr>
          </w:p>
        </w:tc>
        <w:tc>
          <w:tcPr>
            <w:tcW w:w="0" w:type="auto"/>
            <w:shd w:val="clear" w:color="auto" w:fill="auto"/>
            <w:vAlign w:val="center"/>
          </w:tcPr>
          <w:p w14:paraId="64A8967B" w14:textId="77777777" w:rsidR="008D6614" w:rsidRDefault="008D6614">
            <w:pPr>
              <w:rPr>
                <w:rFonts w:ascii="宋体"/>
                <w:vanish/>
              </w:rPr>
            </w:pPr>
          </w:p>
        </w:tc>
        <w:tc>
          <w:tcPr>
            <w:tcW w:w="0" w:type="auto"/>
            <w:shd w:val="clear" w:color="auto" w:fill="auto"/>
            <w:vAlign w:val="center"/>
          </w:tcPr>
          <w:p w14:paraId="64A8967C" w14:textId="77777777" w:rsidR="008D6614" w:rsidRDefault="008D6614">
            <w:pPr>
              <w:rPr>
                <w:rFonts w:ascii="宋体"/>
                <w:vanish/>
              </w:rPr>
            </w:pPr>
          </w:p>
        </w:tc>
        <w:tc>
          <w:tcPr>
            <w:tcW w:w="0" w:type="auto"/>
            <w:shd w:val="clear" w:color="auto" w:fill="auto"/>
            <w:vAlign w:val="center"/>
          </w:tcPr>
          <w:p w14:paraId="64A8967D" w14:textId="77777777" w:rsidR="008D6614" w:rsidRDefault="008D6614">
            <w:pPr>
              <w:rPr>
                <w:rFonts w:ascii="宋体"/>
                <w:vanish/>
              </w:rPr>
            </w:pPr>
          </w:p>
        </w:tc>
        <w:tc>
          <w:tcPr>
            <w:tcW w:w="0" w:type="auto"/>
            <w:gridSpan w:val="3"/>
            <w:shd w:val="clear" w:color="auto" w:fill="auto"/>
            <w:vAlign w:val="center"/>
          </w:tcPr>
          <w:p w14:paraId="64A8967E" w14:textId="77777777" w:rsidR="008D6614" w:rsidRDefault="008D6614">
            <w:pPr>
              <w:rPr>
                <w:rFonts w:ascii="宋体"/>
                <w:vanish/>
              </w:rPr>
            </w:pPr>
          </w:p>
        </w:tc>
        <w:tc>
          <w:tcPr>
            <w:tcW w:w="0" w:type="auto"/>
            <w:gridSpan w:val="3"/>
            <w:shd w:val="clear" w:color="auto" w:fill="auto"/>
            <w:vAlign w:val="center"/>
          </w:tcPr>
          <w:p w14:paraId="64A8967F" w14:textId="77777777" w:rsidR="008D6614" w:rsidRDefault="008D6614">
            <w:pPr>
              <w:rPr>
                <w:rFonts w:ascii="宋体"/>
                <w:vanish/>
              </w:rPr>
            </w:pPr>
          </w:p>
        </w:tc>
        <w:tc>
          <w:tcPr>
            <w:tcW w:w="0" w:type="auto"/>
            <w:gridSpan w:val="3"/>
            <w:shd w:val="clear" w:color="auto" w:fill="auto"/>
            <w:vAlign w:val="center"/>
          </w:tcPr>
          <w:p w14:paraId="64A89680" w14:textId="77777777" w:rsidR="008D6614" w:rsidRDefault="008D6614">
            <w:pPr>
              <w:rPr>
                <w:rFonts w:ascii="宋体"/>
                <w:vanish/>
              </w:rPr>
            </w:pPr>
          </w:p>
        </w:tc>
        <w:tc>
          <w:tcPr>
            <w:tcW w:w="0" w:type="auto"/>
            <w:gridSpan w:val="3"/>
            <w:shd w:val="clear" w:color="auto" w:fill="auto"/>
            <w:vAlign w:val="center"/>
          </w:tcPr>
          <w:p w14:paraId="64A89681" w14:textId="77777777" w:rsidR="008D6614" w:rsidRDefault="008D6614">
            <w:pPr>
              <w:rPr>
                <w:rFonts w:ascii="宋体"/>
                <w:vanish/>
              </w:rPr>
            </w:pPr>
          </w:p>
        </w:tc>
        <w:tc>
          <w:tcPr>
            <w:tcW w:w="0" w:type="auto"/>
            <w:shd w:val="clear" w:color="auto" w:fill="auto"/>
            <w:vAlign w:val="center"/>
          </w:tcPr>
          <w:p w14:paraId="64A89682" w14:textId="77777777" w:rsidR="008D6614" w:rsidRDefault="008D6614">
            <w:pPr>
              <w:rPr>
                <w:rFonts w:ascii="宋体"/>
              </w:rPr>
            </w:pPr>
          </w:p>
        </w:tc>
        <w:tc>
          <w:tcPr>
            <w:tcW w:w="0" w:type="auto"/>
            <w:shd w:val="clear" w:color="auto" w:fill="auto"/>
            <w:vAlign w:val="center"/>
          </w:tcPr>
          <w:p w14:paraId="64A89683" w14:textId="77777777" w:rsidR="008D6614" w:rsidRDefault="008D6614">
            <w:pPr>
              <w:rPr>
                <w:rFonts w:ascii="宋体"/>
              </w:rPr>
            </w:pPr>
          </w:p>
        </w:tc>
        <w:tc>
          <w:tcPr>
            <w:tcW w:w="0" w:type="auto"/>
            <w:shd w:val="clear" w:color="auto" w:fill="auto"/>
            <w:vAlign w:val="center"/>
          </w:tcPr>
          <w:p w14:paraId="64A89684" w14:textId="77777777" w:rsidR="008D6614" w:rsidRDefault="008D6614">
            <w:pPr>
              <w:rPr>
                <w:rFonts w:ascii="宋体"/>
              </w:rPr>
            </w:pPr>
          </w:p>
        </w:tc>
        <w:tc>
          <w:tcPr>
            <w:tcW w:w="0" w:type="auto"/>
            <w:shd w:val="clear" w:color="auto" w:fill="auto"/>
            <w:vAlign w:val="center"/>
          </w:tcPr>
          <w:p w14:paraId="64A89685" w14:textId="77777777" w:rsidR="008D6614" w:rsidRDefault="008D6614">
            <w:pPr>
              <w:rPr>
                <w:rFonts w:ascii="宋体"/>
              </w:rPr>
            </w:pPr>
          </w:p>
        </w:tc>
        <w:tc>
          <w:tcPr>
            <w:tcW w:w="0" w:type="auto"/>
            <w:shd w:val="clear" w:color="auto" w:fill="auto"/>
            <w:vAlign w:val="center"/>
          </w:tcPr>
          <w:p w14:paraId="64A89686" w14:textId="77777777" w:rsidR="008D6614" w:rsidRDefault="008D6614">
            <w:pPr>
              <w:rPr>
                <w:rFonts w:ascii="宋体"/>
              </w:rPr>
            </w:pPr>
          </w:p>
        </w:tc>
        <w:tc>
          <w:tcPr>
            <w:tcW w:w="0" w:type="auto"/>
            <w:shd w:val="clear" w:color="auto" w:fill="auto"/>
            <w:vAlign w:val="center"/>
          </w:tcPr>
          <w:p w14:paraId="64A89687" w14:textId="77777777" w:rsidR="008D6614" w:rsidRDefault="008D6614">
            <w:pPr>
              <w:rPr>
                <w:rFonts w:ascii="宋体"/>
              </w:rPr>
            </w:pPr>
          </w:p>
        </w:tc>
      </w:tr>
      <w:tr w:rsidR="008D6614" w14:paraId="64A89697" w14:textId="77777777">
        <w:trPr>
          <w:hidden/>
        </w:trPr>
        <w:tc>
          <w:tcPr>
            <w:tcW w:w="0" w:type="auto"/>
            <w:gridSpan w:val="3"/>
            <w:shd w:val="clear" w:color="auto" w:fill="auto"/>
            <w:vAlign w:val="center"/>
          </w:tcPr>
          <w:p w14:paraId="64A89689" w14:textId="77777777" w:rsidR="008D6614" w:rsidRDefault="008D6614">
            <w:pPr>
              <w:rPr>
                <w:rFonts w:ascii="宋体"/>
                <w:vanish/>
              </w:rPr>
            </w:pPr>
          </w:p>
        </w:tc>
        <w:tc>
          <w:tcPr>
            <w:tcW w:w="0" w:type="auto"/>
            <w:shd w:val="clear" w:color="auto" w:fill="auto"/>
            <w:vAlign w:val="center"/>
          </w:tcPr>
          <w:p w14:paraId="64A8968A" w14:textId="77777777" w:rsidR="008D6614" w:rsidRDefault="008D6614">
            <w:pPr>
              <w:rPr>
                <w:rFonts w:ascii="宋体"/>
                <w:vanish/>
              </w:rPr>
            </w:pPr>
          </w:p>
        </w:tc>
        <w:tc>
          <w:tcPr>
            <w:tcW w:w="0" w:type="auto"/>
            <w:shd w:val="clear" w:color="auto" w:fill="auto"/>
            <w:vAlign w:val="center"/>
          </w:tcPr>
          <w:p w14:paraId="64A8968B" w14:textId="77777777" w:rsidR="008D6614" w:rsidRDefault="008D6614">
            <w:pPr>
              <w:rPr>
                <w:rFonts w:ascii="宋体"/>
                <w:vanish/>
              </w:rPr>
            </w:pPr>
          </w:p>
        </w:tc>
        <w:tc>
          <w:tcPr>
            <w:tcW w:w="0" w:type="auto"/>
            <w:shd w:val="clear" w:color="auto" w:fill="auto"/>
            <w:vAlign w:val="center"/>
          </w:tcPr>
          <w:p w14:paraId="64A8968C" w14:textId="77777777" w:rsidR="008D6614" w:rsidRDefault="008D6614">
            <w:pPr>
              <w:rPr>
                <w:rFonts w:ascii="宋体"/>
                <w:vanish/>
              </w:rPr>
            </w:pPr>
          </w:p>
        </w:tc>
        <w:tc>
          <w:tcPr>
            <w:tcW w:w="0" w:type="auto"/>
            <w:gridSpan w:val="3"/>
            <w:shd w:val="clear" w:color="auto" w:fill="auto"/>
            <w:vAlign w:val="center"/>
          </w:tcPr>
          <w:p w14:paraId="64A8968D" w14:textId="77777777" w:rsidR="008D6614" w:rsidRDefault="008D6614">
            <w:pPr>
              <w:rPr>
                <w:rFonts w:ascii="宋体"/>
                <w:vanish/>
              </w:rPr>
            </w:pPr>
          </w:p>
        </w:tc>
        <w:tc>
          <w:tcPr>
            <w:tcW w:w="0" w:type="auto"/>
            <w:gridSpan w:val="3"/>
            <w:shd w:val="clear" w:color="auto" w:fill="auto"/>
            <w:vAlign w:val="center"/>
          </w:tcPr>
          <w:p w14:paraId="64A8968E" w14:textId="77777777" w:rsidR="008D6614" w:rsidRDefault="008D6614">
            <w:pPr>
              <w:rPr>
                <w:rFonts w:ascii="宋体"/>
                <w:vanish/>
              </w:rPr>
            </w:pPr>
          </w:p>
        </w:tc>
        <w:tc>
          <w:tcPr>
            <w:tcW w:w="0" w:type="auto"/>
            <w:gridSpan w:val="3"/>
            <w:shd w:val="clear" w:color="auto" w:fill="auto"/>
            <w:vAlign w:val="center"/>
          </w:tcPr>
          <w:p w14:paraId="64A8968F" w14:textId="77777777" w:rsidR="008D6614" w:rsidRDefault="008D6614">
            <w:pPr>
              <w:rPr>
                <w:rFonts w:ascii="宋体"/>
                <w:vanish/>
              </w:rPr>
            </w:pPr>
          </w:p>
        </w:tc>
        <w:tc>
          <w:tcPr>
            <w:tcW w:w="0" w:type="auto"/>
            <w:gridSpan w:val="3"/>
            <w:shd w:val="clear" w:color="auto" w:fill="auto"/>
            <w:vAlign w:val="center"/>
          </w:tcPr>
          <w:p w14:paraId="64A89690" w14:textId="77777777" w:rsidR="008D6614" w:rsidRDefault="008D6614">
            <w:pPr>
              <w:rPr>
                <w:rFonts w:ascii="宋体"/>
                <w:vanish/>
              </w:rPr>
            </w:pPr>
          </w:p>
        </w:tc>
        <w:tc>
          <w:tcPr>
            <w:tcW w:w="0" w:type="auto"/>
            <w:shd w:val="clear" w:color="auto" w:fill="auto"/>
            <w:vAlign w:val="center"/>
          </w:tcPr>
          <w:p w14:paraId="64A89691" w14:textId="77777777" w:rsidR="008D6614" w:rsidRDefault="008D6614">
            <w:pPr>
              <w:rPr>
                <w:rFonts w:ascii="宋体"/>
              </w:rPr>
            </w:pPr>
          </w:p>
        </w:tc>
        <w:tc>
          <w:tcPr>
            <w:tcW w:w="0" w:type="auto"/>
            <w:shd w:val="clear" w:color="auto" w:fill="auto"/>
            <w:vAlign w:val="center"/>
          </w:tcPr>
          <w:p w14:paraId="64A89692" w14:textId="77777777" w:rsidR="008D6614" w:rsidRDefault="008D6614">
            <w:pPr>
              <w:rPr>
                <w:rFonts w:ascii="宋体"/>
              </w:rPr>
            </w:pPr>
          </w:p>
        </w:tc>
        <w:tc>
          <w:tcPr>
            <w:tcW w:w="0" w:type="auto"/>
            <w:shd w:val="clear" w:color="auto" w:fill="auto"/>
            <w:vAlign w:val="center"/>
          </w:tcPr>
          <w:p w14:paraId="64A89693" w14:textId="77777777" w:rsidR="008D6614" w:rsidRDefault="008D6614">
            <w:pPr>
              <w:rPr>
                <w:rFonts w:ascii="宋体"/>
              </w:rPr>
            </w:pPr>
          </w:p>
        </w:tc>
        <w:tc>
          <w:tcPr>
            <w:tcW w:w="0" w:type="auto"/>
            <w:shd w:val="clear" w:color="auto" w:fill="auto"/>
            <w:vAlign w:val="center"/>
          </w:tcPr>
          <w:p w14:paraId="64A89694" w14:textId="77777777" w:rsidR="008D6614" w:rsidRDefault="008D6614">
            <w:pPr>
              <w:rPr>
                <w:rFonts w:ascii="宋体"/>
              </w:rPr>
            </w:pPr>
          </w:p>
        </w:tc>
        <w:tc>
          <w:tcPr>
            <w:tcW w:w="0" w:type="auto"/>
            <w:shd w:val="clear" w:color="auto" w:fill="auto"/>
            <w:vAlign w:val="center"/>
          </w:tcPr>
          <w:p w14:paraId="64A89695" w14:textId="77777777" w:rsidR="008D6614" w:rsidRDefault="008D6614">
            <w:pPr>
              <w:rPr>
                <w:rFonts w:ascii="宋体"/>
              </w:rPr>
            </w:pPr>
          </w:p>
        </w:tc>
        <w:tc>
          <w:tcPr>
            <w:tcW w:w="0" w:type="auto"/>
            <w:shd w:val="clear" w:color="auto" w:fill="auto"/>
            <w:vAlign w:val="center"/>
          </w:tcPr>
          <w:p w14:paraId="64A89696" w14:textId="77777777" w:rsidR="008D6614" w:rsidRDefault="008D6614">
            <w:pPr>
              <w:rPr>
                <w:rFonts w:ascii="宋体"/>
              </w:rPr>
            </w:pPr>
          </w:p>
        </w:tc>
      </w:tr>
      <w:tr w:rsidR="008D6614" w14:paraId="64A896A6" w14:textId="77777777">
        <w:trPr>
          <w:hidden/>
        </w:trPr>
        <w:tc>
          <w:tcPr>
            <w:tcW w:w="0" w:type="auto"/>
            <w:gridSpan w:val="3"/>
            <w:shd w:val="clear" w:color="auto" w:fill="auto"/>
            <w:vAlign w:val="center"/>
          </w:tcPr>
          <w:p w14:paraId="64A89698" w14:textId="77777777" w:rsidR="008D6614" w:rsidRDefault="008D6614">
            <w:pPr>
              <w:rPr>
                <w:rFonts w:ascii="宋体"/>
                <w:vanish/>
              </w:rPr>
            </w:pPr>
          </w:p>
        </w:tc>
        <w:tc>
          <w:tcPr>
            <w:tcW w:w="0" w:type="auto"/>
            <w:shd w:val="clear" w:color="auto" w:fill="auto"/>
            <w:vAlign w:val="center"/>
          </w:tcPr>
          <w:p w14:paraId="64A89699" w14:textId="77777777" w:rsidR="008D6614" w:rsidRDefault="008D6614">
            <w:pPr>
              <w:rPr>
                <w:rFonts w:ascii="宋体"/>
                <w:vanish/>
              </w:rPr>
            </w:pPr>
          </w:p>
        </w:tc>
        <w:tc>
          <w:tcPr>
            <w:tcW w:w="0" w:type="auto"/>
            <w:shd w:val="clear" w:color="auto" w:fill="auto"/>
            <w:vAlign w:val="center"/>
          </w:tcPr>
          <w:p w14:paraId="64A8969A" w14:textId="77777777" w:rsidR="008D6614" w:rsidRDefault="008D6614">
            <w:pPr>
              <w:rPr>
                <w:rFonts w:ascii="宋体"/>
                <w:vanish/>
              </w:rPr>
            </w:pPr>
          </w:p>
        </w:tc>
        <w:tc>
          <w:tcPr>
            <w:tcW w:w="0" w:type="auto"/>
            <w:shd w:val="clear" w:color="auto" w:fill="auto"/>
            <w:vAlign w:val="center"/>
          </w:tcPr>
          <w:p w14:paraId="64A8969B" w14:textId="77777777" w:rsidR="008D6614" w:rsidRDefault="008D6614">
            <w:pPr>
              <w:rPr>
                <w:rFonts w:ascii="宋体"/>
                <w:vanish/>
              </w:rPr>
            </w:pPr>
          </w:p>
        </w:tc>
        <w:tc>
          <w:tcPr>
            <w:tcW w:w="0" w:type="auto"/>
            <w:gridSpan w:val="3"/>
            <w:shd w:val="clear" w:color="auto" w:fill="auto"/>
            <w:vAlign w:val="center"/>
          </w:tcPr>
          <w:p w14:paraId="64A8969C" w14:textId="77777777" w:rsidR="008D6614" w:rsidRDefault="008D6614">
            <w:pPr>
              <w:rPr>
                <w:rFonts w:ascii="宋体"/>
                <w:vanish/>
              </w:rPr>
            </w:pPr>
          </w:p>
        </w:tc>
        <w:tc>
          <w:tcPr>
            <w:tcW w:w="0" w:type="auto"/>
            <w:gridSpan w:val="3"/>
            <w:shd w:val="clear" w:color="auto" w:fill="auto"/>
            <w:vAlign w:val="center"/>
          </w:tcPr>
          <w:p w14:paraId="64A8969D" w14:textId="77777777" w:rsidR="008D6614" w:rsidRDefault="008D6614">
            <w:pPr>
              <w:rPr>
                <w:rFonts w:ascii="宋体"/>
                <w:vanish/>
              </w:rPr>
            </w:pPr>
          </w:p>
        </w:tc>
        <w:tc>
          <w:tcPr>
            <w:tcW w:w="0" w:type="auto"/>
            <w:gridSpan w:val="3"/>
            <w:shd w:val="clear" w:color="auto" w:fill="auto"/>
            <w:vAlign w:val="center"/>
          </w:tcPr>
          <w:p w14:paraId="64A8969E" w14:textId="77777777" w:rsidR="008D6614" w:rsidRDefault="008D6614">
            <w:pPr>
              <w:rPr>
                <w:rFonts w:ascii="宋体"/>
                <w:vanish/>
              </w:rPr>
            </w:pPr>
          </w:p>
        </w:tc>
        <w:tc>
          <w:tcPr>
            <w:tcW w:w="0" w:type="auto"/>
            <w:gridSpan w:val="3"/>
            <w:shd w:val="clear" w:color="auto" w:fill="auto"/>
            <w:vAlign w:val="center"/>
          </w:tcPr>
          <w:p w14:paraId="64A8969F" w14:textId="77777777" w:rsidR="008D6614" w:rsidRDefault="008D6614">
            <w:pPr>
              <w:rPr>
                <w:rFonts w:ascii="宋体"/>
                <w:vanish/>
              </w:rPr>
            </w:pPr>
          </w:p>
        </w:tc>
        <w:tc>
          <w:tcPr>
            <w:tcW w:w="0" w:type="auto"/>
            <w:shd w:val="clear" w:color="auto" w:fill="auto"/>
            <w:vAlign w:val="center"/>
          </w:tcPr>
          <w:p w14:paraId="64A896A0" w14:textId="77777777" w:rsidR="008D6614" w:rsidRDefault="008D6614">
            <w:pPr>
              <w:rPr>
                <w:rFonts w:ascii="宋体"/>
              </w:rPr>
            </w:pPr>
          </w:p>
        </w:tc>
        <w:tc>
          <w:tcPr>
            <w:tcW w:w="0" w:type="auto"/>
            <w:shd w:val="clear" w:color="auto" w:fill="auto"/>
            <w:vAlign w:val="center"/>
          </w:tcPr>
          <w:p w14:paraId="64A896A1" w14:textId="77777777" w:rsidR="008D6614" w:rsidRDefault="008D6614">
            <w:pPr>
              <w:rPr>
                <w:rFonts w:ascii="宋体"/>
              </w:rPr>
            </w:pPr>
          </w:p>
        </w:tc>
        <w:tc>
          <w:tcPr>
            <w:tcW w:w="0" w:type="auto"/>
            <w:shd w:val="clear" w:color="auto" w:fill="auto"/>
            <w:vAlign w:val="center"/>
          </w:tcPr>
          <w:p w14:paraId="64A896A2" w14:textId="77777777" w:rsidR="008D6614" w:rsidRDefault="008D6614">
            <w:pPr>
              <w:rPr>
                <w:rFonts w:ascii="宋体"/>
              </w:rPr>
            </w:pPr>
          </w:p>
        </w:tc>
        <w:tc>
          <w:tcPr>
            <w:tcW w:w="0" w:type="auto"/>
            <w:shd w:val="clear" w:color="auto" w:fill="auto"/>
            <w:vAlign w:val="center"/>
          </w:tcPr>
          <w:p w14:paraId="64A896A3" w14:textId="77777777" w:rsidR="008D6614" w:rsidRDefault="008D6614">
            <w:pPr>
              <w:rPr>
                <w:rFonts w:ascii="宋体"/>
              </w:rPr>
            </w:pPr>
          </w:p>
        </w:tc>
        <w:tc>
          <w:tcPr>
            <w:tcW w:w="0" w:type="auto"/>
            <w:shd w:val="clear" w:color="auto" w:fill="auto"/>
            <w:vAlign w:val="center"/>
          </w:tcPr>
          <w:p w14:paraId="64A896A4" w14:textId="77777777" w:rsidR="008D6614" w:rsidRDefault="008D6614">
            <w:pPr>
              <w:rPr>
                <w:rFonts w:ascii="宋体"/>
              </w:rPr>
            </w:pPr>
          </w:p>
        </w:tc>
        <w:tc>
          <w:tcPr>
            <w:tcW w:w="0" w:type="auto"/>
            <w:shd w:val="clear" w:color="auto" w:fill="auto"/>
            <w:vAlign w:val="center"/>
          </w:tcPr>
          <w:p w14:paraId="64A896A5" w14:textId="77777777" w:rsidR="008D6614" w:rsidRDefault="008D6614">
            <w:pPr>
              <w:rPr>
                <w:rFonts w:ascii="宋体"/>
              </w:rPr>
            </w:pPr>
          </w:p>
        </w:tc>
      </w:tr>
      <w:tr w:rsidR="008D6614" w14:paraId="64A896B5" w14:textId="77777777">
        <w:trPr>
          <w:hidden/>
        </w:trPr>
        <w:tc>
          <w:tcPr>
            <w:tcW w:w="0" w:type="auto"/>
            <w:gridSpan w:val="3"/>
            <w:shd w:val="clear" w:color="auto" w:fill="auto"/>
            <w:vAlign w:val="center"/>
          </w:tcPr>
          <w:p w14:paraId="64A896A7" w14:textId="77777777" w:rsidR="008D6614" w:rsidRDefault="008D6614">
            <w:pPr>
              <w:rPr>
                <w:rFonts w:ascii="宋体"/>
                <w:vanish/>
              </w:rPr>
            </w:pPr>
          </w:p>
        </w:tc>
        <w:tc>
          <w:tcPr>
            <w:tcW w:w="0" w:type="auto"/>
            <w:shd w:val="clear" w:color="auto" w:fill="auto"/>
            <w:vAlign w:val="center"/>
          </w:tcPr>
          <w:p w14:paraId="64A896A8" w14:textId="77777777" w:rsidR="008D6614" w:rsidRDefault="008D6614">
            <w:pPr>
              <w:rPr>
                <w:rFonts w:ascii="宋体"/>
                <w:vanish/>
              </w:rPr>
            </w:pPr>
          </w:p>
        </w:tc>
        <w:tc>
          <w:tcPr>
            <w:tcW w:w="0" w:type="auto"/>
            <w:shd w:val="clear" w:color="auto" w:fill="auto"/>
            <w:vAlign w:val="center"/>
          </w:tcPr>
          <w:p w14:paraId="64A896A9" w14:textId="77777777" w:rsidR="008D6614" w:rsidRDefault="008D6614">
            <w:pPr>
              <w:rPr>
                <w:rFonts w:ascii="宋体"/>
                <w:vanish/>
              </w:rPr>
            </w:pPr>
          </w:p>
        </w:tc>
        <w:tc>
          <w:tcPr>
            <w:tcW w:w="0" w:type="auto"/>
            <w:shd w:val="clear" w:color="auto" w:fill="auto"/>
            <w:vAlign w:val="center"/>
          </w:tcPr>
          <w:p w14:paraId="64A896AA" w14:textId="77777777" w:rsidR="008D6614" w:rsidRDefault="008D6614">
            <w:pPr>
              <w:rPr>
                <w:rFonts w:ascii="宋体"/>
                <w:vanish/>
              </w:rPr>
            </w:pPr>
          </w:p>
        </w:tc>
        <w:tc>
          <w:tcPr>
            <w:tcW w:w="0" w:type="auto"/>
            <w:gridSpan w:val="3"/>
            <w:shd w:val="clear" w:color="auto" w:fill="auto"/>
            <w:vAlign w:val="center"/>
          </w:tcPr>
          <w:p w14:paraId="64A896AB" w14:textId="77777777" w:rsidR="008D6614" w:rsidRDefault="008D6614">
            <w:pPr>
              <w:rPr>
                <w:rFonts w:ascii="宋体"/>
                <w:vanish/>
              </w:rPr>
            </w:pPr>
          </w:p>
        </w:tc>
        <w:tc>
          <w:tcPr>
            <w:tcW w:w="0" w:type="auto"/>
            <w:gridSpan w:val="3"/>
            <w:shd w:val="clear" w:color="auto" w:fill="auto"/>
            <w:vAlign w:val="center"/>
          </w:tcPr>
          <w:p w14:paraId="64A896AC" w14:textId="77777777" w:rsidR="008D6614" w:rsidRDefault="008D6614">
            <w:pPr>
              <w:rPr>
                <w:rFonts w:ascii="宋体"/>
                <w:vanish/>
              </w:rPr>
            </w:pPr>
          </w:p>
        </w:tc>
        <w:tc>
          <w:tcPr>
            <w:tcW w:w="0" w:type="auto"/>
            <w:gridSpan w:val="3"/>
            <w:shd w:val="clear" w:color="auto" w:fill="auto"/>
            <w:vAlign w:val="center"/>
          </w:tcPr>
          <w:p w14:paraId="64A896AD" w14:textId="77777777" w:rsidR="008D6614" w:rsidRDefault="008D6614">
            <w:pPr>
              <w:rPr>
                <w:rFonts w:ascii="宋体"/>
                <w:vanish/>
              </w:rPr>
            </w:pPr>
          </w:p>
        </w:tc>
        <w:tc>
          <w:tcPr>
            <w:tcW w:w="0" w:type="auto"/>
            <w:gridSpan w:val="3"/>
            <w:shd w:val="clear" w:color="auto" w:fill="auto"/>
            <w:vAlign w:val="center"/>
          </w:tcPr>
          <w:p w14:paraId="64A896AE" w14:textId="77777777" w:rsidR="008D6614" w:rsidRDefault="008D6614">
            <w:pPr>
              <w:rPr>
                <w:rFonts w:ascii="宋体"/>
                <w:vanish/>
              </w:rPr>
            </w:pPr>
          </w:p>
        </w:tc>
        <w:tc>
          <w:tcPr>
            <w:tcW w:w="0" w:type="auto"/>
            <w:shd w:val="clear" w:color="auto" w:fill="auto"/>
            <w:vAlign w:val="center"/>
          </w:tcPr>
          <w:p w14:paraId="64A896AF" w14:textId="77777777" w:rsidR="008D6614" w:rsidRDefault="008D6614">
            <w:pPr>
              <w:rPr>
                <w:rFonts w:ascii="宋体"/>
              </w:rPr>
            </w:pPr>
          </w:p>
        </w:tc>
        <w:tc>
          <w:tcPr>
            <w:tcW w:w="0" w:type="auto"/>
            <w:shd w:val="clear" w:color="auto" w:fill="auto"/>
            <w:vAlign w:val="center"/>
          </w:tcPr>
          <w:p w14:paraId="64A896B0" w14:textId="77777777" w:rsidR="008D6614" w:rsidRDefault="008D6614">
            <w:pPr>
              <w:rPr>
                <w:rFonts w:ascii="宋体"/>
              </w:rPr>
            </w:pPr>
          </w:p>
        </w:tc>
        <w:tc>
          <w:tcPr>
            <w:tcW w:w="0" w:type="auto"/>
            <w:shd w:val="clear" w:color="auto" w:fill="auto"/>
            <w:vAlign w:val="center"/>
          </w:tcPr>
          <w:p w14:paraId="64A896B1" w14:textId="77777777" w:rsidR="008D6614" w:rsidRDefault="008D6614">
            <w:pPr>
              <w:rPr>
                <w:rFonts w:ascii="宋体"/>
              </w:rPr>
            </w:pPr>
          </w:p>
        </w:tc>
        <w:tc>
          <w:tcPr>
            <w:tcW w:w="0" w:type="auto"/>
            <w:shd w:val="clear" w:color="auto" w:fill="auto"/>
            <w:vAlign w:val="center"/>
          </w:tcPr>
          <w:p w14:paraId="64A896B2" w14:textId="77777777" w:rsidR="008D6614" w:rsidRDefault="008D6614">
            <w:pPr>
              <w:rPr>
                <w:rFonts w:ascii="宋体"/>
              </w:rPr>
            </w:pPr>
          </w:p>
        </w:tc>
        <w:tc>
          <w:tcPr>
            <w:tcW w:w="0" w:type="auto"/>
            <w:shd w:val="clear" w:color="auto" w:fill="auto"/>
            <w:vAlign w:val="center"/>
          </w:tcPr>
          <w:p w14:paraId="64A896B3" w14:textId="77777777" w:rsidR="008D6614" w:rsidRDefault="008D6614">
            <w:pPr>
              <w:rPr>
                <w:rFonts w:ascii="宋体"/>
              </w:rPr>
            </w:pPr>
          </w:p>
        </w:tc>
        <w:tc>
          <w:tcPr>
            <w:tcW w:w="0" w:type="auto"/>
            <w:shd w:val="clear" w:color="auto" w:fill="auto"/>
            <w:vAlign w:val="center"/>
          </w:tcPr>
          <w:p w14:paraId="64A896B4" w14:textId="77777777" w:rsidR="008D6614" w:rsidRDefault="008D6614">
            <w:pPr>
              <w:rPr>
                <w:rFonts w:ascii="宋体"/>
              </w:rPr>
            </w:pPr>
          </w:p>
        </w:tc>
      </w:tr>
      <w:tr w:rsidR="008D6614" w14:paraId="64A896C4" w14:textId="77777777">
        <w:trPr>
          <w:hidden/>
        </w:trPr>
        <w:tc>
          <w:tcPr>
            <w:tcW w:w="0" w:type="auto"/>
            <w:gridSpan w:val="3"/>
            <w:shd w:val="clear" w:color="auto" w:fill="auto"/>
            <w:vAlign w:val="center"/>
          </w:tcPr>
          <w:p w14:paraId="64A896B6" w14:textId="77777777" w:rsidR="008D6614" w:rsidRDefault="008D6614">
            <w:pPr>
              <w:rPr>
                <w:rFonts w:ascii="宋体"/>
                <w:vanish/>
              </w:rPr>
            </w:pPr>
          </w:p>
        </w:tc>
        <w:tc>
          <w:tcPr>
            <w:tcW w:w="0" w:type="auto"/>
            <w:shd w:val="clear" w:color="auto" w:fill="auto"/>
            <w:vAlign w:val="center"/>
          </w:tcPr>
          <w:p w14:paraId="64A896B7" w14:textId="77777777" w:rsidR="008D6614" w:rsidRDefault="008D6614">
            <w:pPr>
              <w:rPr>
                <w:rFonts w:ascii="宋体"/>
                <w:vanish/>
              </w:rPr>
            </w:pPr>
          </w:p>
        </w:tc>
        <w:tc>
          <w:tcPr>
            <w:tcW w:w="0" w:type="auto"/>
            <w:shd w:val="clear" w:color="auto" w:fill="auto"/>
            <w:vAlign w:val="center"/>
          </w:tcPr>
          <w:p w14:paraId="64A896B8" w14:textId="77777777" w:rsidR="008D6614" w:rsidRDefault="008D6614">
            <w:pPr>
              <w:rPr>
                <w:rFonts w:ascii="宋体"/>
                <w:vanish/>
              </w:rPr>
            </w:pPr>
          </w:p>
        </w:tc>
        <w:tc>
          <w:tcPr>
            <w:tcW w:w="0" w:type="auto"/>
            <w:shd w:val="clear" w:color="auto" w:fill="auto"/>
            <w:vAlign w:val="center"/>
          </w:tcPr>
          <w:p w14:paraId="64A896B9" w14:textId="77777777" w:rsidR="008D6614" w:rsidRDefault="008D6614">
            <w:pPr>
              <w:rPr>
                <w:rFonts w:ascii="宋体"/>
                <w:vanish/>
              </w:rPr>
            </w:pPr>
          </w:p>
        </w:tc>
        <w:tc>
          <w:tcPr>
            <w:tcW w:w="0" w:type="auto"/>
            <w:gridSpan w:val="3"/>
            <w:shd w:val="clear" w:color="auto" w:fill="auto"/>
            <w:vAlign w:val="center"/>
          </w:tcPr>
          <w:p w14:paraId="64A896BA" w14:textId="77777777" w:rsidR="008D6614" w:rsidRDefault="008D6614">
            <w:pPr>
              <w:rPr>
                <w:rFonts w:ascii="宋体"/>
                <w:vanish/>
              </w:rPr>
            </w:pPr>
          </w:p>
        </w:tc>
        <w:tc>
          <w:tcPr>
            <w:tcW w:w="0" w:type="auto"/>
            <w:gridSpan w:val="3"/>
            <w:shd w:val="clear" w:color="auto" w:fill="auto"/>
            <w:vAlign w:val="center"/>
          </w:tcPr>
          <w:p w14:paraId="64A896BB" w14:textId="77777777" w:rsidR="008D6614" w:rsidRDefault="008D6614">
            <w:pPr>
              <w:rPr>
                <w:rFonts w:ascii="宋体"/>
                <w:vanish/>
              </w:rPr>
            </w:pPr>
          </w:p>
        </w:tc>
        <w:tc>
          <w:tcPr>
            <w:tcW w:w="0" w:type="auto"/>
            <w:gridSpan w:val="3"/>
            <w:shd w:val="clear" w:color="auto" w:fill="auto"/>
            <w:vAlign w:val="center"/>
          </w:tcPr>
          <w:p w14:paraId="64A896BC" w14:textId="77777777" w:rsidR="008D6614" w:rsidRDefault="008D6614">
            <w:pPr>
              <w:rPr>
                <w:rFonts w:ascii="宋体"/>
                <w:vanish/>
              </w:rPr>
            </w:pPr>
          </w:p>
        </w:tc>
        <w:tc>
          <w:tcPr>
            <w:tcW w:w="0" w:type="auto"/>
            <w:gridSpan w:val="3"/>
            <w:shd w:val="clear" w:color="auto" w:fill="auto"/>
            <w:vAlign w:val="center"/>
          </w:tcPr>
          <w:p w14:paraId="64A896BD" w14:textId="77777777" w:rsidR="008D6614" w:rsidRDefault="008D6614">
            <w:pPr>
              <w:rPr>
                <w:rFonts w:ascii="宋体"/>
                <w:vanish/>
              </w:rPr>
            </w:pPr>
          </w:p>
        </w:tc>
        <w:tc>
          <w:tcPr>
            <w:tcW w:w="0" w:type="auto"/>
            <w:shd w:val="clear" w:color="auto" w:fill="auto"/>
            <w:vAlign w:val="center"/>
          </w:tcPr>
          <w:p w14:paraId="64A896BE" w14:textId="77777777" w:rsidR="008D6614" w:rsidRDefault="008D6614">
            <w:pPr>
              <w:rPr>
                <w:rFonts w:ascii="宋体"/>
              </w:rPr>
            </w:pPr>
          </w:p>
        </w:tc>
        <w:tc>
          <w:tcPr>
            <w:tcW w:w="0" w:type="auto"/>
            <w:shd w:val="clear" w:color="auto" w:fill="auto"/>
            <w:vAlign w:val="center"/>
          </w:tcPr>
          <w:p w14:paraId="64A896BF" w14:textId="77777777" w:rsidR="008D6614" w:rsidRDefault="008D6614">
            <w:pPr>
              <w:rPr>
                <w:rFonts w:ascii="宋体"/>
              </w:rPr>
            </w:pPr>
          </w:p>
        </w:tc>
        <w:tc>
          <w:tcPr>
            <w:tcW w:w="0" w:type="auto"/>
            <w:shd w:val="clear" w:color="auto" w:fill="auto"/>
            <w:vAlign w:val="center"/>
          </w:tcPr>
          <w:p w14:paraId="64A896C0" w14:textId="77777777" w:rsidR="008D6614" w:rsidRDefault="008D6614">
            <w:pPr>
              <w:rPr>
                <w:rFonts w:ascii="宋体"/>
              </w:rPr>
            </w:pPr>
          </w:p>
        </w:tc>
        <w:tc>
          <w:tcPr>
            <w:tcW w:w="0" w:type="auto"/>
            <w:shd w:val="clear" w:color="auto" w:fill="auto"/>
            <w:vAlign w:val="center"/>
          </w:tcPr>
          <w:p w14:paraId="64A896C1" w14:textId="77777777" w:rsidR="008D6614" w:rsidRDefault="008D6614">
            <w:pPr>
              <w:rPr>
                <w:rFonts w:ascii="宋体"/>
              </w:rPr>
            </w:pPr>
          </w:p>
        </w:tc>
        <w:tc>
          <w:tcPr>
            <w:tcW w:w="0" w:type="auto"/>
            <w:shd w:val="clear" w:color="auto" w:fill="auto"/>
            <w:vAlign w:val="center"/>
          </w:tcPr>
          <w:p w14:paraId="64A896C2" w14:textId="77777777" w:rsidR="008D6614" w:rsidRDefault="008D6614">
            <w:pPr>
              <w:rPr>
                <w:rFonts w:ascii="宋体"/>
              </w:rPr>
            </w:pPr>
          </w:p>
        </w:tc>
        <w:tc>
          <w:tcPr>
            <w:tcW w:w="0" w:type="auto"/>
            <w:shd w:val="clear" w:color="auto" w:fill="auto"/>
            <w:vAlign w:val="center"/>
          </w:tcPr>
          <w:p w14:paraId="64A896C3" w14:textId="77777777" w:rsidR="008D6614" w:rsidRDefault="008D6614">
            <w:pPr>
              <w:rPr>
                <w:rFonts w:ascii="宋体"/>
              </w:rPr>
            </w:pPr>
          </w:p>
        </w:tc>
      </w:tr>
      <w:tr w:rsidR="008D6614" w14:paraId="64A896D5" w14:textId="77777777">
        <w:tc>
          <w:tcPr>
            <w:tcW w:w="0" w:type="auto"/>
            <w:gridSpan w:val="3"/>
            <w:shd w:val="clear" w:color="auto" w:fill="E2E2E2"/>
            <w:tcMar>
              <w:top w:w="40" w:type="dxa"/>
              <w:left w:w="20" w:type="dxa"/>
              <w:bottom w:w="40" w:type="dxa"/>
              <w:right w:w="20" w:type="dxa"/>
            </w:tcMar>
            <w:vAlign w:val="bottom"/>
          </w:tcPr>
          <w:p w14:paraId="64A896C5" w14:textId="77777777" w:rsidR="008D6614" w:rsidRDefault="00866AF2">
            <w:pPr>
              <w:textAlignment w:val="bottom"/>
            </w:pPr>
            <w:r>
              <w:rPr>
                <w:rFonts w:ascii="Arial" w:eastAsia="宋体" w:hAnsi="Arial" w:cs="Arial"/>
                <w:color w:val="000000"/>
                <w:sz w:val="18"/>
                <w:szCs w:val="18"/>
              </w:rPr>
              <w:t xml:space="preserve">Classifieds </w:t>
            </w:r>
            <w:r>
              <w:rPr>
                <w:rFonts w:ascii="Arial" w:eastAsia="宋体" w:hAnsi="Arial" w:cs="Arial"/>
                <w:color w:val="000000"/>
                <w:sz w:val="11"/>
                <w:szCs w:val="11"/>
              </w:rPr>
              <w:t>(1)</w:t>
            </w:r>
          </w:p>
        </w:tc>
        <w:tc>
          <w:tcPr>
            <w:tcW w:w="0" w:type="auto"/>
            <w:shd w:val="clear" w:color="auto" w:fill="auto"/>
            <w:vAlign w:val="center"/>
          </w:tcPr>
          <w:p w14:paraId="64A896C6" w14:textId="77777777" w:rsidR="008D6614" w:rsidRDefault="008D6614">
            <w:pPr>
              <w:rPr>
                <w:rFonts w:ascii="宋体"/>
                <w:vanish/>
              </w:rPr>
            </w:pPr>
          </w:p>
        </w:tc>
        <w:tc>
          <w:tcPr>
            <w:tcW w:w="0" w:type="auto"/>
            <w:shd w:val="clear" w:color="auto" w:fill="auto"/>
            <w:vAlign w:val="center"/>
          </w:tcPr>
          <w:p w14:paraId="64A896C7" w14:textId="77777777" w:rsidR="008D6614" w:rsidRDefault="008D6614">
            <w:pPr>
              <w:rPr>
                <w:rFonts w:ascii="宋体"/>
                <w:vanish/>
              </w:rPr>
            </w:pPr>
          </w:p>
        </w:tc>
        <w:tc>
          <w:tcPr>
            <w:tcW w:w="0" w:type="auto"/>
            <w:shd w:val="clear" w:color="auto" w:fill="auto"/>
            <w:vAlign w:val="center"/>
          </w:tcPr>
          <w:p w14:paraId="64A896C8"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6C9"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96CA" w14:textId="77777777" w:rsidR="008D6614" w:rsidRDefault="00866AF2">
            <w:pPr>
              <w:jc w:val="right"/>
              <w:textAlignment w:val="bottom"/>
            </w:pPr>
            <w:r>
              <w:rPr>
                <w:rFonts w:ascii="Arial" w:eastAsia="宋体" w:hAnsi="Arial" w:cs="Arial"/>
                <w:color w:val="000000"/>
                <w:sz w:val="18"/>
                <w:szCs w:val="18"/>
              </w:rPr>
              <w:t>248 </w:t>
            </w:r>
          </w:p>
        </w:tc>
        <w:tc>
          <w:tcPr>
            <w:tcW w:w="0" w:type="auto"/>
            <w:tcBorders>
              <w:top w:val="single" w:sz="8" w:space="0" w:color="000000"/>
            </w:tcBorders>
            <w:shd w:val="clear" w:color="auto" w:fill="E2E2E2"/>
            <w:tcMar>
              <w:top w:w="40" w:type="dxa"/>
              <w:bottom w:w="40" w:type="dxa"/>
              <w:right w:w="20" w:type="dxa"/>
            </w:tcMar>
            <w:vAlign w:val="bottom"/>
          </w:tcPr>
          <w:p w14:paraId="64A896C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6CC"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96CD" w14:textId="77777777" w:rsidR="008D6614" w:rsidRDefault="00866AF2">
            <w:pPr>
              <w:jc w:val="right"/>
              <w:textAlignment w:val="bottom"/>
            </w:pPr>
            <w:r>
              <w:rPr>
                <w:rFonts w:ascii="Arial" w:eastAsia="宋体" w:hAnsi="Arial" w:cs="Arial"/>
                <w:color w:val="000000"/>
                <w:sz w:val="18"/>
                <w:szCs w:val="18"/>
              </w:rPr>
              <w:t>256 </w:t>
            </w:r>
          </w:p>
        </w:tc>
        <w:tc>
          <w:tcPr>
            <w:tcW w:w="0" w:type="auto"/>
            <w:tcBorders>
              <w:top w:val="single" w:sz="8" w:space="0" w:color="000000"/>
            </w:tcBorders>
            <w:shd w:val="clear" w:color="auto" w:fill="E2E2E2"/>
            <w:tcMar>
              <w:top w:w="40" w:type="dxa"/>
              <w:bottom w:w="40" w:type="dxa"/>
              <w:right w:w="20" w:type="dxa"/>
            </w:tcMar>
            <w:vAlign w:val="bottom"/>
          </w:tcPr>
          <w:p w14:paraId="64A896C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6CF" w14:textId="77777777" w:rsidR="008D6614" w:rsidRDefault="008D6614">
            <w:pPr>
              <w:rPr>
                <w:rFonts w:ascii="宋体"/>
              </w:rPr>
            </w:pPr>
          </w:p>
        </w:tc>
        <w:tc>
          <w:tcPr>
            <w:tcW w:w="0" w:type="auto"/>
            <w:shd w:val="clear" w:color="auto" w:fill="auto"/>
            <w:vAlign w:val="center"/>
          </w:tcPr>
          <w:p w14:paraId="64A896D0" w14:textId="77777777" w:rsidR="008D6614" w:rsidRDefault="008D6614">
            <w:pPr>
              <w:rPr>
                <w:rFonts w:ascii="宋体"/>
              </w:rPr>
            </w:pPr>
          </w:p>
        </w:tc>
        <w:tc>
          <w:tcPr>
            <w:tcW w:w="0" w:type="auto"/>
            <w:shd w:val="clear" w:color="auto" w:fill="auto"/>
            <w:vAlign w:val="center"/>
          </w:tcPr>
          <w:p w14:paraId="64A896D1" w14:textId="77777777" w:rsidR="008D6614" w:rsidRDefault="008D6614">
            <w:pPr>
              <w:rPr>
                <w:rFonts w:ascii="宋体"/>
              </w:rPr>
            </w:pPr>
          </w:p>
        </w:tc>
        <w:tc>
          <w:tcPr>
            <w:tcW w:w="0" w:type="auto"/>
            <w:shd w:val="clear" w:color="auto" w:fill="auto"/>
            <w:vAlign w:val="center"/>
          </w:tcPr>
          <w:p w14:paraId="64A896D2" w14:textId="77777777" w:rsidR="008D6614" w:rsidRDefault="008D6614">
            <w:pPr>
              <w:rPr>
                <w:rFonts w:ascii="宋体"/>
              </w:rPr>
            </w:pPr>
          </w:p>
        </w:tc>
        <w:tc>
          <w:tcPr>
            <w:tcW w:w="0" w:type="auto"/>
            <w:shd w:val="clear" w:color="auto" w:fill="auto"/>
            <w:vAlign w:val="center"/>
          </w:tcPr>
          <w:p w14:paraId="64A896D3" w14:textId="77777777" w:rsidR="008D6614" w:rsidRDefault="008D6614">
            <w:pPr>
              <w:rPr>
                <w:rFonts w:ascii="宋体"/>
              </w:rPr>
            </w:pPr>
          </w:p>
        </w:tc>
        <w:tc>
          <w:tcPr>
            <w:tcW w:w="0" w:type="auto"/>
            <w:shd w:val="clear" w:color="auto" w:fill="auto"/>
            <w:vAlign w:val="center"/>
          </w:tcPr>
          <w:p w14:paraId="64A896D4" w14:textId="77777777" w:rsidR="008D6614" w:rsidRDefault="008D6614">
            <w:pPr>
              <w:rPr>
                <w:rFonts w:ascii="宋体"/>
              </w:rPr>
            </w:pPr>
          </w:p>
        </w:tc>
      </w:tr>
      <w:tr w:rsidR="008D6614" w14:paraId="64A896E4" w14:textId="77777777">
        <w:trPr>
          <w:trHeight w:val="280"/>
        </w:trPr>
        <w:tc>
          <w:tcPr>
            <w:tcW w:w="0" w:type="auto"/>
            <w:gridSpan w:val="3"/>
            <w:shd w:val="clear" w:color="auto" w:fill="FFFFFF"/>
            <w:tcMar>
              <w:left w:w="20" w:type="dxa"/>
              <w:right w:w="20" w:type="dxa"/>
            </w:tcMar>
            <w:vAlign w:val="bottom"/>
          </w:tcPr>
          <w:p w14:paraId="64A896D6" w14:textId="77777777" w:rsidR="008D6614" w:rsidRDefault="008D6614">
            <w:pPr>
              <w:rPr>
                <w:rFonts w:ascii="宋体"/>
              </w:rPr>
            </w:pPr>
          </w:p>
        </w:tc>
        <w:tc>
          <w:tcPr>
            <w:tcW w:w="0" w:type="auto"/>
            <w:shd w:val="clear" w:color="auto" w:fill="auto"/>
            <w:vAlign w:val="center"/>
          </w:tcPr>
          <w:p w14:paraId="64A896D7" w14:textId="77777777" w:rsidR="008D6614" w:rsidRDefault="008D6614">
            <w:pPr>
              <w:rPr>
                <w:rFonts w:ascii="宋体"/>
                <w:vanish/>
              </w:rPr>
            </w:pPr>
          </w:p>
        </w:tc>
        <w:tc>
          <w:tcPr>
            <w:tcW w:w="0" w:type="auto"/>
            <w:shd w:val="clear" w:color="auto" w:fill="auto"/>
            <w:vAlign w:val="center"/>
          </w:tcPr>
          <w:p w14:paraId="64A896D8" w14:textId="77777777" w:rsidR="008D6614" w:rsidRDefault="008D6614">
            <w:pPr>
              <w:rPr>
                <w:rFonts w:ascii="宋体"/>
                <w:vanish/>
              </w:rPr>
            </w:pPr>
          </w:p>
        </w:tc>
        <w:tc>
          <w:tcPr>
            <w:tcW w:w="0" w:type="auto"/>
            <w:shd w:val="clear" w:color="auto" w:fill="auto"/>
            <w:vAlign w:val="center"/>
          </w:tcPr>
          <w:p w14:paraId="64A896D9"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6DA"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96D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6DC"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96DD" w14:textId="77777777" w:rsidR="008D6614" w:rsidRDefault="008D6614">
            <w:pPr>
              <w:rPr>
                <w:rFonts w:ascii="宋体"/>
              </w:rPr>
            </w:pPr>
          </w:p>
        </w:tc>
        <w:tc>
          <w:tcPr>
            <w:tcW w:w="0" w:type="auto"/>
            <w:shd w:val="clear" w:color="auto" w:fill="auto"/>
            <w:vAlign w:val="center"/>
          </w:tcPr>
          <w:p w14:paraId="64A896DE" w14:textId="77777777" w:rsidR="008D6614" w:rsidRDefault="008D6614">
            <w:pPr>
              <w:rPr>
                <w:rFonts w:ascii="宋体"/>
              </w:rPr>
            </w:pPr>
          </w:p>
        </w:tc>
        <w:tc>
          <w:tcPr>
            <w:tcW w:w="0" w:type="auto"/>
            <w:shd w:val="clear" w:color="auto" w:fill="auto"/>
            <w:vAlign w:val="center"/>
          </w:tcPr>
          <w:p w14:paraId="64A896DF" w14:textId="77777777" w:rsidR="008D6614" w:rsidRDefault="008D6614">
            <w:pPr>
              <w:rPr>
                <w:rFonts w:ascii="宋体"/>
              </w:rPr>
            </w:pPr>
          </w:p>
        </w:tc>
        <w:tc>
          <w:tcPr>
            <w:tcW w:w="0" w:type="auto"/>
            <w:shd w:val="clear" w:color="auto" w:fill="auto"/>
            <w:vAlign w:val="center"/>
          </w:tcPr>
          <w:p w14:paraId="64A896E0" w14:textId="77777777" w:rsidR="008D6614" w:rsidRDefault="008D6614">
            <w:pPr>
              <w:rPr>
                <w:rFonts w:ascii="宋体"/>
              </w:rPr>
            </w:pPr>
          </w:p>
        </w:tc>
        <w:tc>
          <w:tcPr>
            <w:tcW w:w="0" w:type="auto"/>
            <w:shd w:val="clear" w:color="auto" w:fill="auto"/>
            <w:vAlign w:val="center"/>
          </w:tcPr>
          <w:p w14:paraId="64A896E1" w14:textId="77777777" w:rsidR="008D6614" w:rsidRDefault="008D6614">
            <w:pPr>
              <w:rPr>
                <w:rFonts w:ascii="宋体"/>
              </w:rPr>
            </w:pPr>
          </w:p>
        </w:tc>
        <w:tc>
          <w:tcPr>
            <w:tcW w:w="0" w:type="auto"/>
            <w:shd w:val="clear" w:color="auto" w:fill="auto"/>
            <w:vAlign w:val="center"/>
          </w:tcPr>
          <w:p w14:paraId="64A896E2" w14:textId="77777777" w:rsidR="008D6614" w:rsidRDefault="008D6614">
            <w:pPr>
              <w:rPr>
                <w:rFonts w:ascii="宋体"/>
              </w:rPr>
            </w:pPr>
          </w:p>
        </w:tc>
        <w:tc>
          <w:tcPr>
            <w:tcW w:w="0" w:type="auto"/>
            <w:shd w:val="clear" w:color="auto" w:fill="auto"/>
            <w:vAlign w:val="center"/>
          </w:tcPr>
          <w:p w14:paraId="64A896E3" w14:textId="77777777" w:rsidR="008D6614" w:rsidRDefault="008D6614">
            <w:pPr>
              <w:rPr>
                <w:rFonts w:ascii="宋体"/>
              </w:rPr>
            </w:pPr>
          </w:p>
        </w:tc>
      </w:tr>
      <w:tr w:rsidR="008D6614" w14:paraId="64A896F5" w14:textId="77777777">
        <w:tc>
          <w:tcPr>
            <w:tcW w:w="0" w:type="auto"/>
            <w:gridSpan w:val="3"/>
            <w:shd w:val="clear" w:color="auto" w:fill="E2E2E2"/>
            <w:tcMar>
              <w:top w:w="40" w:type="dxa"/>
              <w:left w:w="20" w:type="dxa"/>
              <w:bottom w:w="40" w:type="dxa"/>
              <w:right w:w="20" w:type="dxa"/>
            </w:tcMar>
            <w:vAlign w:val="bottom"/>
          </w:tcPr>
          <w:p w14:paraId="64A896E5" w14:textId="77777777" w:rsidR="008D6614" w:rsidRDefault="00866AF2">
            <w:pPr>
              <w:textAlignment w:val="bottom"/>
            </w:pPr>
            <w:r>
              <w:rPr>
                <w:rFonts w:ascii="Arial" w:eastAsia="宋体" w:hAnsi="Arial" w:cs="Arial"/>
                <w:color w:val="000000"/>
                <w:sz w:val="18"/>
                <w:szCs w:val="18"/>
              </w:rPr>
              <w:t xml:space="preserve">Elimination of inter-segment net revenue </w:t>
            </w:r>
            <w:r>
              <w:rPr>
                <w:rFonts w:ascii="Arial" w:eastAsia="宋体" w:hAnsi="Arial" w:cs="Arial"/>
                <w:color w:val="000000"/>
                <w:sz w:val="11"/>
                <w:szCs w:val="11"/>
              </w:rPr>
              <w:t>(2)</w:t>
            </w:r>
          </w:p>
        </w:tc>
        <w:tc>
          <w:tcPr>
            <w:tcW w:w="0" w:type="auto"/>
            <w:shd w:val="clear" w:color="auto" w:fill="auto"/>
            <w:vAlign w:val="center"/>
          </w:tcPr>
          <w:p w14:paraId="64A896E6" w14:textId="77777777" w:rsidR="008D6614" w:rsidRDefault="008D6614">
            <w:pPr>
              <w:rPr>
                <w:rFonts w:ascii="宋体"/>
                <w:vanish/>
              </w:rPr>
            </w:pPr>
          </w:p>
        </w:tc>
        <w:tc>
          <w:tcPr>
            <w:tcW w:w="0" w:type="auto"/>
            <w:shd w:val="clear" w:color="auto" w:fill="auto"/>
            <w:vAlign w:val="center"/>
          </w:tcPr>
          <w:p w14:paraId="64A896E7" w14:textId="77777777" w:rsidR="008D6614" w:rsidRDefault="008D6614">
            <w:pPr>
              <w:rPr>
                <w:rFonts w:ascii="宋体"/>
                <w:vanish/>
              </w:rPr>
            </w:pPr>
          </w:p>
        </w:tc>
        <w:tc>
          <w:tcPr>
            <w:tcW w:w="0" w:type="auto"/>
            <w:shd w:val="clear" w:color="auto" w:fill="auto"/>
            <w:vAlign w:val="center"/>
          </w:tcPr>
          <w:p w14:paraId="64A896E8"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6E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6EA" w14:textId="77777777" w:rsidR="008D6614" w:rsidRDefault="00866AF2">
            <w:pPr>
              <w:jc w:val="right"/>
              <w:textAlignment w:val="bottom"/>
            </w:pPr>
            <w:r>
              <w:rPr>
                <w:rFonts w:ascii="Arial" w:eastAsia="宋体" w:hAnsi="Arial" w:cs="Arial"/>
                <w:color w:val="000000"/>
                <w:sz w:val="18"/>
                <w:szCs w:val="18"/>
              </w:rPr>
              <w:t>(4)</w:t>
            </w:r>
          </w:p>
        </w:tc>
        <w:tc>
          <w:tcPr>
            <w:tcW w:w="0" w:type="auto"/>
            <w:shd w:val="clear" w:color="auto" w:fill="E2E2E2"/>
            <w:tcMar>
              <w:top w:w="40" w:type="dxa"/>
              <w:bottom w:w="40" w:type="dxa"/>
              <w:right w:w="20" w:type="dxa"/>
            </w:tcMar>
            <w:vAlign w:val="bottom"/>
          </w:tcPr>
          <w:p w14:paraId="64A896E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6E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6ED" w14:textId="77777777" w:rsidR="008D6614" w:rsidRDefault="00866AF2">
            <w:pPr>
              <w:jc w:val="right"/>
              <w:textAlignment w:val="bottom"/>
            </w:pPr>
            <w:r>
              <w:rPr>
                <w:rFonts w:ascii="Arial" w:eastAsia="宋体" w:hAnsi="Arial" w:cs="Arial"/>
                <w:color w:val="000000"/>
                <w:sz w:val="18"/>
                <w:szCs w:val="18"/>
              </w:rPr>
              <w:t>(5)</w:t>
            </w:r>
          </w:p>
        </w:tc>
        <w:tc>
          <w:tcPr>
            <w:tcW w:w="0" w:type="auto"/>
            <w:shd w:val="clear" w:color="auto" w:fill="E2E2E2"/>
            <w:tcMar>
              <w:top w:w="40" w:type="dxa"/>
              <w:bottom w:w="40" w:type="dxa"/>
              <w:right w:w="20" w:type="dxa"/>
            </w:tcMar>
            <w:vAlign w:val="bottom"/>
          </w:tcPr>
          <w:p w14:paraId="64A896E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6EF" w14:textId="77777777" w:rsidR="008D6614" w:rsidRDefault="008D6614">
            <w:pPr>
              <w:rPr>
                <w:rFonts w:ascii="宋体"/>
              </w:rPr>
            </w:pPr>
          </w:p>
        </w:tc>
        <w:tc>
          <w:tcPr>
            <w:tcW w:w="0" w:type="auto"/>
            <w:shd w:val="clear" w:color="auto" w:fill="auto"/>
            <w:vAlign w:val="center"/>
          </w:tcPr>
          <w:p w14:paraId="64A896F0" w14:textId="77777777" w:rsidR="008D6614" w:rsidRDefault="008D6614">
            <w:pPr>
              <w:rPr>
                <w:rFonts w:ascii="宋体"/>
              </w:rPr>
            </w:pPr>
          </w:p>
        </w:tc>
        <w:tc>
          <w:tcPr>
            <w:tcW w:w="0" w:type="auto"/>
            <w:shd w:val="clear" w:color="auto" w:fill="auto"/>
            <w:vAlign w:val="center"/>
          </w:tcPr>
          <w:p w14:paraId="64A896F1" w14:textId="77777777" w:rsidR="008D6614" w:rsidRDefault="008D6614">
            <w:pPr>
              <w:rPr>
                <w:rFonts w:ascii="宋体"/>
              </w:rPr>
            </w:pPr>
          </w:p>
        </w:tc>
        <w:tc>
          <w:tcPr>
            <w:tcW w:w="0" w:type="auto"/>
            <w:shd w:val="clear" w:color="auto" w:fill="auto"/>
            <w:vAlign w:val="center"/>
          </w:tcPr>
          <w:p w14:paraId="64A896F2" w14:textId="77777777" w:rsidR="008D6614" w:rsidRDefault="008D6614">
            <w:pPr>
              <w:rPr>
                <w:rFonts w:ascii="宋体"/>
              </w:rPr>
            </w:pPr>
          </w:p>
        </w:tc>
        <w:tc>
          <w:tcPr>
            <w:tcW w:w="0" w:type="auto"/>
            <w:shd w:val="clear" w:color="auto" w:fill="auto"/>
            <w:vAlign w:val="center"/>
          </w:tcPr>
          <w:p w14:paraId="64A896F3" w14:textId="77777777" w:rsidR="008D6614" w:rsidRDefault="008D6614">
            <w:pPr>
              <w:rPr>
                <w:rFonts w:ascii="宋体"/>
              </w:rPr>
            </w:pPr>
          </w:p>
        </w:tc>
        <w:tc>
          <w:tcPr>
            <w:tcW w:w="0" w:type="auto"/>
            <w:shd w:val="clear" w:color="auto" w:fill="auto"/>
            <w:vAlign w:val="center"/>
          </w:tcPr>
          <w:p w14:paraId="64A896F4" w14:textId="77777777" w:rsidR="008D6614" w:rsidRDefault="008D6614">
            <w:pPr>
              <w:rPr>
                <w:rFonts w:ascii="宋体"/>
              </w:rPr>
            </w:pPr>
          </w:p>
        </w:tc>
      </w:tr>
      <w:tr w:rsidR="008D6614" w14:paraId="64A89708" w14:textId="77777777">
        <w:tc>
          <w:tcPr>
            <w:tcW w:w="0" w:type="auto"/>
            <w:gridSpan w:val="3"/>
            <w:shd w:val="clear" w:color="auto" w:fill="FFFFFF"/>
            <w:tcMar>
              <w:top w:w="40" w:type="dxa"/>
              <w:left w:w="495" w:type="dxa"/>
              <w:bottom w:w="40" w:type="dxa"/>
              <w:right w:w="20" w:type="dxa"/>
            </w:tcMar>
            <w:vAlign w:val="bottom"/>
          </w:tcPr>
          <w:p w14:paraId="64A896F6" w14:textId="77777777" w:rsidR="008D6614" w:rsidRDefault="00866AF2">
            <w:pPr>
              <w:textAlignment w:val="bottom"/>
            </w:pPr>
            <w:r>
              <w:rPr>
                <w:rFonts w:ascii="Arial" w:eastAsia="宋体" w:hAnsi="Arial" w:cs="Arial"/>
                <w:color w:val="000000"/>
                <w:sz w:val="18"/>
                <w:szCs w:val="18"/>
              </w:rPr>
              <w:t>Total consolidated net revenue</w:t>
            </w:r>
          </w:p>
        </w:tc>
        <w:tc>
          <w:tcPr>
            <w:tcW w:w="0" w:type="auto"/>
            <w:shd w:val="clear" w:color="auto" w:fill="auto"/>
            <w:vAlign w:val="center"/>
          </w:tcPr>
          <w:p w14:paraId="64A896F7" w14:textId="77777777" w:rsidR="008D6614" w:rsidRDefault="008D6614">
            <w:pPr>
              <w:rPr>
                <w:rFonts w:ascii="宋体"/>
                <w:vanish/>
              </w:rPr>
            </w:pPr>
          </w:p>
        </w:tc>
        <w:tc>
          <w:tcPr>
            <w:tcW w:w="0" w:type="auto"/>
            <w:shd w:val="clear" w:color="auto" w:fill="auto"/>
            <w:vAlign w:val="center"/>
          </w:tcPr>
          <w:p w14:paraId="64A896F8" w14:textId="77777777" w:rsidR="008D6614" w:rsidRDefault="008D6614">
            <w:pPr>
              <w:rPr>
                <w:rFonts w:ascii="宋体"/>
                <w:vanish/>
              </w:rPr>
            </w:pPr>
          </w:p>
        </w:tc>
        <w:tc>
          <w:tcPr>
            <w:tcW w:w="0" w:type="auto"/>
            <w:shd w:val="clear" w:color="auto" w:fill="auto"/>
            <w:vAlign w:val="center"/>
          </w:tcPr>
          <w:p w14:paraId="64A896F9"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6FA"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6FB"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6FC" w14:textId="77777777" w:rsidR="008D6614" w:rsidRDefault="00866AF2">
            <w:pPr>
              <w:jc w:val="right"/>
              <w:textAlignment w:val="bottom"/>
            </w:pPr>
            <w:r>
              <w:rPr>
                <w:rFonts w:ascii="Arial" w:eastAsia="宋体" w:hAnsi="Arial" w:cs="Arial"/>
                <w:color w:val="000000"/>
                <w:sz w:val="18"/>
                <w:szCs w:val="18"/>
              </w:rPr>
              <w:t>2,374 </w:t>
            </w:r>
          </w:p>
        </w:tc>
        <w:tc>
          <w:tcPr>
            <w:tcW w:w="0" w:type="auto"/>
            <w:tcBorders>
              <w:top w:val="single" w:sz="8" w:space="0" w:color="000000"/>
            </w:tcBorders>
            <w:shd w:val="clear" w:color="auto" w:fill="FFFFFF"/>
            <w:tcMar>
              <w:top w:w="40" w:type="dxa"/>
              <w:bottom w:w="40" w:type="dxa"/>
              <w:right w:w="20" w:type="dxa"/>
            </w:tcMar>
            <w:vAlign w:val="bottom"/>
          </w:tcPr>
          <w:p w14:paraId="64A896F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6FE"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6FF"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700" w14:textId="77777777" w:rsidR="008D6614" w:rsidRDefault="00866AF2">
            <w:pPr>
              <w:jc w:val="right"/>
              <w:textAlignment w:val="bottom"/>
            </w:pPr>
            <w:r>
              <w:rPr>
                <w:rFonts w:ascii="Arial" w:eastAsia="宋体" w:hAnsi="Arial" w:cs="Arial"/>
                <w:color w:val="000000"/>
                <w:sz w:val="18"/>
                <w:szCs w:val="18"/>
              </w:rPr>
              <w:t>2,413 </w:t>
            </w:r>
          </w:p>
        </w:tc>
        <w:tc>
          <w:tcPr>
            <w:tcW w:w="0" w:type="auto"/>
            <w:tcBorders>
              <w:top w:val="single" w:sz="8" w:space="0" w:color="000000"/>
            </w:tcBorders>
            <w:shd w:val="clear" w:color="auto" w:fill="FFFFFF"/>
            <w:tcMar>
              <w:top w:w="40" w:type="dxa"/>
              <w:bottom w:w="40" w:type="dxa"/>
              <w:right w:w="20" w:type="dxa"/>
            </w:tcMar>
            <w:vAlign w:val="bottom"/>
          </w:tcPr>
          <w:p w14:paraId="64A8970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702" w14:textId="77777777" w:rsidR="008D6614" w:rsidRDefault="008D6614">
            <w:pPr>
              <w:rPr>
                <w:rFonts w:ascii="宋体"/>
              </w:rPr>
            </w:pPr>
          </w:p>
        </w:tc>
        <w:tc>
          <w:tcPr>
            <w:tcW w:w="0" w:type="auto"/>
            <w:shd w:val="clear" w:color="auto" w:fill="auto"/>
            <w:vAlign w:val="center"/>
          </w:tcPr>
          <w:p w14:paraId="64A89703" w14:textId="77777777" w:rsidR="008D6614" w:rsidRDefault="008D6614">
            <w:pPr>
              <w:rPr>
                <w:rFonts w:ascii="宋体"/>
              </w:rPr>
            </w:pPr>
          </w:p>
        </w:tc>
        <w:tc>
          <w:tcPr>
            <w:tcW w:w="0" w:type="auto"/>
            <w:shd w:val="clear" w:color="auto" w:fill="auto"/>
            <w:vAlign w:val="center"/>
          </w:tcPr>
          <w:p w14:paraId="64A89704" w14:textId="77777777" w:rsidR="008D6614" w:rsidRDefault="008D6614">
            <w:pPr>
              <w:rPr>
                <w:rFonts w:ascii="宋体"/>
              </w:rPr>
            </w:pPr>
          </w:p>
        </w:tc>
        <w:tc>
          <w:tcPr>
            <w:tcW w:w="0" w:type="auto"/>
            <w:shd w:val="clear" w:color="auto" w:fill="auto"/>
            <w:vAlign w:val="center"/>
          </w:tcPr>
          <w:p w14:paraId="64A89705" w14:textId="77777777" w:rsidR="008D6614" w:rsidRDefault="008D6614">
            <w:pPr>
              <w:rPr>
                <w:rFonts w:ascii="宋体"/>
              </w:rPr>
            </w:pPr>
          </w:p>
        </w:tc>
        <w:tc>
          <w:tcPr>
            <w:tcW w:w="0" w:type="auto"/>
            <w:shd w:val="clear" w:color="auto" w:fill="auto"/>
            <w:vAlign w:val="center"/>
          </w:tcPr>
          <w:p w14:paraId="64A89706" w14:textId="77777777" w:rsidR="008D6614" w:rsidRDefault="008D6614">
            <w:pPr>
              <w:rPr>
                <w:rFonts w:ascii="宋体"/>
              </w:rPr>
            </w:pPr>
          </w:p>
        </w:tc>
        <w:tc>
          <w:tcPr>
            <w:tcW w:w="0" w:type="auto"/>
            <w:shd w:val="clear" w:color="auto" w:fill="auto"/>
            <w:vAlign w:val="center"/>
          </w:tcPr>
          <w:p w14:paraId="64A89707" w14:textId="77777777" w:rsidR="008D6614" w:rsidRDefault="008D6614">
            <w:pPr>
              <w:rPr>
                <w:rFonts w:ascii="宋体"/>
              </w:rPr>
            </w:pPr>
          </w:p>
        </w:tc>
      </w:tr>
      <w:tr w:rsidR="008D6614" w14:paraId="64A89717" w14:textId="77777777">
        <w:trPr>
          <w:trHeight w:val="280"/>
        </w:trPr>
        <w:tc>
          <w:tcPr>
            <w:tcW w:w="0" w:type="auto"/>
            <w:gridSpan w:val="3"/>
            <w:shd w:val="clear" w:color="auto" w:fill="E2E2E2"/>
            <w:tcMar>
              <w:left w:w="20" w:type="dxa"/>
              <w:right w:w="20" w:type="dxa"/>
            </w:tcMar>
            <w:vAlign w:val="bottom"/>
          </w:tcPr>
          <w:p w14:paraId="64A89709" w14:textId="77777777" w:rsidR="008D6614" w:rsidRDefault="008D6614">
            <w:pPr>
              <w:rPr>
                <w:rFonts w:ascii="宋体"/>
              </w:rPr>
            </w:pPr>
          </w:p>
        </w:tc>
        <w:tc>
          <w:tcPr>
            <w:tcW w:w="0" w:type="auto"/>
            <w:shd w:val="clear" w:color="auto" w:fill="auto"/>
            <w:vAlign w:val="center"/>
          </w:tcPr>
          <w:p w14:paraId="64A8970A" w14:textId="77777777" w:rsidR="008D6614" w:rsidRDefault="008D6614">
            <w:pPr>
              <w:rPr>
                <w:rFonts w:ascii="宋体"/>
                <w:vanish/>
              </w:rPr>
            </w:pPr>
          </w:p>
        </w:tc>
        <w:tc>
          <w:tcPr>
            <w:tcW w:w="0" w:type="auto"/>
            <w:shd w:val="clear" w:color="auto" w:fill="auto"/>
            <w:vAlign w:val="center"/>
          </w:tcPr>
          <w:p w14:paraId="64A8970B" w14:textId="77777777" w:rsidR="008D6614" w:rsidRDefault="008D6614">
            <w:pPr>
              <w:rPr>
                <w:rFonts w:ascii="宋体"/>
                <w:vanish/>
              </w:rPr>
            </w:pPr>
          </w:p>
        </w:tc>
        <w:tc>
          <w:tcPr>
            <w:tcW w:w="0" w:type="auto"/>
            <w:shd w:val="clear" w:color="auto" w:fill="auto"/>
            <w:vAlign w:val="center"/>
          </w:tcPr>
          <w:p w14:paraId="64A8970C"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70D"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70E"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70F"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710" w14:textId="77777777" w:rsidR="008D6614" w:rsidRDefault="008D6614">
            <w:pPr>
              <w:rPr>
                <w:rFonts w:ascii="宋体"/>
              </w:rPr>
            </w:pPr>
          </w:p>
        </w:tc>
        <w:tc>
          <w:tcPr>
            <w:tcW w:w="0" w:type="auto"/>
            <w:shd w:val="clear" w:color="auto" w:fill="auto"/>
            <w:vAlign w:val="center"/>
          </w:tcPr>
          <w:p w14:paraId="64A89711" w14:textId="77777777" w:rsidR="008D6614" w:rsidRDefault="008D6614">
            <w:pPr>
              <w:rPr>
                <w:rFonts w:ascii="宋体"/>
              </w:rPr>
            </w:pPr>
          </w:p>
        </w:tc>
        <w:tc>
          <w:tcPr>
            <w:tcW w:w="0" w:type="auto"/>
            <w:shd w:val="clear" w:color="auto" w:fill="auto"/>
            <w:vAlign w:val="center"/>
          </w:tcPr>
          <w:p w14:paraId="64A89712" w14:textId="77777777" w:rsidR="008D6614" w:rsidRDefault="008D6614">
            <w:pPr>
              <w:rPr>
                <w:rFonts w:ascii="宋体"/>
              </w:rPr>
            </w:pPr>
          </w:p>
        </w:tc>
        <w:tc>
          <w:tcPr>
            <w:tcW w:w="0" w:type="auto"/>
            <w:shd w:val="clear" w:color="auto" w:fill="auto"/>
            <w:vAlign w:val="center"/>
          </w:tcPr>
          <w:p w14:paraId="64A89713" w14:textId="77777777" w:rsidR="008D6614" w:rsidRDefault="008D6614">
            <w:pPr>
              <w:rPr>
                <w:rFonts w:ascii="宋体"/>
              </w:rPr>
            </w:pPr>
          </w:p>
        </w:tc>
        <w:tc>
          <w:tcPr>
            <w:tcW w:w="0" w:type="auto"/>
            <w:shd w:val="clear" w:color="auto" w:fill="auto"/>
            <w:vAlign w:val="center"/>
          </w:tcPr>
          <w:p w14:paraId="64A89714" w14:textId="77777777" w:rsidR="008D6614" w:rsidRDefault="008D6614">
            <w:pPr>
              <w:rPr>
                <w:rFonts w:ascii="宋体"/>
              </w:rPr>
            </w:pPr>
          </w:p>
        </w:tc>
        <w:tc>
          <w:tcPr>
            <w:tcW w:w="0" w:type="auto"/>
            <w:shd w:val="clear" w:color="auto" w:fill="auto"/>
            <w:vAlign w:val="center"/>
          </w:tcPr>
          <w:p w14:paraId="64A89715" w14:textId="77777777" w:rsidR="008D6614" w:rsidRDefault="008D6614">
            <w:pPr>
              <w:rPr>
                <w:rFonts w:ascii="宋体"/>
              </w:rPr>
            </w:pPr>
          </w:p>
        </w:tc>
        <w:tc>
          <w:tcPr>
            <w:tcW w:w="0" w:type="auto"/>
            <w:shd w:val="clear" w:color="auto" w:fill="auto"/>
            <w:vAlign w:val="center"/>
          </w:tcPr>
          <w:p w14:paraId="64A89716" w14:textId="77777777" w:rsidR="008D6614" w:rsidRDefault="008D6614">
            <w:pPr>
              <w:rPr>
                <w:rFonts w:ascii="宋体"/>
              </w:rPr>
            </w:pPr>
          </w:p>
        </w:tc>
      </w:tr>
      <w:tr w:rsidR="008D6614" w14:paraId="64A89726" w14:textId="77777777">
        <w:tc>
          <w:tcPr>
            <w:tcW w:w="0" w:type="auto"/>
            <w:gridSpan w:val="3"/>
            <w:shd w:val="clear" w:color="auto" w:fill="FFFFFF"/>
            <w:tcMar>
              <w:top w:w="40" w:type="dxa"/>
              <w:left w:w="20" w:type="dxa"/>
              <w:bottom w:w="40" w:type="dxa"/>
              <w:right w:w="20" w:type="dxa"/>
            </w:tcMar>
            <w:vAlign w:val="bottom"/>
          </w:tcPr>
          <w:p w14:paraId="64A89718" w14:textId="77777777" w:rsidR="008D6614" w:rsidRDefault="00866AF2">
            <w:pPr>
              <w:textAlignment w:val="bottom"/>
            </w:pPr>
            <w:r>
              <w:rPr>
                <w:rFonts w:ascii="Arial" w:eastAsia="宋体" w:hAnsi="Arial" w:cs="Arial"/>
                <w:b/>
                <w:bCs/>
                <w:color w:val="000000"/>
                <w:sz w:val="18"/>
                <w:szCs w:val="18"/>
              </w:rPr>
              <w:t>Operating income (loss)</w:t>
            </w:r>
          </w:p>
        </w:tc>
        <w:tc>
          <w:tcPr>
            <w:tcW w:w="0" w:type="auto"/>
            <w:shd w:val="clear" w:color="auto" w:fill="auto"/>
            <w:vAlign w:val="center"/>
          </w:tcPr>
          <w:p w14:paraId="64A89719" w14:textId="77777777" w:rsidR="008D6614" w:rsidRDefault="008D6614">
            <w:pPr>
              <w:rPr>
                <w:rFonts w:ascii="宋体"/>
                <w:vanish/>
              </w:rPr>
            </w:pPr>
          </w:p>
        </w:tc>
        <w:tc>
          <w:tcPr>
            <w:tcW w:w="0" w:type="auto"/>
            <w:shd w:val="clear" w:color="auto" w:fill="auto"/>
            <w:vAlign w:val="center"/>
          </w:tcPr>
          <w:p w14:paraId="64A8971A" w14:textId="77777777" w:rsidR="008D6614" w:rsidRDefault="008D6614">
            <w:pPr>
              <w:rPr>
                <w:rFonts w:ascii="宋体"/>
                <w:vanish/>
              </w:rPr>
            </w:pPr>
          </w:p>
        </w:tc>
        <w:tc>
          <w:tcPr>
            <w:tcW w:w="0" w:type="auto"/>
            <w:shd w:val="clear" w:color="auto" w:fill="auto"/>
            <w:vAlign w:val="center"/>
          </w:tcPr>
          <w:p w14:paraId="64A8971B"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71C"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71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71E"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71F" w14:textId="77777777" w:rsidR="008D6614" w:rsidRDefault="008D6614">
            <w:pPr>
              <w:rPr>
                <w:rFonts w:ascii="宋体"/>
              </w:rPr>
            </w:pPr>
          </w:p>
        </w:tc>
        <w:tc>
          <w:tcPr>
            <w:tcW w:w="0" w:type="auto"/>
            <w:shd w:val="clear" w:color="auto" w:fill="auto"/>
            <w:vAlign w:val="center"/>
          </w:tcPr>
          <w:p w14:paraId="64A89720" w14:textId="77777777" w:rsidR="008D6614" w:rsidRDefault="008D6614">
            <w:pPr>
              <w:rPr>
                <w:rFonts w:ascii="宋体"/>
              </w:rPr>
            </w:pPr>
          </w:p>
        </w:tc>
        <w:tc>
          <w:tcPr>
            <w:tcW w:w="0" w:type="auto"/>
            <w:shd w:val="clear" w:color="auto" w:fill="auto"/>
            <w:vAlign w:val="center"/>
          </w:tcPr>
          <w:p w14:paraId="64A89721" w14:textId="77777777" w:rsidR="008D6614" w:rsidRDefault="008D6614">
            <w:pPr>
              <w:rPr>
                <w:rFonts w:ascii="宋体"/>
              </w:rPr>
            </w:pPr>
          </w:p>
        </w:tc>
        <w:tc>
          <w:tcPr>
            <w:tcW w:w="0" w:type="auto"/>
            <w:shd w:val="clear" w:color="auto" w:fill="auto"/>
            <w:vAlign w:val="center"/>
          </w:tcPr>
          <w:p w14:paraId="64A89722" w14:textId="77777777" w:rsidR="008D6614" w:rsidRDefault="008D6614">
            <w:pPr>
              <w:rPr>
                <w:rFonts w:ascii="宋体"/>
              </w:rPr>
            </w:pPr>
          </w:p>
        </w:tc>
        <w:tc>
          <w:tcPr>
            <w:tcW w:w="0" w:type="auto"/>
            <w:shd w:val="clear" w:color="auto" w:fill="auto"/>
            <w:vAlign w:val="center"/>
          </w:tcPr>
          <w:p w14:paraId="64A89723" w14:textId="77777777" w:rsidR="008D6614" w:rsidRDefault="008D6614">
            <w:pPr>
              <w:rPr>
                <w:rFonts w:ascii="宋体"/>
              </w:rPr>
            </w:pPr>
          </w:p>
        </w:tc>
        <w:tc>
          <w:tcPr>
            <w:tcW w:w="0" w:type="auto"/>
            <w:shd w:val="clear" w:color="auto" w:fill="auto"/>
            <w:vAlign w:val="center"/>
          </w:tcPr>
          <w:p w14:paraId="64A89724" w14:textId="77777777" w:rsidR="008D6614" w:rsidRDefault="008D6614">
            <w:pPr>
              <w:rPr>
                <w:rFonts w:ascii="宋体"/>
              </w:rPr>
            </w:pPr>
          </w:p>
        </w:tc>
        <w:tc>
          <w:tcPr>
            <w:tcW w:w="0" w:type="auto"/>
            <w:shd w:val="clear" w:color="auto" w:fill="auto"/>
            <w:vAlign w:val="center"/>
          </w:tcPr>
          <w:p w14:paraId="64A89725" w14:textId="77777777" w:rsidR="008D6614" w:rsidRDefault="008D6614">
            <w:pPr>
              <w:rPr>
                <w:rFonts w:ascii="宋体"/>
              </w:rPr>
            </w:pPr>
          </w:p>
        </w:tc>
      </w:tr>
      <w:tr w:rsidR="008D6614" w14:paraId="64A89739" w14:textId="77777777">
        <w:tc>
          <w:tcPr>
            <w:tcW w:w="0" w:type="auto"/>
            <w:gridSpan w:val="3"/>
            <w:shd w:val="clear" w:color="auto" w:fill="E2E2E2"/>
            <w:tcMar>
              <w:top w:w="40" w:type="dxa"/>
              <w:left w:w="20" w:type="dxa"/>
              <w:bottom w:w="40" w:type="dxa"/>
              <w:right w:w="20" w:type="dxa"/>
            </w:tcMar>
            <w:vAlign w:val="bottom"/>
          </w:tcPr>
          <w:p w14:paraId="64A89727" w14:textId="77777777" w:rsidR="008D6614" w:rsidRDefault="00866AF2">
            <w:pPr>
              <w:textAlignment w:val="bottom"/>
            </w:pPr>
            <w:r>
              <w:rPr>
                <w:rFonts w:ascii="Arial" w:eastAsia="宋体" w:hAnsi="Arial" w:cs="Arial"/>
                <w:color w:val="000000"/>
                <w:sz w:val="18"/>
                <w:szCs w:val="18"/>
              </w:rPr>
              <w:t>Marketplace</w:t>
            </w:r>
          </w:p>
        </w:tc>
        <w:tc>
          <w:tcPr>
            <w:tcW w:w="0" w:type="auto"/>
            <w:shd w:val="clear" w:color="auto" w:fill="auto"/>
            <w:vAlign w:val="center"/>
          </w:tcPr>
          <w:p w14:paraId="64A89728" w14:textId="77777777" w:rsidR="008D6614" w:rsidRDefault="008D6614">
            <w:pPr>
              <w:rPr>
                <w:rFonts w:ascii="宋体"/>
                <w:vanish/>
              </w:rPr>
            </w:pPr>
          </w:p>
        </w:tc>
        <w:tc>
          <w:tcPr>
            <w:tcW w:w="0" w:type="auto"/>
            <w:shd w:val="clear" w:color="auto" w:fill="auto"/>
            <w:vAlign w:val="center"/>
          </w:tcPr>
          <w:p w14:paraId="64A89729" w14:textId="77777777" w:rsidR="008D6614" w:rsidRDefault="008D6614">
            <w:pPr>
              <w:rPr>
                <w:rFonts w:ascii="宋体"/>
                <w:vanish/>
              </w:rPr>
            </w:pPr>
          </w:p>
        </w:tc>
        <w:tc>
          <w:tcPr>
            <w:tcW w:w="0" w:type="auto"/>
            <w:shd w:val="clear" w:color="auto" w:fill="auto"/>
            <w:vAlign w:val="center"/>
          </w:tcPr>
          <w:p w14:paraId="64A8972A"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72B"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972C"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72D" w14:textId="77777777" w:rsidR="008D6614" w:rsidRDefault="00866AF2">
            <w:pPr>
              <w:jc w:val="right"/>
              <w:textAlignment w:val="bottom"/>
            </w:pPr>
            <w:r>
              <w:rPr>
                <w:rFonts w:ascii="Arial" w:eastAsia="宋体" w:hAnsi="Arial" w:cs="Arial"/>
                <w:color w:val="000000"/>
                <w:sz w:val="18"/>
                <w:szCs w:val="18"/>
              </w:rPr>
              <w:t>761 </w:t>
            </w:r>
          </w:p>
        </w:tc>
        <w:tc>
          <w:tcPr>
            <w:tcW w:w="0" w:type="auto"/>
            <w:shd w:val="clear" w:color="auto" w:fill="E2E2E2"/>
            <w:tcMar>
              <w:top w:w="40" w:type="dxa"/>
              <w:bottom w:w="40" w:type="dxa"/>
              <w:right w:w="20" w:type="dxa"/>
            </w:tcMar>
            <w:vAlign w:val="bottom"/>
          </w:tcPr>
          <w:p w14:paraId="64A8972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72F"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9730"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731" w14:textId="77777777" w:rsidR="008D6614" w:rsidRDefault="00866AF2">
            <w:pPr>
              <w:jc w:val="right"/>
              <w:textAlignment w:val="bottom"/>
            </w:pPr>
            <w:r>
              <w:rPr>
                <w:rFonts w:ascii="Arial" w:eastAsia="宋体" w:hAnsi="Arial" w:cs="Arial"/>
                <w:color w:val="000000"/>
                <w:sz w:val="18"/>
                <w:szCs w:val="18"/>
              </w:rPr>
              <w:t>769 </w:t>
            </w:r>
          </w:p>
        </w:tc>
        <w:tc>
          <w:tcPr>
            <w:tcW w:w="0" w:type="auto"/>
            <w:shd w:val="clear" w:color="auto" w:fill="E2E2E2"/>
            <w:tcMar>
              <w:top w:w="40" w:type="dxa"/>
              <w:bottom w:w="40" w:type="dxa"/>
              <w:right w:w="20" w:type="dxa"/>
            </w:tcMar>
            <w:vAlign w:val="bottom"/>
          </w:tcPr>
          <w:p w14:paraId="64A8973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733" w14:textId="77777777" w:rsidR="008D6614" w:rsidRDefault="008D6614">
            <w:pPr>
              <w:rPr>
                <w:rFonts w:ascii="宋体"/>
              </w:rPr>
            </w:pPr>
          </w:p>
        </w:tc>
        <w:tc>
          <w:tcPr>
            <w:tcW w:w="0" w:type="auto"/>
            <w:shd w:val="clear" w:color="auto" w:fill="auto"/>
            <w:vAlign w:val="center"/>
          </w:tcPr>
          <w:p w14:paraId="64A89734" w14:textId="77777777" w:rsidR="008D6614" w:rsidRDefault="008D6614">
            <w:pPr>
              <w:rPr>
                <w:rFonts w:ascii="宋体"/>
              </w:rPr>
            </w:pPr>
          </w:p>
        </w:tc>
        <w:tc>
          <w:tcPr>
            <w:tcW w:w="0" w:type="auto"/>
            <w:shd w:val="clear" w:color="auto" w:fill="auto"/>
            <w:vAlign w:val="center"/>
          </w:tcPr>
          <w:p w14:paraId="64A89735" w14:textId="77777777" w:rsidR="008D6614" w:rsidRDefault="008D6614">
            <w:pPr>
              <w:rPr>
                <w:rFonts w:ascii="宋体"/>
              </w:rPr>
            </w:pPr>
          </w:p>
        </w:tc>
        <w:tc>
          <w:tcPr>
            <w:tcW w:w="0" w:type="auto"/>
            <w:shd w:val="clear" w:color="auto" w:fill="auto"/>
            <w:vAlign w:val="center"/>
          </w:tcPr>
          <w:p w14:paraId="64A89736" w14:textId="77777777" w:rsidR="008D6614" w:rsidRDefault="008D6614">
            <w:pPr>
              <w:rPr>
                <w:rFonts w:ascii="宋体"/>
              </w:rPr>
            </w:pPr>
          </w:p>
        </w:tc>
        <w:tc>
          <w:tcPr>
            <w:tcW w:w="0" w:type="auto"/>
            <w:shd w:val="clear" w:color="auto" w:fill="auto"/>
            <w:vAlign w:val="center"/>
          </w:tcPr>
          <w:p w14:paraId="64A89737" w14:textId="77777777" w:rsidR="008D6614" w:rsidRDefault="008D6614">
            <w:pPr>
              <w:rPr>
                <w:rFonts w:ascii="宋体"/>
              </w:rPr>
            </w:pPr>
          </w:p>
        </w:tc>
        <w:tc>
          <w:tcPr>
            <w:tcW w:w="0" w:type="auto"/>
            <w:shd w:val="clear" w:color="auto" w:fill="auto"/>
            <w:vAlign w:val="center"/>
          </w:tcPr>
          <w:p w14:paraId="64A89738" w14:textId="77777777" w:rsidR="008D6614" w:rsidRDefault="008D6614">
            <w:pPr>
              <w:rPr>
                <w:rFonts w:ascii="宋体"/>
              </w:rPr>
            </w:pPr>
          </w:p>
        </w:tc>
      </w:tr>
      <w:tr w:rsidR="008D6614" w14:paraId="64A89748" w14:textId="77777777">
        <w:trPr>
          <w:hidden/>
        </w:trPr>
        <w:tc>
          <w:tcPr>
            <w:tcW w:w="0" w:type="auto"/>
            <w:gridSpan w:val="3"/>
            <w:shd w:val="clear" w:color="auto" w:fill="auto"/>
            <w:vAlign w:val="center"/>
          </w:tcPr>
          <w:p w14:paraId="64A8973A" w14:textId="77777777" w:rsidR="008D6614" w:rsidRDefault="008D6614">
            <w:pPr>
              <w:rPr>
                <w:rFonts w:ascii="宋体"/>
                <w:vanish/>
              </w:rPr>
            </w:pPr>
          </w:p>
        </w:tc>
        <w:tc>
          <w:tcPr>
            <w:tcW w:w="0" w:type="auto"/>
            <w:shd w:val="clear" w:color="auto" w:fill="auto"/>
            <w:vAlign w:val="center"/>
          </w:tcPr>
          <w:p w14:paraId="64A8973B" w14:textId="77777777" w:rsidR="008D6614" w:rsidRDefault="008D6614">
            <w:pPr>
              <w:rPr>
                <w:rFonts w:ascii="宋体"/>
                <w:vanish/>
              </w:rPr>
            </w:pPr>
          </w:p>
        </w:tc>
        <w:tc>
          <w:tcPr>
            <w:tcW w:w="0" w:type="auto"/>
            <w:shd w:val="clear" w:color="auto" w:fill="auto"/>
            <w:vAlign w:val="center"/>
          </w:tcPr>
          <w:p w14:paraId="64A8973C" w14:textId="77777777" w:rsidR="008D6614" w:rsidRDefault="008D6614">
            <w:pPr>
              <w:rPr>
                <w:rFonts w:ascii="宋体"/>
                <w:vanish/>
              </w:rPr>
            </w:pPr>
          </w:p>
        </w:tc>
        <w:tc>
          <w:tcPr>
            <w:tcW w:w="0" w:type="auto"/>
            <w:shd w:val="clear" w:color="auto" w:fill="auto"/>
            <w:vAlign w:val="center"/>
          </w:tcPr>
          <w:p w14:paraId="64A8973D" w14:textId="77777777" w:rsidR="008D6614" w:rsidRDefault="008D6614">
            <w:pPr>
              <w:rPr>
                <w:rFonts w:ascii="宋体"/>
                <w:vanish/>
              </w:rPr>
            </w:pPr>
          </w:p>
        </w:tc>
        <w:tc>
          <w:tcPr>
            <w:tcW w:w="0" w:type="auto"/>
            <w:gridSpan w:val="3"/>
            <w:shd w:val="clear" w:color="auto" w:fill="auto"/>
            <w:vAlign w:val="center"/>
          </w:tcPr>
          <w:p w14:paraId="64A8973E" w14:textId="77777777" w:rsidR="008D6614" w:rsidRDefault="008D6614">
            <w:pPr>
              <w:rPr>
                <w:rFonts w:ascii="宋体"/>
                <w:vanish/>
              </w:rPr>
            </w:pPr>
          </w:p>
        </w:tc>
        <w:tc>
          <w:tcPr>
            <w:tcW w:w="0" w:type="auto"/>
            <w:gridSpan w:val="3"/>
            <w:shd w:val="clear" w:color="auto" w:fill="auto"/>
            <w:vAlign w:val="center"/>
          </w:tcPr>
          <w:p w14:paraId="64A8973F" w14:textId="77777777" w:rsidR="008D6614" w:rsidRDefault="008D6614">
            <w:pPr>
              <w:rPr>
                <w:rFonts w:ascii="宋体"/>
                <w:vanish/>
              </w:rPr>
            </w:pPr>
          </w:p>
        </w:tc>
        <w:tc>
          <w:tcPr>
            <w:tcW w:w="0" w:type="auto"/>
            <w:gridSpan w:val="3"/>
            <w:shd w:val="clear" w:color="auto" w:fill="auto"/>
            <w:vAlign w:val="center"/>
          </w:tcPr>
          <w:p w14:paraId="64A89740" w14:textId="77777777" w:rsidR="008D6614" w:rsidRDefault="008D6614">
            <w:pPr>
              <w:rPr>
                <w:rFonts w:ascii="宋体"/>
                <w:vanish/>
              </w:rPr>
            </w:pPr>
          </w:p>
        </w:tc>
        <w:tc>
          <w:tcPr>
            <w:tcW w:w="0" w:type="auto"/>
            <w:gridSpan w:val="3"/>
            <w:shd w:val="clear" w:color="auto" w:fill="auto"/>
            <w:vAlign w:val="center"/>
          </w:tcPr>
          <w:p w14:paraId="64A89741" w14:textId="77777777" w:rsidR="008D6614" w:rsidRDefault="008D6614">
            <w:pPr>
              <w:rPr>
                <w:rFonts w:ascii="宋体"/>
                <w:vanish/>
              </w:rPr>
            </w:pPr>
          </w:p>
        </w:tc>
        <w:tc>
          <w:tcPr>
            <w:tcW w:w="0" w:type="auto"/>
            <w:shd w:val="clear" w:color="auto" w:fill="auto"/>
            <w:vAlign w:val="center"/>
          </w:tcPr>
          <w:p w14:paraId="64A89742" w14:textId="77777777" w:rsidR="008D6614" w:rsidRDefault="008D6614">
            <w:pPr>
              <w:rPr>
                <w:rFonts w:ascii="宋体"/>
              </w:rPr>
            </w:pPr>
          </w:p>
        </w:tc>
        <w:tc>
          <w:tcPr>
            <w:tcW w:w="0" w:type="auto"/>
            <w:shd w:val="clear" w:color="auto" w:fill="auto"/>
            <w:vAlign w:val="center"/>
          </w:tcPr>
          <w:p w14:paraId="64A89743" w14:textId="77777777" w:rsidR="008D6614" w:rsidRDefault="008D6614">
            <w:pPr>
              <w:rPr>
                <w:rFonts w:ascii="宋体"/>
              </w:rPr>
            </w:pPr>
          </w:p>
        </w:tc>
        <w:tc>
          <w:tcPr>
            <w:tcW w:w="0" w:type="auto"/>
            <w:shd w:val="clear" w:color="auto" w:fill="auto"/>
            <w:vAlign w:val="center"/>
          </w:tcPr>
          <w:p w14:paraId="64A89744" w14:textId="77777777" w:rsidR="008D6614" w:rsidRDefault="008D6614">
            <w:pPr>
              <w:rPr>
                <w:rFonts w:ascii="宋体"/>
              </w:rPr>
            </w:pPr>
          </w:p>
        </w:tc>
        <w:tc>
          <w:tcPr>
            <w:tcW w:w="0" w:type="auto"/>
            <w:shd w:val="clear" w:color="auto" w:fill="auto"/>
            <w:vAlign w:val="center"/>
          </w:tcPr>
          <w:p w14:paraId="64A89745" w14:textId="77777777" w:rsidR="008D6614" w:rsidRDefault="008D6614">
            <w:pPr>
              <w:rPr>
                <w:rFonts w:ascii="宋体"/>
              </w:rPr>
            </w:pPr>
          </w:p>
        </w:tc>
        <w:tc>
          <w:tcPr>
            <w:tcW w:w="0" w:type="auto"/>
            <w:shd w:val="clear" w:color="auto" w:fill="auto"/>
            <w:vAlign w:val="center"/>
          </w:tcPr>
          <w:p w14:paraId="64A89746" w14:textId="77777777" w:rsidR="008D6614" w:rsidRDefault="008D6614">
            <w:pPr>
              <w:rPr>
                <w:rFonts w:ascii="宋体"/>
              </w:rPr>
            </w:pPr>
          </w:p>
        </w:tc>
        <w:tc>
          <w:tcPr>
            <w:tcW w:w="0" w:type="auto"/>
            <w:shd w:val="clear" w:color="auto" w:fill="auto"/>
            <w:vAlign w:val="center"/>
          </w:tcPr>
          <w:p w14:paraId="64A89747" w14:textId="77777777" w:rsidR="008D6614" w:rsidRDefault="008D6614">
            <w:pPr>
              <w:rPr>
                <w:rFonts w:ascii="宋体"/>
              </w:rPr>
            </w:pPr>
          </w:p>
        </w:tc>
      </w:tr>
      <w:tr w:rsidR="008D6614" w14:paraId="64A89759" w14:textId="77777777">
        <w:tc>
          <w:tcPr>
            <w:tcW w:w="0" w:type="auto"/>
            <w:gridSpan w:val="3"/>
            <w:shd w:val="clear" w:color="auto" w:fill="FFFFFF"/>
            <w:tcMar>
              <w:top w:w="40" w:type="dxa"/>
              <w:left w:w="20" w:type="dxa"/>
              <w:bottom w:w="40" w:type="dxa"/>
              <w:right w:w="20" w:type="dxa"/>
            </w:tcMar>
            <w:vAlign w:val="bottom"/>
          </w:tcPr>
          <w:p w14:paraId="64A89749" w14:textId="77777777" w:rsidR="008D6614" w:rsidRDefault="00866AF2">
            <w:pPr>
              <w:textAlignment w:val="bottom"/>
            </w:pPr>
            <w:r>
              <w:rPr>
                <w:rFonts w:ascii="Arial" w:eastAsia="宋体" w:hAnsi="Arial" w:cs="Arial"/>
                <w:color w:val="000000"/>
                <w:sz w:val="18"/>
                <w:szCs w:val="18"/>
              </w:rPr>
              <w:t>Classifieds</w:t>
            </w:r>
          </w:p>
        </w:tc>
        <w:tc>
          <w:tcPr>
            <w:tcW w:w="0" w:type="auto"/>
            <w:shd w:val="clear" w:color="auto" w:fill="auto"/>
            <w:vAlign w:val="center"/>
          </w:tcPr>
          <w:p w14:paraId="64A8974A" w14:textId="77777777" w:rsidR="008D6614" w:rsidRDefault="008D6614">
            <w:pPr>
              <w:rPr>
                <w:rFonts w:ascii="宋体"/>
                <w:vanish/>
              </w:rPr>
            </w:pPr>
          </w:p>
        </w:tc>
        <w:tc>
          <w:tcPr>
            <w:tcW w:w="0" w:type="auto"/>
            <w:shd w:val="clear" w:color="auto" w:fill="auto"/>
            <w:vAlign w:val="center"/>
          </w:tcPr>
          <w:p w14:paraId="64A8974B" w14:textId="77777777" w:rsidR="008D6614" w:rsidRDefault="008D6614">
            <w:pPr>
              <w:rPr>
                <w:rFonts w:ascii="宋体"/>
                <w:vanish/>
              </w:rPr>
            </w:pPr>
          </w:p>
        </w:tc>
        <w:tc>
          <w:tcPr>
            <w:tcW w:w="0" w:type="auto"/>
            <w:shd w:val="clear" w:color="auto" w:fill="auto"/>
            <w:vAlign w:val="center"/>
          </w:tcPr>
          <w:p w14:paraId="64A8974C"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74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74E" w14:textId="77777777" w:rsidR="008D6614" w:rsidRDefault="00866AF2">
            <w:pPr>
              <w:jc w:val="right"/>
              <w:textAlignment w:val="bottom"/>
            </w:pPr>
            <w:r>
              <w:rPr>
                <w:rFonts w:ascii="Arial" w:eastAsia="宋体" w:hAnsi="Arial" w:cs="Arial"/>
                <w:color w:val="000000"/>
                <w:sz w:val="18"/>
                <w:szCs w:val="18"/>
              </w:rPr>
              <w:t>83 </w:t>
            </w:r>
          </w:p>
        </w:tc>
        <w:tc>
          <w:tcPr>
            <w:tcW w:w="0" w:type="auto"/>
            <w:shd w:val="clear" w:color="auto" w:fill="FFFFFF"/>
            <w:tcMar>
              <w:top w:w="40" w:type="dxa"/>
              <w:bottom w:w="40" w:type="dxa"/>
              <w:right w:w="20" w:type="dxa"/>
            </w:tcMar>
            <w:vAlign w:val="bottom"/>
          </w:tcPr>
          <w:p w14:paraId="64A8974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75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751" w14:textId="77777777" w:rsidR="008D6614" w:rsidRDefault="00866AF2">
            <w:pPr>
              <w:jc w:val="right"/>
              <w:textAlignment w:val="bottom"/>
            </w:pPr>
            <w:r>
              <w:rPr>
                <w:rFonts w:ascii="Arial" w:eastAsia="宋体" w:hAnsi="Arial" w:cs="Arial"/>
                <w:color w:val="000000"/>
                <w:sz w:val="18"/>
                <w:szCs w:val="18"/>
              </w:rPr>
              <w:t>91 </w:t>
            </w:r>
          </w:p>
        </w:tc>
        <w:tc>
          <w:tcPr>
            <w:tcW w:w="0" w:type="auto"/>
            <w:shd w:val="clear" w:color="auto" w:fill="FFFFFF"/>
            <w:tcMar>
              <w:top w:w="40" w:type="dxa"/>
              <w:bottom w:w="40" w:type="dxa"/>
              <w:right w:w="20" w:type="dxa"/>
            </w:tcMar>
            <w:vAlign w:val="bottom"/>
          </w:tcPr>
          <w:p w14:paraId="64A8975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753" w14:textId="77777777" w:rsidR="008D6614" w:rsidRDefault="008D6614">
            <w:pPr>
              <w:rPr>
                <w:rFonts w:ascii="宋体"/>
              </w:rPr>
            </w:pPr>
          </w:p>
        </w:tc>
        <w:tc>
          <w:tcPr>
            <w:tcW w:w="0" w:type="auto"/>
            <w:shd w:val="clear" w:color="auto" w:fill="auto"/>
            <w:vAlign w:val="center"/>
          </w:tcPr>
          <w:p w14:paraId="64A89754" w14:textId="77777777" w:rsidR="008D6614" w:rsidRDefault="008D6614">
            <w:pPr>
              <w:rPr>
                <w:rFonts w:ascii="宋体"/>
              </w:rPr>
            </w:pPr>
          </w:p>
        </w:tc>
        <w:tc>
          <w:tcPr>
            <w:tcW w:w="0" w:type="auto"/>
            <w:shd w:val="clear" w:color="auto" w:fill="auto"/>
            <w:vAlign w:val="center"/>
          </w:tcPr>
          <w:p w14:paraId="64A89755" w14:textId="77777777" w:rsidR="008D6614" w:rsidRDefault="008D6614">
            <w:pPr>
              <w:rPr>
                <w:rFonts w:ascii="宋体"/>
              </w:rPr>
            </w:pPr>
          </w:p>
        </w:tc>
        <w:tc>
          <w:tcPr>
            <w:tcW w:w="0" w:type="auto"/>
            <w:shd w:val="clear" w:color="auto" w:fill="auto"/>
            <w:vAlign w:val="center"/>
          </w:tcPr>
          <w:p w14:paraId="64A89756" w14:textId="77777777" w:rsidR="008D6614" w:rsidRDefault="008D6614">
            <w:pPr>
              <w:rPr>
                <w:rFonts w:ascii="宋体"/>
              </w:rPr>
            </w:pPr>
          </w:p>
        </w:tc>
        <w:tc>
          <w:tcPr>
            <w:tcW w:w="0" w:type="auto"/>
            <w:shd w:val="clear" w:color="auto" w:fill="auto"/>
            <w:vAlign w:val="center"/>
          </w:tcPr>
          <w:p w14:paraId="64A89757" w14:textId="77777777" w:rsidR="008D6614" w:rsidRDefault="008D6614">
            <w:pPr>
              <w:rPr>
                <w:rFonts w:ascii="宋体"/>
              </w:rPr>
            </w:pPr>
          </w:p>
        </w:tc>
        <w:tc>
          <w:tcPr>
            <w:tcW w:w="0" w:type="auto"/>
            <w:shd w:val="clear" w:color="auto" w:fill="auto"/>
            <w:vAlign w:val="center"/>
          </w:tcPr>
          <w:p w14:paraId="64A89758" w14:textId="77777777" w:rsidR="008D6614" w:rsidRDefault="008D6614">
            <w:pPr>
              <w:rPr>
                <w:rFonts w:ascii="宋体"/>
              </w:rPr>
            </w:pPr>
          </w:p>
        </w:tc>
      </w:tr>
      <w:tr w:rsidR="008D6614" w14:paraId="64A8976A" w14:textId="77777777">
        <w:tc>
          <w:tcPr>
            <w:tcW w:w="0" w:type="auto"/>
            <w:gridSpan w:val="3"/>
            <w:shd w:val="clear" w:color="auto" w:fill="E2E2E2"/>
            <w:tcMar>
              <w:top w:w="40" w:type="dxa"/>
              <w:left w:w="20" w:type="dxa"/>
              <w:bottom w:w="40" w:type="dxa"/>
              <w:right w:w="20" w:type="dxa"/>
            </w:tcMar>
            <w:vAlign w:val="bottom"/>
          </w:tcPr>
          <w:p w14:paraId="64A8975A" w14:textId="77777777" w:rsidR="008D6614" w:rsidRDefault="00866AF2">
            <w:pPr>
              <w:textAlignment w:val="bottom"/>
            </w:pPr>
            <w:r>
              <w:rPr>
                <w:rFonts w:ascii="Arial" w:eastAsia="宋体" w:hAnsi="Arial" w:cs="Arial"/>
                <w:color w:val="000000"/>
                <w:sz w:val="18"/>
                <w:szCs w:val="18"/>
              </w:rPr>
              <w:t>Corporate and other costs</w:t>
            </w:r>
          </w:p>
        </w:tc>
        <w:tc>
          <w:tcPr>
            <w:tcW w:w="0" w:type="auto"/>
            <w:shd w:val="clear" w:color="auto" w:fill="auto"/>
            <w:vAlign w:val="center"/>
          </w:tcPr>
          <w:p w14:paraId="64A8975B" w14:textId="77777777" w:rsidR="008D6614" w:rsidRDefault="008D6614">
            <w:pPr>
              <w:rPr>
                <w:rFonts w:ascii="宋体"/>
                <w:vanish/>
              </w:rPr>
            </w:pPr>
          </w:p>
        </w:tc>
        <w:tc>
          <w:tcPr>
            <w:tcW w:w="0" w:type="auto"/>
            <w:shd w:val="clear" w:color="auto" w:fill="auto"/>
            <w:vAlign w:val="center"/>
          </w:tcPr>
          <w:p w14:paraId="64A8975C" w14:textId="77777777" w:rsidR="008D6614" w:rsidRDefault="008D6614">
            <w:pPr>
              <w:rPr>
                <w:rFonts w:ascii="宋体"/>
                <w:vanish/>
              </w:rPr>
            </w:pPr>
          </w:p>
        </w:tc>
        <w:tc>
          <w:tcPr>
            <w:tcW w:w="0" w:type="auto"/>
            <w:shd w:val="clear" w:color="auto" w:fill="auto"/>
            <w:vAlign w:val="center"/>
          </w:tcPr>
          <w:p w14:paraId="64A8975D"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75E"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75F" w14:textId="77777777" w:rsidR="008D6614" w:rsidRDefault="00866AF2">
            <w:pPr>
              <w:jc w:val="right"/>
              <w:textAlignment w:val="bottom"/>
            </w:pPr>
            <w:r>
              <w:rPr>
                <w:rFonts w:ascii="Arial" w:eastAsia="宋体" w:hAnsi="Arial" w:cs="Arial"/>
                <w:color w:val="000000"/>
                <w:sz w:val="18"/>
                <w:szCs w:val="18"/>
              </w:rPr>
              <w:t>(215)</w:t>
            </w:r>
          </w:p>
        </w:tc>
        <w:tc>
          <w:tcPr>
            <w:tcW w:w="0" w:type="auto"/>
            <w:shd w:val="clear" w:color="auto" w:fill="E2E2E2"/>
            <w:tcMar>
              <w:top w:w="40" w:type="dxa"/>
              <w:bottom w:w="40" w:type="dxa"/>
              <w:right w:w="20" w:type="dxa"/>
            </w:tcMar>
            <w:vAlign w:val="bottom"/>
          </w:tcPr>
          <w:p w14:paraId="64A8976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761"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762" w14:textId="77777777" w:rsidR="008D6614" w:rsidRDefault="00866AF2">
            <w:pPr>
              <w:jc w:val="right"/>
              <w:textAlignment w:val="bottom"/>
            </w:pPr>
            <w:r>
              <w:rPr>
                <w:rFonts w:ascii="Arial" w:eastAsia="宋体" w:hAnsi="Arial" w:cs="Arial"/>
                <w:color w:val="000000"/>
                <w:sz w:val="18"/>
                <w:szCs w:val="18"/>
              </w:rPr>
              <w:t>(267)</w:t>
            </w:r>
          </w:p>
        </w:tc>
        <w:tc>
          <w:tcPr>
            <w:tcW w:w="0" w:type="auto"/>
            <w:shd w:val="clear" w:color="auto" w:fill="E2E2E2"/>
            <w:tcMar>
              <w:top w:w="40" w:type="dxa"/>
              <w:bottom w:w="40" w:type="dxa"/>
              <w:right w:w="20" w:type="dxa"/>
            </w:tcMar>
            <w:vAlign w:val="bottom"/>
          </w:tcPr>
          <w:p w14:paraId="64A8976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764" w14:textId="77777777" w:rsidR="008D6614" w:rsidRDefault="008D6614">
            <w:pPr>
              <w:rPr>
                <w:rFonts w:ascii="宋体"/>
              </w:rPr>
            </w:pPr>
          </w:p>
        </w:tc>
        <w:tc>
          <w:tcPr>
            <w:tcW w:w="0" w:type="auto"/>
            <w:shd w:val="clear" w:color="auto" w:fill="auto"/>
            <w:vAlign w:val="center"/>
          </w:tcPr>
          <w:p w14:paraId="64A89765" w14:textId="77777777" w:rsidR="008D6614" w:rsidRDefault="008D6614">
            <w:pPr>
              <w:rPr>
                <w:rFonts w:ascii="宋体"/>
              </w:rPr>
            </w:pPr>
          </w:p>
        </w:tc>
        <w:tc>
          <w:tcPr>
            <w:tcW w:w="0" w:type="auto"/>
            <w:shd w:val="clear" w:color="auto" w:fill="auto"/>
            <w:vAlign w:val="center"/>
          </w:tcPr>
          <w:p w14:paraId="64A89766" w14:textId="77777777" w:rsidR="008D6614" w:rsidRDefault="008D6614">
            <w:pPr>
              <w:rPr>
                <w:rFonts w:ascii="宋体"/>
              </w:rPr>
            </w:pPr>
          </w:p>
        </w:tc>
        <w:tc>
          <w:tcPr>
            <w:tcW w:w="0" w:type="auto"/>
            <w:shd w:val="clear" w:color="auto" w:fill="auto"/>
            <w:vAlign w:val="center"/>
          </w:tcPr>
          <w:p w14:paraId="64A89767" w14:textId="77777777" w:rsidR="008D6614" w:rsidRDefault="008D6614">
            <w:pPr>
              <w:rPr>
                <w:rFonts w:ascii="宋体"/>
              </w:rPr>
            </w:pPr>
          </w:p>
        </w:tc>
        <w:tc>
          <w:tcPr>
            <w:tcW w:w="0" w:type="auto"/>
            <w:shd w:val="clear" w:color="auto" w:fill="auto"/>
            <w:vAlign w:val="center"/>
          </w:tcPr>
          <w:p w14:paraId="64A89768" w14:textId="77777777" w:rsidR="008D6614" w:rsidRDefault="008D6614">
            <w:pPr>
              <w:rPr>
                <w:rFonts w:ascii="宋体"/>
              </w:rPr>
            </w:pPr>
          </w:p>
        </w:tc>
        <w:tc>
          <w:tcPr>
            <w:tcW w:w="0" w:type="auto"/>
            <w:shd w:val="clear" w:color="auto" w:fill="auto"/>
            <w:vAlign w:val="center"/>
          </w:tcPr>
          <w:p w14:paraId="64A89769" w14:textId="77777777" w:rsidR="008D6614" w:rsidRDefault="008D6614">
            <w:pPr>
              <w:rPr>
                <w:rFonts w:ascii="宋体"/>
              </w:rPr>
            </w:pPr>
          </w:p>
        </w:tc>
      </w:tr>
      <w:tr w:rsidR="008D6614" w14:paraId="64A8977B" w14:textId="77777777">
        <w:tc>
          <w:tcPr>
            <w:tcW w:w="0" w:type="auto"/>
            <w:gridSpan w:val="3"/>
            <w:shd w:val="clear" w:color="auto" w:fill="FFFFFF"/>
            <w:tcMar>
              <w:top w:w="40" w:type="dxa"/>
              <w:left w:w="135" w:type="dxa"/>
              <w:bottom w:w="40" w:type="dxa"/>
              <w:right w:w="20" w:type="dxa"/>
            </w:tcMar>
            <w:vAlign w:val="bottom"/>
          </w:tcPr>
          <w:p w14:paraId="64A8976B" w14:textId="77777777" w:rsidR="008D6614" w:rsidRDefault="00866AF2">
            <w:pPr>
              <w:textAlignment w:val="bottom"/>
            </w:pPr>
            <w:r>
              <w:rPr>
                <w:rFonts w:ascii="Arial" w:eastAsia="宋体" w:hAnsi="Arial" w:cs="Arial"/>
                <w:color w:val="000000"/>
                <w:sz w:val="18"/>
                <w:szCs w:val="18"/>
              </w:rPr>
              <w:t>Total operating income</w:t>
            </w:r>
          </w:p>
        </w:tc>
        <w:tc>
          <w:tcPr>
            <w:tcW w:w="0" w:type="auto"/>
            <w:shd w:val="clear" w:color="auto" w:fill="auto"/>
            <w:vAlign w:val="center"/>
          </w:tcPr>
          <w:p w14:paraId="64A8976C" w14:textId="77777777" w:rsidR="008D6614" w:rsidRDefault="008D6614">
            <w:pPr>
              <w:rPr>
                <w:rFonts w:ascii="宋体"/>
                <w:vanish/>
              </w:rPr>
            </w:pPr>
          </w:p>
        </w:tc>
        <w:tc>
          <w:tcPr>
            <w:tcW w:w="0" w:type="auto"/>
            <w:shd w:val="clear" w:color="auto" w:fill="auto"/>
            <w:vAlign w:val="center"/>
          </w:tcPr>
          <w:p w14:paraId="64A8976D" w14:textId="77777777" w:rsidR="008D6614" w:rsidRDefault="008D6614">
            <w:pPr>
              <w:rPr>
                <w:rFonts w:ascii="宋体"/>
                <w:vanish/>
              </w:rPr>
            </w:pPr>
          </w:p>
        </w:tc>
        <w:tc>
          <w:tcPr>
            <w:tcW w:w="0" w:type="auto"/>
            <w:shd w:val="clear" w:color="auto" w:fill="auto"/>
            <w:vAlign w:val="center"/>
          </w:tcPr>
          <w:p w14:paraId="64A8976E"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76F"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9770" w14:textId="77777777" w:rsidR="008D6614" w:rsidRDefault="00866AF2">
            <w:pPr>
              <w:jc w:val="right"/>
              <w:textAlignment w:val="bottom"/>
            </w:pPr>
            <w:r>
              <w:rPr>
                <w:rFonts w:ascii="Arial" w:eastAsia="宋体" w:hAnsi="Arial" w:cs="Arial"/>
                <w:color w:val="000000"/>
                <w:sz w:val="18"/>
                <w:szCs w:val="18"/>
              </w:rPr>
              <w:t>629 </w:t>
            </w:r>
          </w:p>
        </w:tc>
        <w:tc>
          <w:tcPr>
            <w:tcW w:w="0" w:type="auto"/>
            <w:tcBorders>
              <w:top w:val="single" w:sz="8" w:space="0" w:color="000000"/>
            </w:tcBorders>
            <w:shd w:val="clear" w:color="auto" w:fill="FFFFFF"/>
            <w:tcMar>
              <w:top w:w="40" w:type="dxa"/>
              <w:bottom w:w="40" w:type="dxa"/>
              <w:right w:w="20" w:type="dxa"/>
            </w:tcMar>
            <w:vAlign w:val="bottom"/>
          </w:tcPr>
          <w:p w14:paraId="64A8977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772"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9773" w14:textId="77777777" w:rsidR="008D6614" w:rsidRDefault="00866AF2">
            <w:pPr>
              <w:jc w:val="right"/>
              <w:textAlignment w:val="bottom"/>
            </w:pPr>
            <w:r>
              <w:rPr>
                <w:rFonts w:ascii="Arial" w:eastAsia="宋体" w:hAnsi="Arial" w:cs="Arial"/>
                <w:color w:val="000000"/>
                <w:sz w:val="18"/>
                <w:szCs w:val="18"/>
              </w:rPr>
              <w:t>593 </w:t>
            </w:r>
          </w:p>
        </w:tc>
        <w:tc>
          <w:tcPr>
            <w:tcW w:w="0" w:type="auto"/>
            <w:tcBorders>
              <w:top w:val="single" w:sz="8" w:space="0" w:color="000000"/>
            </w:tcBorders>
            <w:shd w:val="clear" w:color="auto" w:fill="FFFFFF"/>
            <w:tcMar>
              <w:top w:w="40" w:type="dxa"/>
              <w:bottom w:w="40" w:type="dxa"/>
              <w:right w:w="20" w:type="dxa"/>
            </w:tcMar>
            <w:vAlign w:val="bottom"/>
          </w:tcPr>
          <w:p w14:paraId="64A8977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775" w14:textId="77777777" w:rsidR="008D6614" w:rsidRDefault="008D6614">
            <w:pPr>
              <w:rPr>
                <w:rFonts w:ascii="宋体"/>
              </w:rPr>
            </w:pPr>
          </w:p>
        </w:tc>
        <w:tc>
          <w:tcPr>
            <w:tcW w:w="0" w:type="auto"/>
            <w:shd w:val="clear" w:color="auto" w:fill="auto"/>
            <w:vAlign w:val="center"/>
          </w:tcPr>
          <w:p w14:paraId="64A89776" w14:textId="77777777" w:rsidR="008D6614" w:rsidRDefault="008D6614">
            <w:pPr>
              <w:rPr>
                <w:rFonts w:ascii="宋体"/>
              </w:rPr>
            </w:pPr>
          </w:p>
        </w:tc>
        <w:tc>
          <w:tcPr>
            <w:tcW w:w="0" w:type="auto"/>
            <w:shd w:val="clear" w:color="auto" w:fill="auto"/>
            <w:vAlign w:val="center"/>
          </w:tcPr>
          <w:p w14:paraId="64A89777" w14:textId="77777777" w:rsidR="008D6614" w:rsidRDefault="008D6614">
            <w:pPr>
              <w:rPr>
                <w:rFonts w:ascii="宋体"/>
              </w:rPr>
            </w:pPr>
          </w:p>
        </w:tc>
        <w:tc>
          <w:tcPr>
            <w:tcW w:w="0" w:type="auto"/>
            <w:shd w:val="clear" w:color="auto" w:fill="auto"/>
            <w:vAlign w:val="center"/>
          </w:tcPr>
          <w:p w14:paraId="64A89778" w14:textId="77777777" w:rsidR="008D6614" w:rsidRDefault="008D6614">
            <w:pPr>
              <w:rPr>
                <w:rFonts w:ascii="宋体"/>
              </w:rPr>
            </w:pPr>
          </w:p>
        </w:tc>
        <w:tc>
          <w:tcPr>
            <w:tcW w:w="0" w:type="auto"/>
            <w:shd w:val="clear" w:color="auto" w:fill="auto"/>
            <w:vAlign w:val="center"/>
          </w:tcPr>
          <w:p w14:paraId="64A89779" w14:textId="77777777" w:rsidR="008D6614" w:rsidRDefault="008D6614">
            <w:pPr>
              <w:rPr>
                <w:rFonts w:ascii="宋体"/>
              </w:rPr>
            </w:pPr>
          </w:p>
        </w:tc>
        <w:tc>
          <w:tcPr>
            <w:tcW w:w="0" w:type="auto"/>
            <w:shd w:val="clear" w:color="auto" w:fill="auto"/>
            <w:vAlign w:val="center"/>
          </w:tcPr>
          <w:p w14:paraId="64A8977A" w14:textId="77777777" w:rsidR="008D6614" w:rsidRDefault="008D6614">
            <w:pPr>
              <w:rPr>
                <w:rFonts w:ascii="宋体"/>
              </w:rPr>
            </w:pPr>
          </w:p>
        </w:tc>
      </w:tr>
      <w:tr w:rsidR="008D6614" w14:paraId="64A8978C" w14:textId="77777777">
        <w:tc>
          <w:tcPr>
            <w:tcW w:w="0" w:type="auto"/>
            <w:gridSpan w:val="3"/>
            <w:shd w:val="clear" w:color="auto" w:fill="E2E2E2"/>
            <w:tcMar>
              <w:top w:w="40" w:type="dxa"/>
              <w:left w:w="135" w:type="dxa"/>
              <w:bottom w:w="40" w:type="dxa"/>
              <w:right w:w="20" w:type="dxa"/>
            </w:tcMar>
            <w:vAlign w:val="bottom"/>
          </w:tcPr>
          <w:p w14:paraId="64A8977C" w14:textId="77777777" w:rsidR="008D6614" w:rsidRDefault="00866AF2">
            <w:pPr>
              <w:textAlignment w:val="bottom"/>
            </w:pPr>
            <w:r>
              <w:rPr>
                <w:rFonts w:ascii="Arial" w:eastAsia="宋体" w:hAnsi="Arial" w:cs="Arial"/>
                <w:color w:val="000000"/>
                <w:sz w:val="18"/>
                <w:szCs w:val="18"/>
              </w:rPr>
              <w:t>Interest and other, net</w:t>
            </w:r>
          </w:p>
        </w:tc>
        <w:tc>
          <w:tcPr>
            <w:tcW w:w="0" w:type="auto"/>
            <w:shd w:val="clear" w:color="auto" w:fill="auto"/>
            <w:vAlign w:val="center"/>
          </w:tcPr>
          <w:p w14:paraId="64A8977D" w14:textId="77777777" w:rsidR="008D6614" w:rsidRDefault="008D6614">
            <w:pPr>
              <w:rPr>
                <w:rFonts w:ascii="宋体"/>
                <w:vanish/>
              </w:rPr>
            </w:pPr>
          </w:p>
        </w:tc>
        <w:tc>
          <w:tcPr>
            <w:tcW w:w="0" w:type="auto"/>
            <w:shd w:val="clear" w:color="auto" w:fill="auto"/>
            <w:vAlign w:val="center"/>
          </w:tcPr>
          <w:p w14:paraId="64A8977E" w14:textId="77777777" w:rsidR="008D6614" w:rsidRDefault="008D6614">
            <w:pPr>
              <w:rPr>
                <w:rFonts w:ascii="宋体"/>
                <w:vanish/>
              </w:rPr>
            </w:pPr>
          </w:p>
        </w:tc>
        <w:tc>
          <w:tcPr>
            <w:tcW w:w="0" w:type="auto"/>
            <w:shd w:val="clear" w:color="auto" w:fill="auto"/>
            <w:vAlign w:val="center"/>
          </w:tcPr>
          <w:p w14:paraId="64A8977F"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78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781"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E2E2E2"/>
            <w:tcMar>
              <w:top w:w="40" w:type="dxa"/>
              <w:bottom w:w="40" w:type="dxa"/>
              <w:right w:w="20" w:type="dxa"/>
            </w:tcMar>
            <w:vAlign w:val="bottom"/>
          </w:tcPr>
          <w:p w14:paraId="64A8978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78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784" w14:textId="77777777" w:rsidR="008D6614" w:rsidRDefault="00866AF2">
            <w:pPr>
              <w:jc w:val="right"/>
              <w:textAlignment w:val="bottom"/>
            </w:pPr>
            <w:r>
              <w:rPr>
                <w:rFonts w:ascii="Arial" w:eastAsia="宋体" w:hAnsi="Arial" w:cs="Arial"/>
                <w:color w:val="000000"/>
                <w:sz w:val="18"/>
                <w:szCs w:val="18"/>
              </w:rPr>
              <w:t>64 </w:t>
            </w:r>
          </w:p>
        </w:tc>
        <w:tc>
          <w:tcPr>
            <w:tcW w:w="0" w:type="auto"/>
            <w:shd w:val="clear" w:color="auto" w:fill="E2E2E2"/>
            <w:tcMar>
              <w:top w:w="40" w:type="dxa"/>
              <w:bottom w:w="40" w:type="dxa"/>
              <w:right w:w="20" w:type="dxa"/>
            </w:tcMar>
            <w:vAlign w:val="bottom"/>
          </w:tcPr>
          <w:p w14:paraId="64A8978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786" w14:textId="77777777" w:rsidR="008D6614" w:rsidRDefault="008D6614">
            <w:pPr>
              <w:rPr>
                <w:rFonts w:ascii="宋体"/>
              </w:rPr>
            </w:pPr>
          </w:p>
        </w:tc>
        <w:tc>
          <w:tcPr>
            <w:tcW w:w="0" w:type="auto"/>
            <w:shd w:val="clear" w:color="auto" w:fill="auto"/>
            <w:vAlign w:val="center"/>
          </w:tcPr>
          <w:p w14:paraId="64A89787" w14:textId="77777777" w:rsidR="008D6614" w:rsidRDefault="008D6614">
            <w:pPr>
              <w:rPr>
                <w:rFonts w:ascii="宋体"/>
              </w:rPr>
            </w:pPr>
          </w:p>
        </w:tc>
        <w:tc>
          <w:tcPr>
            <w:tcW w:w="0" w:type="auto"/>
            <w:shd w:val="clear" w:color="auto" w:fill="auto"/>
            <w:vAlign w:val="center"/>
          </w:tcPr>
          <w:p w14:paraId="64A89788" w14:textId="77777777" w:rsidR="008D6614" w:rsidRDefault="008D6614">
            <w:pPr>
              <w:rPr>
                <w:rFonts w:ascii="宋体"/>
              </w:rPr>
            </w:pPr>
          </w:p>
        </w:tc>
        <w:tc>
          <w:tcPr>
            <w:tcW w:w="0" w:type="auto"/>
            <w:shd w:val="clear" w:color="auto" w:fill="auto"/>
            <w:vAlign w:val="center"/>
          </w:tcPr>
          <w:p w14:paraId="64A89789" w14:textId="77777777" w:rsidR="008D6614" w:rsidRDefault="008D6614">
            <w:pPr>
              <w:rPr>
                <w:rFonts w:ascii="宋体"/>
              </w:rPr>
            </w:pPr>
          </w:p>
        </w:tc>
        <w:tc>
          <w:tcPr>
            <w:tcW w:w="0" w:type="auto"/>
            <w:shd w:val="clear" w:color="auto" w:fill="auto"/>
            <w:vAlign w:val="center"/>
          </w:tcPr>
          <w:p w14:paraId="64A8978A" w14:textId="77777777" w:rsidR="008D6614" w:rsidRDefault="008D6614">
            <w:pPr>
              <w:rPr>
                <w:rFonts w:ascii="宋体"/>
              </w:rPr>
            </w:pPr>
          </w:p>
        </w:tc>
        <w:tc>
          <w:tcPr>
            <w:tcW w:w="0" w:type="auto"/>
            <w:shd w:val="clear" w:color="auto" w:fill="auto"/>
            <w:vAlign w:val="center"/>
          </w:tcPr>
          <w:p w14:paraId="64A8978B" w14:textId="77777777" w:rsidR="008D6614" w:rsidRDefault="008D6614">
            <w:pPr>
              <w:rPr>
                <w:rFonts w:ascii="宋体"/>
              </w:rPr>
            </w:pPr>
          </w:p>
        </w:tc>
      </w:tr>
      <w:tr w:rsidR="008D6614" w14:paraId="64A8979F" w14:textId="77777777">
        <w:tc>
          <w:tcPr>
            <w:tcW w:w="0" w:type="auto"/>
            <w:gridSpan w:val="3"/>
            <w:shd w:val="clear" w:color="auto" w:fill="FFFFFF"/>
            <w:tcMar>
              <w:top w:w="40" w:type="dxa"/>
              <w:left w:w="495" w:type="dxa"/>
              <w:bottom w:w="40" w:type="dxa"/>
              <w:right w:w="20" w:type="dxa"/>
            </w:tcMar>
            <w:vAlign w:val="bottom"/>
          </w:tcPr>
          <w:p w14:paraId="64A8978D" w14:textId="77777777" w:rsidR="008D6614" w:rsidRDefault="00866AF2">
            <w:pPr>
              <w:textAlignment w:val="bottom"/>
            </w:pPr>
            <w:r>
              <w:rPr>
                <w:rFonts w:ascii="Arial" w:eastAsia="宋体" w:hAnsi="Arial" w:cs="Arial"/>
                <w:color w:val="000000"/>
                <w:sz w:val="18"/>
                <w:szCs w:val="18"/>
              </w:rPr>
              <w:t>Income before income taxes</w:t>
            </w:r>
          </w:p>
        </w:tc>
        <w:tc>
          <w:tcPr>
            <w:tcW w:w="0" w:type="auto"/>
            <w:shd w:val="clear" w:color="auto" w:fill="auto"/>
            <w:vAlign w:val="center"/>
          </w:tcPr>
          <w:p w14:paraId="64A8978E" w14:textId="77777777" w:rsidR="008D6614" w:rsidRDefault="008D6614">
            <w:pPr>
              <w:rPr>
                <w:rFonts w:ascii="宋体"/>
                <w:vanish/>
              </w:rPr>
            </w:pPr>
          </w:p>
        </w:tc>
        <w:tc>
          <w:tcPr>
            <w:tcW w:w="0" w:type="auto"/>
            <w:shd w:val="clear" w:color="auto" w:fill="auto"/>
            <w:vAlign w:val="center"/>
          </w:tcPr>
          <w:p w14:paraId="64A8978F" w14:textId="77777777" w:rsidR="008D6614" w:rsidRDefault="008D6614">
            <w:pPr>
              <w:rPr>
                <w:rFonts w:ascii="宋体"/>
                <w:vanish/>
              </w:rPr>
            </w:pPr>
          </w:p>
        </w:tc>
        <w:tc>
          <w:tcPr>
            <w:tcW w:w="0" w:type="auto"/>
            <w:shd w:val="clear" w:color="auto" w:fill="auto"/>
            <w:vAlign w:val="center"/>
          </w:tcPr>
          <w:p w14:paraId="64A89790"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791"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79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793" w14:textId="77777777" w:rsidR="008D6614" w:rsidRDefault="00866AF2">
            <w:pPr>
              <w:jc w:val="right"/>
              <w:textAlignment w:val="bottom"/>
            </w:pPr>
            <w:r>
              <w:rPr>
                <w:rFonts w:ascii="Arial" w:eastAsia="宋体" w:hAnsi="Arial" w:cs="Arial"/>
                <w:color w:val="000000"/>
                <w:sz w:val="18"/>
                <w:szCs w:val="18"/>
              </w:rPr>
              <w:t>631 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79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795"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79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797" w14:textId="77777777" w:rsidR="008D6614" w:rsidRDefault="00866AF2">
            <w:pPr>
              <w:jc w:val="right"/>
              <w:textAlignment w:val="bottom"/>
            </w:pPr>
            <w:r>
              <w:rPr>
                <w:rFonts w:ascii="Arial" w:eastAsia="宋体" w:hAnsi="Arial" w:cs="Arial"/>
                <w:color w:val="000000"/>
                <w:sz w:val="18"/>
                <w:szCs w:val="18"/>
              </w:rPr>
              <w:t>657 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79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799" w14:textId="77777777" w:rsidR="008D6614" w:rsidRDefault="008D6614">
            <w:pPr>
              <w:rPr>
                <w:rFonts w:ascii="宋体"/>
              </w:rPr>
            </w:pPr>
          </w:p>
        </w:tc>
        <w:tc>
          <w:tcPr>
            <w:tcW w:w="0" w:type="auto"/>
            <w:shd w:val="clear" w:color="auto" w:fill="auto"/>
            <w:vAlign w:val="center"/>
          </w:tcPr>
          <w:p w14:paraId="64A8979A" w14:textId="77777777" w:rsidR="008D6614" w:rsidRDefault="008D6614">
            <w:pPr>
              <w:rPr>
                <w:rFonts w:ascii="宋体"/>
              </w:rPr>
            </w:pPr>
          </w:p>
        </w:tc>
        <w:tc>
          <w:tcPr>
            <w:tcW w:w="0" w:type="auto"/>
            <w:shd w:val="clear" w:color="auto" w:fill="auto"/>
            <w:vAlign w:val="center"/>
          </w:tcPr>
          <w:p w14:paraId="64A8979B" w14:textId="77777777" w:rsidR="008D6614" w:rsidRDefault="008D6614">
            <w:pPr>
              <w:rPr>
                <w:rFonts w:ascii="宋体"/>
              </w:rPr>
            </w:pPr>
          </w:p>
        </w:tc>
        <w:tc>
          <w:tcPr>
            <w:tcW w:w="0" w:type="auto"/>
            <w:shd w:val="clear" w:color="auto" w:fill="auto"/>
            <w:vAlign w:val="center"/>
          </w:tcPr>
          <w:p w14:paraId="64A8979C" w14:textId="77777777" w:rsidR="008D6614" w:rsidRDefault="008D6614">
            <w:pPr>
              <w:rPr>
                <w:rFonts w:ascii="宋体"/>
              </w:rPr>
            </w:pPr>
          </w:p>
        </w:tc>
        <w:tc>
          <w:tcPr>
            <w:tcW w:w="0" w:type="auto"/>
            <w:shd w:val="clear" w:color="auto" w:fill="auto"/>
            <w:vAlign w:val="center"/>
          </w:tcPr>
          <w:p w14:paraId="64A8979D" w14:textId="77777777" w:rsidR="008D6614" w:rsidRDefault="008D6614">
            <w:pPr>
              <w:rPr>
                <w:rFonts w:ascii="宋体"/>
              </w:rPr>
            </w:pPr>
          </w:p>
        </w:tc>
        <w:tc>
          <w:tcPr>
            <w:tcW w:w="0" w:type="auto"/>
            <w:shd w:val="clear" w:color="auto" w:fill="auto"/>
            <w:vAlign w:val="center"/>
          </w:tcPr>
          <w:p w14:paraId="64A8979E" w14:textId="77777777" w:rsidR="008D6614" w:rsidRDefault="008D6614">
            <w:pPr>
              <w:rPr>
                <w:rFonts w:ascii="宋体"/>
              </w:rPr>
            </w:pPr>
          </w:p>
        </w:tc>
      </w:tr>
    </w:tbl>
    <w:p w14:paraId="64A897A0" w14:textId="77777777" w:rsidR="008D6614" w:rsidRDefault="008D6614">
      <w:pPr>
        <w:jc w:val="center"/>
      </w:pPr>
    </w:p>
    <w:p w14:paraId="64A897A1" w14:textId="77777777" w:rsidR="008D6614" w:rsidRDefault="00866AF2">
      <w:pPr>
        <w:ind w:hanging="360"/>
        <w:jc w:val="both"/>
      </w:pPr>
      <w:r>
        <w:rPr>
          <w:rFonts w:ascii="Arial" w:eastAsia="宋体" w:hAnsi="Arial" w:cs="Arial"/>
          <w:color w:val="000000"/>
          <w:sz w:val="16"/>
          <w:szCs w:val="16"/>
        </w:rPr>
        <w:t>(1)Classifieds net revenues consists entirely of marketing services and other revenue.</w:t>
      </w:r>
    </w:p>
    <w:p w14:paraId="64A897A2" w14:textId="77777777" w:rsidR="008D6614" w:rsidRDefault="00866AF2">
      <w:pPr>
        <w:ind w:hanging="360"/>
        <w:jc w:val="both"/>
      </w:pPr>
      <w:r>
        <w:rPr>
          <w:rFonts w:ascii="Arial" w:eastAsia="宋体" w:hAnsi="Arial" w:cs="Arial"/>
          <w:color w:val="000000"/>
          <w:sz w:val="16"/>
          <w:szCs w:val="16"/>
        </w:rPr>
        <w:t>(2)Represents revenue generated between our reportable segments.</w:t>
      </w:r>
    </w:p>
    <w:p w14:paraId="64A897A3" w14:textId="77777777" w:rsidR="008D6614" w:rsidRDefault="008D6614"/>
    <w:p w14:paraId="64A897A4" w14:textId="77777777" w:rsidR="008D6614" w:rsidRDefault="00866AF2">
      <w:pPr>
        <w:ind w:firstLine="540"/>
        <w:jc w:val="both"/>
      </w:pPr>
      <w:r>
        <w:rPr>
          <w:rFonts w:ascii="Arial" w:eastAsia="宋体" w:hAnsi="Arial" w:cs="Arial"/>
          <w:color w:val="000000"/>
          <w:sz w:val="20"/>
          <w:szCs w:val="20"/>
        </w:rPr>
        <w:t xml:space="preserve">The following table summarizes the allocation of net revenues based on geography (in millions): </w:t>
      </w:r>
      <w:r>
        <w:rPr>
          <w:rFonts w:ascii="Arial" w:eastAsia="宋体" w:hAnsi="Arial" w:cs="Arial"/>
          <w:color w:val="000000"/>
          <w:sz w:val="14"/>
          <w:szCs w:val="14"/>
        </w:rPr>
        <w:t> </w:t>
      </w:r>
    </w:p>
    <w:tbl>
      <w:tblPr>
        <w:tblW w:w="4993" w:type="pct"/>
        <w:tblCellMar>
          <w:top w:w="15" w:type="dxa"/>
          <w:left w:w="15" w:type="dxa"/>
          <w:bottom w:w="15" w:type="dxa"/>
          <w:right w:w="15" w:type="dxa"/>
        </w:tblCellMar>
        <w:tblLook w:val="04A0" w:firstRow="1" w:lastRow="0" w:firstColumn="1" w:lastColumn="0" w:noHBand="0" w:noVBand="1"/>
      </w:tblPr>
      <w:tblGrid>
        <w:gridCol w:w="46"/>
        <w:gridCol w:w="5653"/>
        <w:gridCol w:w="47"/>
        <w:gridCol w:w="36"/>
        <w:gridCol w:w="36"/>
        <w:gridCol w:w="36"/>
        <w:gridCol w:w="36"/>
        <w:gridCol w:w="36"/>
        <w:gridCol w:w="36"/>
        <w:gridCol w:w="136"/>
        <w:gridCol w:w="797"/>
        <w:gridCol w:w="86"/>
        <w:gridCol w:w="36"/>
        <w:gridCol w:w="36"/>
        <w:gridCol w:w="36"/>
        <w:gridCol w:w="136"/>
        <w:gridCol w:w="797"/>
        <w:gridCol w:w="86"/>
        <w:gridCol w:w="36"/>
        <w:gridCol w:w="36"/>
        <w:gridCol w:w="36"/>
        <w:gridCol w:w="36"/>
        <w:gridCol w:w="36"/>
        <w:gridCol w:w="36"/>
      </w:tblGrid>
      <w:tr w:rsidR="008D6614" w14:paraId="64A897B7" w14:textId="77777777">
        <w:trPr>
          <w:gridAfter w:val="6"/>
        </w:trPr>
        <w:tc>
          <w:tcPr>
            <w:tcW w:w="50" w:type="pct"/>
            <w:shd w:val="clear" w:color="auto" w:fill="auto"/>
            <w:vAlign w:val="center"/>
          </w:tcPr>
          <w:p w14:paraId="64A897A5" w14:textId="77777777" w:rsidR="008D6614" w:rsidRDefault="008D6614">
            <w:pPr>
              <w:rPr>
                <w:rFonts w:ascii="宋体"/>
              </w:rPr>
            </w:pPr>
          </w:p>
        </w:tc>
        <w:tc>
          <w:tcPr>
            <w:tcW w:w="3553" w:type="pct"/>
            <w:shd w:val="clear" w:color="auto" w:fill="auto"/>
            <w:vAlign w:val="center"/>
          </w:tcPr>
          <w:p w14:paraId="64A897A6" w14:textId="77777777" w:rsidR="008D6614" w:rsidRDefault="008D6614">
            <w:pPr>
              <w:rPr>
                <w:rFonts w:ascii="宋体"/>
              </w:rPr>
            </w:pPr>
          </w:p>
        </w:tc>
        <w:tc>
          <w:tcPr>
            <w:tcW w:w="50" w:type="pct"/>
            <w:shd w:val="clear" w:color="auto" w:fill="auto"/>
            <w:vAlign w:val="center"/>
          </w:tcPr>
          <w:p w14:paraId="64A897A7" w14:textId="77777777" w:rsidR="008D6614" w:rsidRDefault="008D6614">
            <w:pPr>
              <w:rPr>
                <w:rFonts w:ascii="宋体"/>
              </w:rPr>
            </w:pPr>
          </w:p>
        </w:tc>
        <w:tc>
          <w:tcPr>
            <w:tcW w:w="0" w:type="auto"/>
            <w:shd w:val="clear" w:color="auto" w:fill="auto"/>
            <w:vAlign w:val="center"/>
          </w:tcPr>
          <w:p w14:paraId="64A897A8" w14:textId="77777777" w:rsidR="008D6614" w:rsidRDefault="008D6614">
            <w:pPr>
              <w:rPr>
                <w:rFonts w:ascii="宋体"/>
                <w:vanish/>
              </w:rPr>
            </w:pPr>
          </w:p>
        </w:tc>
        <w:tc>
          <w:tcPr>
            <w:tcW w:w="0" w:type="auto"/>
            <w:shd w:val="clear" w:color="auto" w:fill="auto"/>
            <w:vAlign w:val="center"/>
          </w:tcPr>
          <w:p w14:paraId="64A897A9" w14:textId="77777777" w:rsidR="008D6614" w:rsidRDefault="008D6614">
            <w:pPr>
              <w:rPr>
                <w:rFonts w:ascii="宋体"/>
                <w:vanish/>
              </w:rPr>
            </w:pPr>
          </w:p>
        </w:tc>
        <w:tc>
          <w:tcPr>
            <w:tcW w:w="0" w:type="auto"/>
            <w:shd w:val="clear" w:color="auto" w:fill="auto"/>
            <w:vAlign w:val="center"/>
          </w:tcPr>
          <w:p w14:paraId="64A897AA" w14:textId="77777777" w:rsidR="008D6614" w:rsidRDefault="008D6614">
            <w:pPr>
              <w:rPr>
                <w:rFonts w:ascii="宋体"/>
                <w:vanish/>
              </w:rPr>
            </w:pPr>
          </w:p>
        </w:tc>
        <w:tc>
          <w:tcPr>
            <w:tcW w:w="5" w:type="pct"/>
            <w:shd w:val="clear" w:color="auto" w:fill="auto"/>
            <w:vAlign w:val="center"/>
          </w:tcPr>
          <w:p w14:paraId="64A897AB" w14:textId="77777777" w:rsidR="008D6614" w:rsidRDefault="008D6614">
            <w:pPr>
              <w:rPr>
                <w:rFonts w:ascii="宋体"/>
              </w:rPr>
            </w:pPr>
          </w:p>
        </w:tc>
        <w:tc>
          <w:tcPr>
            <w:tcW w:w="26" w:type="pct"/>
            <w:shd w:val="clear" w:color="auto" w:fill="auto"/>
            <w:vAlign w:val="center"/>
          </w:tcPr>
          <w:p w14:paraId="64A897AC" w14:textId="77777777" w:rsidR="008D6614" w:rsidRDefault="008D6614">
            <w:pPr>
              <w:rPr>
                <w:rFonts w:ascii="宋体"/>
              </w:rPr>
            </w:pPr>
          </w:p>
        </w:tc>
        <w:tc>
          <w:tcPr>
            <w:tcW w:w="5" w:type="pct"/>
            <w:shd w:val="clear" w:color="auto" w:fill="auto"/>
            <w:vAlign w:val="center"/>
          </w:tcPr>
          <w:p w14:paraId="64A897AD" w14:textId="77777777" w:rsidR="008D6614" w:rsidRDefault="008D6614">
            <w:pPr>
              <w:rPr>
                <w:rFonts w:ascii="宋体"/>
              </w:rPr>
            </w:pPr>
          </w:p>
        </w:tc>
        <w:tc>
          <w:tcPr>
            <w:tcW w:w="50" w:type="pct"/>
            <w:shd w:val="clear" w:color="auto" w:fill="auto"/>
            <w:vAlign w:val="center"/>
          </w:tcPr>
          <w:p w14:paraId="64A897AE" w14:textId="77777777" w:rsidR="008D6614" w:rsidRDefault="008D6614">
            <w:pPr>
              <w:rPr>
                <w:rFonts w:ascii="宋体"/>
              </w:rPr>
            </w:pPr>
          </w:p>
        </w:tc>
        <w:tc>
          <w:tcPr>
            <w:tcW w:w="536" w:type="pct"/>
            <w:shd w:val="clear" w:color="auto" w:fill="auto"/>
            <w:vAlign w:val="center"/>
          </w:tcPr>
          <w:p w14:paraId="64A897AF" w14:textId="77777777" w:rsidR="008D6614" w:rsidRDefault="008D6614">
            <w:pPr>
              <w:rPr>
                <w:rFonts w:ascii="宋体"/>
              </w:rPr>
            </w:pPr>
          </w:p>
        </w:tc>
        <w:tc>
          <w:tcPr>
            <w:tcW w:w="50" w:type="pct"/>
            <w:shd w:val="clear" w:color="auto" w:fill="auto"/>
            <w:vAlign w:val="center"/>
          </w:tcPr>
          <w:p w14:paraId="64A897B0" w14:textId="77777777" w:rsidR="008D6614" w:rsidRDefault="008D6614">
            <w:pPr>
              <w:rPr>
                <w:rFonts w:ascii="宋体"/>
              </w:rPr>
            </w:pPr>
          </w:p>
        </w:tc>
        <w:tc>
          <w:tcPr>
            <w:tcW w:w="5" w:type="pct"/>
            <w:shd w:val="clear" w:color="auto" w:fill="auto"/>
            <w:vAlign w:val="center"/>
          </w:tcPr>
          <w:p w14:paraId="64A897B1" w14:textId="77777777" w:rsidR="008D6614" w:rsidRDefault="008D6614">
            <w:pPr>
              <w:rPr>
                <w:rFonts w:ascii="宋体"/>
              </w:rPr>
            </w:pPr>
          </w:p>
        </w:tc>
        <w:tc>
          <w:tcPr>
            <w:tcW w:w="26" w:type="pct"/>
            <w:shd w:val="clear" w:color="auto" w:fill="auto"/>
            <w:vAlign w:val="center"/>
          </w:tcPr>
          <w:p w14:paraId="64A897B2" w14:textId="77777777" w:rsidR="008D6614" w:rsidRDefault="008D6614">
            <w:pPr>
              <w:rPr>
                <w:rFonts w:ascii="宋体"/>
              </w:rPr>
            </w:pPr>
          </w:p>
        </w:tc>
        <w:tc>
          <w:tcPr>
            <w:tcW w:w="5" w:type="pct"/>
            <w:shd w:val="clear" w:color="auto" w:fill="auto"/>
            <w:vAlign w:val="center"/>
          </w:tcPr>
          <w:p w14:paraId="64A897B3" w14:textId="77777777" w:rsidR="008D6614" w:rsidRDefault="008D6614">
            <w:pPr>
              <w:rPr>
                <w:rFonts w:ascii="宋体"/>
              </w:rPr>
            </w:pPr>
          </w:p>
        </w:tc>
        <w:tc>
          <w:tcPr>
            <w:tcW w:w="50" w:type="pct"/>
            <w:shd w:val="clear" w:color="auto" w:fill="auto"/>
            <w:vAlign w:val="center"/>
          </w:tcPr>
          <w:p w14:paraId="64A897B4" w14:textId="77777777" w:rsidR="008D6614" w:rsidRDefault="008D6614">
            <w:pPr>
              <w:rPr>
                <w:rFonts w:ascii="宋体"/>
              </w:rPr>
            </w:pPr>
          </w:p>
        </w:tc>
        <w:tc>
          <w:tcPr>
            <w:tcW w:w="536" w:type="pct"/>
            <w:shd w:val="clear" w:color="auto" w:fill="auto"/>
            <w:vAlign w:val="center"/>
          </w:tcPr>
          <w:p w14:paraId="64A897B5" w14:textId="77777777" w:rsidR="008D6614" w:rsidRDefault="008D6614">
            <w:pPr>
              <w:rPr>
                <w:rFonts w:ascii="宋体"/>
              </w:rPr>
            </w:pPr>
          </w:p>
        </w:tc>
        <w:tc>
          <w:tcPr>
            <w:tcW w:w="50" w:type="pct"/>
            <w:shd w:val="clear" w:color="auto" w:fill="auto"/>
            <w:vAlign w:val="center"/>
          </w:tcPr>
          <w:p w14:paraId="64A897B6" w14:textId="77777777" w:rsidR="008D6614" w:rsidRDefault="008D6614">
            <w:pPr>
              <w:rPr>
                <w:rFonts w:ascii="宋体"/>
              </w:rPr>
            </w:pPr>
          </w:p>
        </w:tc>
      </w:tr>
      <w:tr w:rsidR="008D6614" w14:paraId="64A897C0" w14:textId="77777777">
        <w:tc>
          <w:tcPr>
            <w:tcW w:w="0" w:type="auto"/>
            <w:gridSpan w:val="3"/>
            <w:shd w:val="clear" w:color="auto" w:fill="auto"/>
            <w:tcMar>
              <w:top w:w="40" w:type="dxa"/>
              <w:left w:w="20" w:type="dxa"/>
              <w:bottom w:w="40" w:type="dxa"/>
              <w:right w:w="20" w:type="dxa"/>
            </w:tcMar>
            <w:vAlign w:val="bottom"/>
          </w:tcPr>
          <w:p w14:paraId="64A897B8"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97B9" w14:textId="77777777" w:rsidR="008D6614" w:rsidRDefault="008D6614">
            <w:pPr>
              <w:rPr>
                <w:rFonts w:ascii="宋体"/>
                <w:vanish/>
              </w:rPr>
            </w:pPr>
          </w:p>
        </w:tc>
        <w:tc>
          <w:tcPr>
            <w:tcW w:w="0" w:type="auto"/>
            <w:shd w:val="clear" w:color="auto" w:fill="auto"/>
            <w:vAlign w:val="center"/>
          </w:tcPr>
          <w:p w14:paraId="64A897BA" w14:textId="77777777" w:rsidR="008D6614" w:rsidRDefault="008D6614">
            <w:pPr>
              <w:rPr>
                <w:rFonts w:ascii="宋体"/>
                <w:vanish/>
              </w:rPr>
            </w:pPr>
          </w:p>
        </w:tc>
        <w:tc>
          <w:tcPr>
            <w:tcW w:w="0" w:type="auto"/>
            <w:shd w:val="clear" w:color="auto" w:fill="auto"/>
            <w:vAlign w:val="center"/>
          </w:tcPr>
          <w:p w14:paraId="64A897BB"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7BC"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97BD"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vAlign w:val="center"/>
          </w:tcPr>
          <w:p w14:paraId="64A897BE" w14:textId="77777777" w:rsidR="008D6614" w:rsidRDefault="008D6614">
            <w:pPr>
              <w:rPr>
                <w:rFonts w:ascii="宋体"/>
                <w:vanish/>
              </w:rPr>
            </w:pPr>
          </w:p>
        </w:tc>
        <w:tc>
          <w:tcPr>
            <w:tcW w:w="0" w:type="auto"/>
            <w:gridSpan w:val="3"/>
            <w:shd w:val="clear" w:color="auto" w:fill="auto"/>
            <w:vAlign w:val="center"/>
          </w:tcPr>
          <w:p w14:paraId="64A897BF" w14:textId="77777777" w:rsidR="008D6614" w:rsidRDefault="008D6614">
            <w:pPr>
              <w:rPr>
                <w:rFonts w:ascii="宋体"/>
                <w:vanish/>
              </w:rPr>
            </w:pPr>
          </w:p>
        </w:tc>
      </w:tr>
      <w:tr w:rsidR="008D6614" w14:paraId="64A897CF" w14:textId="77777777">
        <w:tc>
          <w:tcPr>
            <w:tcW w:w="0" w:type="auto"/>
            <w:gridSpan w:val="3"/>
            <w:shd w:val="clear" w:color="auto" w:fill="auto"/>
            <w:tcMar>
              <w:top w:w="40" w:type="dxa"/>
              <w:left w:w="20" w:type="dxa"/>
              <w:bottom w:w="40" w:type="dxa"/>
              <w:right w:w="20" w:type="dxa"/>
            </w:tcMar>
            <w:vAlign w:val="bottom"/>
          </w:tcPr>
          <w:p w14:paraId="64A897C1"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97C2" w14:textId="77777777" w:rsidR="008D6614" w:rsidRDefault="008D6614">
            <w:pPr>
              <w:rPr>
                <w:rFonts w:ascii="宋体"/>
                <w:vanish/>
              </w:rPr>
            </w:pPr>
          </w:p>
        </w:tc>
        <w:tc>
          <w:tcPr>
            <w:tcW w:w="0" w:type="auto"/>
            <w:shd w:val="clear" w:color="auto" w:fill="auto"/>
            <w:vAlign w:val="center"/>
          </w:tcPr>
          <w:p w14:paraId="64A897C3" w14:textId="77777777" w:rsidR="008D6614" w:rsidRDefault="008D6614">
            <w:pPr>
              <w:rPr>
                <w:rFonts w:ascii="宋体"/>
                <w:vanish/>
              </w:rPr>
            </w:pPr>
          </w:p>
        </w:tc>
        <w:tc>
          <w:tcPr>
            <w:tcW w:w="0" w:type="auto"/>
            <w:shd w:val="clear" w:color="auto" w:fill="auto"/>
            <w:vAlign w:val="center"/>
          </w:tcPr>
          <w:p w14:paraId="64A897C4"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7C5"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7C6"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64A897C7"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7C8"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97C9" w14:textId="77777777" w:rsidR="008D6614" w:rsidRDefault="008D6614">
            <w:pPr>
              <w:rPr>
                <w:rFonts w:ascii="宋体"/>
              </w:rPr>
            </w:pPr>
          </w:p>
        </w:tc>
        <w:tc>
          <w:tcPr>
            <w:tcW w:w="0" w:type="auto"/>
            <w:shd w:val="clear" w:color="auto" w:fill="auto"/>
            <w:vAlign w:val="center"/>
          </w:tcPr>
          <w:p w14:paraId="64A897CA" w14:textId="77777777" w:rsidR="008D6614" w:rsidRDefault="008D6614">
            <w:pPr>
              <w:rPr>
                <w:rFonts w:ascii="宋体"/>
              </w:rPr>
            </w:pPr>
          </w:p>
        </w:tc>
        <w:tc>
          <w:tcPr>
            <w:tcW w:w="0" w:type="auto"/>
            <w:shd w:val="clear" w:color="auto" w:fill="auto"/>
            <w:vAlign w:val="center"/>
          </w:tcPr>
          <w:p w14:paraId="64A897CB" w14:textId="77777777" w:rsidR="008D6614" w:rsidRDefault="008D6614">
            <w:pPr>
              <w:rPr>
                <w:rFonts w:ascii="宋体"/>
              </w:rPr>
            </w:pPr>
          </w:p>
        </w:tc>
        <w:tc>
          <w:tcPr>
            <w:tcW w:w="0" w:type="auto"/>
            <w:shd w:val="clear" w:color="auto" w:fill="auto"/>
            <w:vAlign w:val="center"/>
          </w:tcPr>
          <w:p w14:paraId="64A897CC" w14:textId="77777777" w:rsidR="008D6614" w:rsidRDefault="008D6614">
            <w:pPr>
              <w:rPr>
                <w:rFonts w:ascii="宋体"/>
              </w:rPr>
            </w:pPr>
          </w:p>
        </w:tc>
        <w:tc>
          <w:tcPr>
            <w:tcW w:w="0" w:type="auto"/>
            <w:shd w:val="clear" w:color="auto" w:fill="auto"/>
            <w:vAlign w:val="center"/>
          </w:tcPr>
          <w:p w14:paraId="64A897CD" w14:textId="77777777" w:rsidR="008D6614" w:rsidRDefault="008D6614">
            <w:pPr>
              <w:rPr>
                <w:rFonts w:ascii="宋体"/>
              </w:rPr>
            </w:pPr>
          </w:p>
        </w:tc>
        <w:tc>
          <w:tcPr>
            <w:tcW w:w="0" w:type="auto"/>
            <w:shd w:val="clear" w:color="auto" w:fill="auto"/>
            <w:vAlign w:val="center"/>
          </w:tcPr>
          <w:p w14:paraId="64A897CE" w14:textId="77777777" w:rsidR="008D6614" w:rsidRDefault="008D6614">
            <w:pPr>
              <w:rPr>
                <w:rFonts w:ascii="宋体"/>
              </w:rPr>
            </w:pPr>
          </w:p>
        </w:tc>
      </w:tr>
      <w:tr w:rsidR="008D6614" w14:paraId="64A897E2" w14:textId="77777777">
        <w:tc>
          <w:tcPr>
            <w:tcW w:w="0" w:type="auto"/>
            <w:gridSpan w:val="3"/>
            <w:shd w:val="clear" w:color="auto" w:fill="E2E2E2"/>
            <w:tcMar>
              <w:top w:w="40" w:type="dxa"/>
              <w:left w:w="20" w:type="dxa"/>
              <w:bottom w:w="40" w:type="dxa"/>
              <w:right w:w="20" w:type="dxa"/>
            </w:tcMar>
            <w:vAlign w:val="bottom"/>
          </w:tcPr>
          <w:p w14:paraId="64A897D0" w14:textId="77777777" w:rsidR="008D6614" w:rsidRDefault="00866AF2">
            <w:pPr>
              <w:textAlignment w:val="bottom"/>
            </w:pPr>
            <w:r>
              <w:rPr>
                <w:rFonts w:ascii="Arial" w:eastAsia="宋体" w:hAnsi="Arial" w:cs="Arial"/>
                <w:color w:val="000000"/>
                <w:sz w:val="18"/>
                <w:szCs w:val="18"/>
              </w:rPr>
              <w:t>U.S.</w:t>
            </w:r>
          </w:p>
        </w:tc>
        <w:tc>
          <w:tcPr>
            <w:tcW w:w="0" w:type="auto"/>
            <w:shd w:val="clear" w:color="auto" w:fill="auto"/>
            <w:vAlign w:val="center"/>
          </w:tcPr>
          <w:p w14:paraId="64A897D1" w14:textId="77777777" w:rsidR="008D6614" w:rsidRDefault="008D6614">
            <w:pPr>
              <w:rPr>
                <w:rFonts w:ascii="宋体"/>
                <w:vanish/>
              </w:rPr>
            </w:pPr>
          </w:p>
        </w:tc>
        <w:tc>
          <w:tcPr>
            <w:tcW w:w="0" w:type="auto"/>
            <w:shd w:val="clear" w:color="auto" w:fill="auto"/>
            <w:vAlign w:val="center"/>
          </w:tcPr>
          <w:p w14:paraId="64A897D2" w14:textId="77777777" w:rsidR="008D6614" w:rsidRDefault="008D6614">
            <w:pPr>
              <w:rPr>
                <w:rFonts w:ascii="宋体"/>
                <w:vanish/>
              </w:rPr>
            </w:pPr>
          </w:p>
        </w:tc>
        <w:tc>
          <w:tcPr>
            <w:tcW w:w="0" w:type="auto"/>
            <w:shd w:val="clear" w:color="auto" w:fill="auto"/>
            <w:vAlign w:val="center"/>
          </w:tcPr>
          <w:p w14:paraId="64A897D3"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7D4"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7D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7D6" w14:textId="77777777" w:rsidR="008D6614" w:rsidRDefault="00866AF2">
            <w:pPr>
              <w:jc w:val="right"/>
              <w:textAlignment w:val="bottom"/>
            </w:pPr>
            <w:r>
              <w:rPr>
                <w:rFonts w:ascii="Arial" w:eastAsia="宋体" w:hAnsi="Arial" w:cs="Arial"/>
                <w:color w:val="000000"/>
                <w:sz w:val="18"/>
                <w:szCs w:val="18"/>
              </w:rPr>
              <w:t>822 </w:t>
            </w:r>
          </w:p>
        </w:tc>
        <w:tc>
          <w:tcPr>
            <w:tcW w:w="0" w:type="auto"/>
            <w:tcBorders>
              <w:top w:val="single" w:sz="8" w:space="0" w:color="000000"/>
            </w:tcBorders>
            <w:shd w:val="clear" w:color="auto" w:fill="E2E2E2"/>
            <w:tcMar>
              <w:top w:w="40" w:type="dxa"/>
              <w:bottom w:w="40" w:type="dxa"/>
              <w:right w:w="20" w:type="dxa"/>
            </w:tcMar>
            <w:vAlign w:val="bottom"/>
          </w:tcPr>
          <w:p w14:paraId="64A897D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7D8"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7D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7DA" w14:textId="77777777" w:rsidR="008D6614" w:rsidRDefault="00866AF2">
            <w:pPr>
              <w:jc w:val="right"/>
              <w:textAlignment w:val="bottom"/>
            </w:pPr>
            <w:r>
              <w:rPr>
                <w:rFonts w:ascii="Arial" w:eastAsia="宋体" w:hAnsi="Arial" w:cs="Arial"/>
                <w:color w:val="000000"/>
                <w:sz w:val="18"/>
                <w:szCs w:val="18"/>
              </w:rPr>
              <w:t>842 </w:t>
            </w:r>
          </w:p>
        </w:tc>
        <w:tc>
          <w:tcPr>
            <w:tcW w:w="0" w:type="auto"/>
            <w:tcBorders>
              <w:top w:val="single" w:sz="8" w:space="0" w:color="000000"/>
            </w:tcBorders>
            <w:shd w:val="clear" w:color="auto" w:fill="E2E2E2"/>
            <w:tcMar>
              <w:top w:w="40" w:type="dxa"/>
              <w:bottom w:w="40" w:type="dxa"/>
              <w:right w:w="20" w:type="dxa"/>
            </w:tcMar>
            <w:vAlign w:val="bottom"/>
          </w:tcPr>
          <w:p w14:paraId="64A897D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7DC" w14:textId="77777777" w:rsidR="008D6614" w:rsidRDefault="008D6614">
            <w:pPr>
              <w:rPr>
                <w:rFonts w:ascii="宋体"/>
              </w:rPr>
            </w:pPr>
          </w:p>
        </w:tc>
        <w:tc>
          <w:tcPr>
            <w:tcW w:w="0" w:type="auto"/>
            <w:shd w:val="clear" w:color="auto" w:fill="auto"/>
            <w:vAlign w:val="center"/>
          </w:tcPr>
          <w:p w14:paraId="64A897DD" w14:textId="77777777" w:rsidR="008D6614" w:rsidRDefault="008D6614">
            <w:pPr>
              <w:rPr>
                <w:rFonts w:ascii="宋体"/>
              </w:rPr>
            </w:pPr>
          </w:p>
        </w:tc>
        <w:tc>
          <w:tcPr>
            <w:tcW w:w="0" w:type="auto"/>
            <w:shd w:val="clear" w:color="auto" w:fill="auto"/>
            <w:vAlign w:val="center"/>
          </w:tcPr>
          <w:p w14:paraId="64A897DE" w14:textId="77777777" w:rsidR="008D6614" w:rsidRDefault="008D6614">
            <w:pPr>
              <w:rPr>
                <w:rFonts w:ascii="宋体"/>
              </w:rPr>
            </w:pPr>
          </w:p>
        </w:tc>
        <w:tc>
          <w:tcPr>
            <w:tcW w:w="0" w:type="auto"/>
            <w:shd w:val="clear" w:color="auto" w:fill="auto"/>
            <w:vAlign w:val="center"/>
          </w:tcPr>
          <w:p w14:paraId="64A897DF" w14:textId="77777777" w:rsidR="008D6614" w:rsidRDefault="008D6614">
            <w:pPr>
              <w:rPr>
                <w:rFonts w:ascii="宋体"/>
              </w:rPr>
            </w:pPr>
          </w:p>
        </w:tc>
        <w:tc>
          <w:tcPr>
            <w:tcW w:w="0" w:type="auto"/>
            <w:shd w:val="clear" w:color="auto" w:fill="auto"/>
            <w:vAlign w:val="center"/>
          </w:tcPr>
          <w:p w14:paraId="64A897E0" w14:textId="77777777" w:rsidR="008D6614" w:rsidRDefault="008D6614">
            <w:pPr>
              <w:rPr>
                <w:rFonts w:ascii="宋体"/>
              </w:rPr>
            </w:pPr>
          </w:p>
        </w:tc>
        <w:tc>
          <w:tcPr>
            <w:tcW w:w="0" w:type="auto"/>
            <w:shd w:val="clear" w:color="auto" w:fill="auto"/>
            <w:vAlign w:val="center"/>
          </w:tcPr>
          <w:p w14:paraId="64A897E1" w14:textId="77777777" w:rsidR="008D6614" w:rsidRDefault="008D6614">
            <w:pPr>
              <w:rPr>
                <w:rFonts w:ascii="宋体"/>
              </w:rPr>
            </w:pPr>
          </w:p>
        </w:tc>
      </w:tr>
      <w:tr w:rsidR="008D6614" w14:paraId="64A897F3" w14:textId="77777777">
        <w:tc>
          <w:tcPr>
            <w:tcW w:w="0" w:type="auto"/>
            <w:gridSpan w:val="3"/>
            <w:shd w:val="clear" w:color="auto" w:fill="FFFFFF"/>
            <w:tcMar>
              <w:top w:w="40" w:type="dxa"/>
              <w:left w:w="20" w:type="dxa"/>
              <w:bottom w:w="40" w:type="dxa"/>
              <w:right w:w="20" w:type="dxa"/>
            </w:tcMar>
            <w:vAlign w:val="bottom"/>
          </w:tcPr>
          <w:p w14:paraId="64A897E3" w14:textId="77777777" w:rsidR="008D6614" w:rsidRDefault="00866AF2">
            <w:pPr>
              <w:textAlignment w:val="bottom"/>
            </w:pPr>
            <w:r>
              <w:rPr>
                <w:rFonts w:ascii="Arial" w:eastAsia="宋体" w:hAnsi="Arial" w:cs="Arial"/>
                <w:color w:val="000000"/>
                <w:sz w:val="18"/>
                <w:szCs w:val="18"/>
              </w:rPr>
              <w:t>Germany</w:t>
            </w:r>
          </w:p>
        </w:tc>
        <w:tc>
          <w:tcPr>
            <w:tcW w:w="0" w:type="auto"/>
            <w:shd w:val="clear" w:color="auto" w:fill="auto"/>
            <w:vAlign w:val="center"/>
          </w:tcPr>
          <w:p w14:paraId="64A897E4" w14:textId="77777777" w:rsidR="008D6614" w:rsidRDefault="008D6614">
            <w:pPr>
              <w:rPr>
                <w:rFonts w:ascii="宋体"/>
                <w:vanish/>
              </w:rPr>
            </w:pPr>
          </w:p>
        </w:tc>
        <w:tc>
          <w:tcPr>
            <w:tcW w:w="0" w:type="auto"/>
            <w:shd w:val="clear" w:color="auto" w:fill="auto"/>
            <w:vAlign w:val="center"/>
          </w:tcPr>
          <w:p w14:paraId="64A897E5" w14:textId="77777777" w:rsidR="008D6614" w:rsidRDefault="008D6614">
            <w:pPr>
              <w:rPr>
                <w:rFonts w:ascii="宋体"/>
                <w:vanish/>
              </w:rPr>
            </w:pPr>
          </w:p>
        </w:tc>
        <w:tc>
          <w:tcPr>
            <w:tcW w:w="0" w:type="auto"/>
            <w:shd w:val="clear" w:color="auto" w:fill="auto"/>
            <w:vAlign w:val="center"/>
          </w:tcPr>
          <w:p w14:paraId="64A897E6"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7E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7E8" w14:textId="77777777" w:rsidR="008D6614" w:rsidRDefault="00866AF2">
            <w:pPr>
              <w:jc w:val="right"/>
              <w:textAlignment w:val="bottom"/>
            </w:pPr>
            <w:r>
              <w:rPr>
                <w:rFonts w:ascii="Arial" w:eastAsia="宋体" w:hAnsi="Arial" w:cs="Arial"/>
                <w:color w:val="000000"/>
                <w:sz w:val="18"/>
                <w:szCs w:val="18"/>
              </w:rPr>
              <w:t>357 </w:t>
            </w:r>
          </w:p>
        </w:tc>
        <w:tc>
          <w:tcPr>
            <w:tcW w:w="0" w:type="auto"/>
            <w:shd w:val="clear" w:color="auto" w:fill="FFFFFF"/>
            <w:tcMar>
              <w:top w:w="40" w:type="dxa"/>
              <w:bottom w:w="40" w:type="dxa"/>
              <w:right w:w="20" w:type="dxa"/>
            </w:tcMar>
            <w:vAlign w:val="bottom"/>
          </w:tcPr>
          <w:p w14:paraId="64A897E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7E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7EB" w14:textId="77777777" w:rsidR="008D6614" w:rsidRDefault="00866AF2">
            <w:pPr>
              <w:jc w:val="right"/>
              <w:textAlignment w:val="bottom"/>
            </w:pPr>
            <w:r>
              <w:rPr>
                <w:rFonts w:ascii="Arial" w:eastAsia="宋体" w:hAnsi="Arial" w:cs="Arial"/>
                <w:color w:val="000000"/>
                <w:sz w:val="18"/>
                <w:szCs w:val="18"/>
              </w:rPr>
              <w:t>384 </w:t>
            </w:r>
          </w:p>
        </w:tc>
        <w:tc>
          <w:tcPr>
            <w:tcW w:w="0" w:type="auto"/>
            <w:shd w:val="clear" w:color="auto" w:fill="FFFFFF"/>
            <w:tcMar>
              <w:top w:w="40" w:type="dxa"/>
              <w:bottom w:w="40" w:type="dxa"/>
              <w:right w:w="20" w:type="dxa"/>
            </w:tcMar>
            <w:vAlign w:val="bottom"/>
          </w:tcPr>
          <w:p w14:paraId="64A897E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7ED" w14:textId="77777777" w:rsidR="008D6614" w:rsidRDefault="008D6614">
            <w:pPr>
              <w:rPr>
                <w:rFonts w:ascii="宋体"/>
              </w:rPr>
            </w:pPr>
          </w:p>
        </w:tc>
        <w:tc>
          <w:tcPr>
            <w:tcW w:w="0" w:type="auto"/>
            <w:shd w:val="clear" w:color="auto" w:fill="auto"/>
            <w:vAlign w:val="center"/>
          </w:tcPr>
          <w:p w14:paraId="64A897EE" w14:textId="77777777" w:rsidR="008D6614" w:rsidRDefault="008D6614">
            <w:pPr>
              <w:rPr>
                <w:rFonts w:ascii="宋体"/>
              </w:rPr>
            </w:pPr>
          </w:p>
        </w:tc>
        <w:tc>
          <w:tcPr>
            <w:tcW w:w="0" w:type="auto"/>
            <w:shd w:val="clear" w:color="auto" w:fill="auto"/>
            <w:vAlign w:val="center"/>
          </w:tcPr>
          <w:p w14:paraId="64A897EF" w14:textId="77777777" w:rsidR="008D6614" w:rsidRDefault="008D6614">
            <w:pPr>
              <w:rPr>
                <w:rFonts w:ascii="宋体"/>
              </w:rPr>
            </w:pPr>
          </w:p>
        </w:tc>
        <w:tc>
          <w:tcPr>
            <w:tcW w:w="0" w:type="auto"/>
            <w:shd w:val="clear" w:color="auto" w:fill="auto"/>
            <w:vAlign w:val="center"/>
          </w:tcPr>
          <w:p w14:paraId="64A897F0" w14:textId="77777777" w:rsidR="008D6614" w:rsidRDefault="008D6614">
            <w:pPr>
              <w:rPr>
                <w:rFonts w:ascii="宋体"/>
              </w:rPr>
            </w:pPr>
          </w:p>
        </w:tc>
        <w:tc>
          <w:tcPr>
            <w:tcW w:w="0" w:type="auto"/>
            <w:shd w:val="clear" w:color="auto" w:fill="auto"/>
            <w:vAlign w:val="center"/>
          </w:tcPr>
          <w:p w14:paraId="64A897F1" w14:textId="77777777" w:rsidR="008D6614" w:rsidRDefault="008D6614">
            <w:pPr>
              <w:rPr>
                <w:rFonts w:ascii="宋体"/>
              </w:rPr>
            </w:pPr>
          </w:p>
        </w:tc>
        <w:tc>
          <w:tcPr>
            <w:tcW w:w="0" w:type="auto"/>
            <w:shd w:val="clear" w:color="auto" w:fill="auto"/>
            <w:vAlign w:val="center"/>
          </w:tcPr>
          <w:p w14:paraId="64A897F2" w14:textId="77777777" w:rsidR="008D6614" w:rsidRDefault="008D6614">
            <w:pPr>
              <w:rPr>
                <w:rFonts w:ascii="宋体"/>
              </w:rPr>
            </w:pPr>
          </w:p>
        </w:tc>
      </w:tr>
      <w:tr w:rsidR="008D6614" w14:paraId="64A89804" w14:textId="77777777">
        <w:tc>
          <w:tcPr>
            <w:tcW w:w="0" w:type="auto"/>
            <w:gridSpan w:val="3"/>
            <w:shd w:val="clear" w:color="auto" w:fill="E2E2E2"/>
            <w:tcMar>
              <w:top w:w="40" w:type="dxa"/>
              <w:left w:w="20" w:type="dxa"/>
              <w:bottom w:w="40" w:type="dxa"/>
              <w:right w:w="20" w:type="dxa"/>
            </w:tcMar>
            <w:vAlign w:val="bottom"/>
          </w:tcPr>
          <w:p w14:paraId="64A897F4" w14:textId="77777777" w:rsidR="008D6614" w:rsidRDefault="00866AF2">
            <w:pPr>
              <w:textAlignment w:val="bottom"/>
            </w:pPr>
            <w:r>
              <w:rPr>
                <w:rFonts w:ascii="Arial" w:eastAsia="宋体" w:hAnsi="Arial" w:cs="Arial"/>
                <w:color w:val="000000"/>
                <w:sz w:val="18"/>
                <w:szCs w:val="18"/>
              </w:rPr>
              <w:t>United Kingdom</w:t>
            </w:r>
          </w:p>
        </w:tc>
        <w:tc>
          <w:tcPr>
            <w:tcW w:w="0" w:type="auto"/>
            <w:shd w:val="clear" w:color="auto" w:fill="auto"/>
            <w:vAlign w:val="center"/>
          </w:tcPr>
          <w:p w14:paraId="64A897F5" w14:textId="77777777" w:rsidR="008D6614" w:rsidRDefault="008D6614">
            <w:pPr>
              <w:rPr>
                <w:rFonts w:ascii="宋体"/>
                <w:vanish/>
              </w:rPr>
            </w:pPr>
          </w:p>
        </w:tc>
        <w:tc>
          <w:tcPr>
            <w:tcW w:w="0" w:type="auto"/>
            <w:shd w:val="clear" w:color="auto" w:fill="auto"/>
            <w:vAlign w:val="center"/>
          </w:tcPr>
          <w:p w14:paraId="64A897F6" w14:textId="77777777" w:rsidR="008D6614" w:rsidRDefault="008D6614">
            <w:pPr>
              <w:rPr>
                <w:rFonts w:ascii="宋体"/>
                <w:vanish/>
              </w:rPr>
            </w:pPr>
          </w:p>
        </w:tc>
        <w:tc>
          <w:tcPr>
            <w:tcW w:w="0" w:type="auto"/>
            <w:shd w:val="clear" w:color="auto" w:fill="auto"/>
            <w:vAlign w:val="center"/>
          </w:tcPr>
          <w:p w14:paraId="64A897F7"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7F8"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7F9" w14:textId="77777777" w:rsidR="008D6614" w:rsidRDefault="00866AF2">
            <w:pPr>
              <w:jc w:val="right"/>
              <w:textAlignment w:val="bottom"/>
            </w:pPr>
            <w:r>
              <w:rPr>
                <w:rFonts w:ascii="Arial" w:eastAsia="宋体" w:hAnsi="Arial" w:cs="Arial"/>
                <w:color w:val="000000"/>
                <w:sz w:val="18"/>
                <w:szCs w:val="18"/>
              </w:rPr>
              <w:t>348 </w:t>
            </w:r>
          </w:p>
        </w:tc>
        <w:tc>
          <w:tcPr>
            <w:tcW w:w="0" w:type="auto"/>
            <w:shd w:val="clear" w:color="auto" w:fill="E2E2E2"/>
            <w:tcMar>
              <w:top w:w="40" w:type="dxa"/>
              <w:bottom w:w="40" w:type="dxa"/>
              <w:right w:w="20" w:type="dxa"/>
            </w:tcMar>
            <w:vAlign w:val="bottom"/>
          </w:tcPr>
          <w:p w14:paraId="64A897F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7FB"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7FC" w14:textId="77777777" w:rsidR="008D6614" w:rsidRDefault="00866AF2">
            <w:pPr>
              <w:jc w:val="right"/>
              <w:textAlignment w:val="bottom"/>
            </w:pPr>
            <w:r>
              <w:rPr>
                <w:rFonts w:ascii="Arial" w:eastAsia="宋体" w:hAnsi="Arial" w:cs="Arial"/>
                <w:color w:val="000000"/>
                <w:sz w:val="18"/>
                <w:szCs w:val="18"/>
              </w:rPr>
              <w:t>353 </w:t>
            </w:r>
          </w:p>
        </w:tc>
        <w:tc>
          <w:tcPr>
            <w:tcW w:w="0" w:type="auto"/>
            <w:shd w:val="clear" w:color="auto" w:fill="E2E2E2"/>
            <w:tcMar>
              <w:top w:w="40" w:type="dxa"/>
              <w:bottom w:w="40" w:type="dxa"/>
              <w:right w:w="20" w:type="dxa"/>
            </w:tcMar>
            <w:vAlign w:val="bottom"/>
          </w:tcPr>
          <w:p w14:paraId="64A897F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7FE" w14:textId="77777777" w:rsidR="008D6614" w:rsidRDefault="008D6614">
            <w:pPr>
              <w:rPr>
                <w:rFonts w:ascii="宋体"/>
              </w:rPr>
            </w:pPr>
          </w:p>
        </w:tc>
        <w:tc>
          <w:tcPr>
            <w:tcW w:w="0" w:type="auto"/>
            <w:shd w:val="clear" w:color="auto" w:fill="auto"/>
            <w:vAlign w:val="center"/>
          </w:tcPr>
          <w:p w14:paraId="64A897FF" w14:textId="77777777" w:rsidR="008D6614" w:rsidRDefault="008D6614">
            <w:pPr>
              <w:rPr>
                <w:rFonts w:ascii="宋体"/>
              </w:rPr>
            </w:pPr>
          </w:p>
        </w:tc>
        <w:tc>
          <w:tcPr>
            <w:tcW w:w="0" w:type="auto"/>
            <w:shd w:val="clear" w:color="auto" w:fill="auto"/>
            <w:vAlign w:val="center"/>
          </w:tcPr>
          <w:p w14:paraId="64A89800" w14:textId="77777777" w:rsidR="008D6614" w:rsidRDefault="008D6614">
            <w:pPr>
              <w:rPr>
                <w:rFonts w:ascii="宋体"/>
              </w:rPr>
            </w:pPr>
          </w:p>
        </w:tc>
        <w:tc>
          <w:tcPr>
            <w:tcW w:w="0" w:type="auto"/>
            <w:shd w:val="clear" w:color="auto" w:fill="auto"/>
            <w:vAlign w:val="center"/>
          </w:tcPr>
          <w:p w14:paraId="64A89801" w14:textId="77777777" w:rsidR="008D6614" w:rsidRDefault="008D6614">
            <w:pPr>
              <w:rPr>
                <w:rFonts w:ascii="宋体"/>
              </w:rPr>
            </w:pPr>
          </w:p>
        </w:tc>
        <w:tc>
          <w:tcPr>
            <w:tcW w:w="0" w:type="auto"/>
            <w:shd w:val="clear" w:color="auto" w:fill="auto"/>
            <w:vAlign w:val="center"/>
          </w:tcPr>
          <w:p w14:paraId="64A89802" w14:textId="77777777" w:rsidR="008D6614" w:rsidRDefault="008D6614">
            <w:pPr>
              <w:rPr>
                <w:rFonts w:ascii="宋体"/>
              </w:rPr>
            </w:pPr>
          </w:p>
        </w:tc>
        <w:tc>
          <w:tcPr>
            <w:tcW w:w="0" w:type="auto"/>
            <w:shd w:val="clear" w:color="auto" w:fill="auto"/>
            <w:vAlign w:val="center"/>
          </w:tcPr>
          <w:p w14:paraId="64A89803" w14:textId="77777777" w:rsidR="008D6614" w:rsidRDefault="008D6614">
            <w:pPr>
              <w:rPr>
                <w:rFonts w:ascii="宋体"/>
              </w:rPr>
            </w:pPr>
          </w:p>
        </w:tc>
      </w:tr>
      <w:tr w:rsidR="008D6614" w14:paraId="64A89815" w14:textId="77777777">
        <w:tc>
          <w:tcPr>
            <w:tcW w:w="0" w:type="auto"/>
            <w:gridSpan w:val="3"/>
            <w:shd w:val="clear" w:color="auto" w:fill="FFFFFF"/>
            <w:tcMar>
              <w:top w:w="40" w:type="dxa"/>
              <w:left w:w="20" w:type="dxa"/>
              <w:bottom w:w="40" w:type="dxa"/>
              <w:right w:w="20" w:type="dxa"/>
            </w:tcMar>
            <w:vAlign w:val="bottom"/>
          </w:tcPr>
          <w:p w14:paraId="64A89805" w14:textId="77777777" w:rsidR="008D6614" w:rsidRDefault="00866AF2">
            <w:pPr>
              <w:textAlignment w:val="bottom"/>
            </w:pPr>
            <w:r>
              <w:rPr>
                <w:rFonts w:ascii="Arial" w:eastAsia="宋体" w:hAnsi="Arial" w:cs="Arial"/>
                <w:color w:val="000000"/>
                <w:sz w:val="18"/>
                <w:szCs w:val="18"/>
              </w:rPr>
              <w:t>South Korea</w:t>
            </w:r>
          </w:p>
        </w:tc>
        <w:tc>
          <w:tcPr>
            <w:tcW w:w="0" w:type="auto"/>
            <w:shd w:val="clear" w:color="auto" w:fill="auto"/>
            <w:vAlign w:val="center"/>
          </w:tcPr>
          <w:p w14:paraId="64A89806" w14:textId="77777777" w:rsidR="008D6614" w:rsidRDefault="008D6614">
            <w:pPr>
              <w:rPr>
                <w:rFonts w:ascii="宋体"/>
                <w:vanish/>
              </w:rPr>
            </w:pPr>
          </w:p>
        </w:tc>
        <w:tc>
          <w:tcPr>
            <w:tcW w:w="0" w:type="auto"/>
            <w:shd w:val="clear" w:color="auto" w:fill="auto"/>
            <w:vAlign w:val="center"/>
          </w:tcPr>
          <w:p w14:paraId="64A89807" w14:textId="77777777" w:rsidR="008D6614" w:rsidRDefault="008D6614">
            <w:pPr>
              <w:rPr>
                <w:rFonts w:ascii="宋体"/>
                <w:vanish/>
              </w:rPr>
            </w:pPr>
          </w:p>
        </w:tc>
        <w:tc>
          <w:tcPr>
            <w:tcW w:w="0" w:type="auto"/>
            <w:shd w:val="clear" w:color="auto" w:fill="auto"/>
            <w:vAlign w:val="center"/>
          </w:tcPr>
          <w:p w14:paraId="64A89808"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80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80A" w14:textId="77777777" w:rsidR="008D6614" w:rsidRDefault="00866AF2">
            <w:pPr>
              <w:jc w:val="right"/>
              <w:textAlignment w:val="bottom"/>
            </w:pPr>
            <w:r>
              <w:rPr>
                <w:rFonts w:ascii="Arial" w:eastAsia="宋体" w:hAnsi="Arial" w:cs="Arial"/>
                <w:color w:val="000000"/>
                <w:sz w:val="18"/>
                <w:szCs w:val="18"/>
              </w:rPr>
              <w:t>312 </w:t>
            </w:r>
          </w:p>
        </w:tc>
        <w:tc>
          <w:tcPr>
            <w:tcW w:w="0" w:type="auto"/>
            <w:shd w:val="clear" w:color="auto" w:fill="FFFFFF"/>
            <w:tcMar>
              <w:top w:w="40" w:type="dxa"/>
              <w:bottom w:w="40" w:type="dxa"/>
              <w:right w:w="20" w:type="dxa"/>
            </w:tcMar>
            <w:vAlign w:val="bottom"/>
          </w:tcPr>
          <w:p w14:paraId="64A8980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80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80D" w14:textId="77777777" w:rsidR="008D6614" w:rsidRDefault="00866AF2">
            <w:pPr>
              <w:jc w:val="right"/>
              <w:textAlignment w:val="bottom"/>
            </w:pPr>
            <w:r>
              <w:rPr>
                <w:rFonts w:ascii="Arial" w:eastAsia="宋体" w:hAnsi="Arial" w:cs="Arial"/>
                <w:color w:val="000000"/>
                <w:sz w:val="18"/>
                <w:szCs w:val="18"/>
              </w:rPr>
              <w:t>297 </w:t>
            </w:r>
          </w:p>
        </w:tc>
        <w:tc>
          <w:tcPr>
            <w:tcW w:w="0" w:type="auto"/>
            <w:shd w:val="clear" w:color="auto" w:fill="FFFFFF"/>
            <w:tcMar>
              <w:top w:w="40" w:type="dxa"/>
              <w:bottom w:w="40" w:type="dxa"/>
              <w:right w:w="20" w:type="dxa"/>
            </w:tcMar>
            <w:vAlign w:val="bottom"/>
          </w:tcPr>
          <w:p w14:paraId="64A8980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80F" w14:textId="77777777" w:rsidR="008D6614" w:rsidRDefault="008D6614">
            <w:pPr>
              <w:rPr>
                <w:rFonts w:ascii="宋体"/>
              </w:rPr>
            </w:pPr>
          </w:p>
        </w:tc>
        <w:tc>
          <w:tcPr>
            <w:tcW w:w="0" w:type="auto"/>
            <w:shd w:val="clear" w:color="auto" w:fill="auto"/>
            <w:vAlign w:val="center"/>
          </w:tcPr>
          <w:p w14:paraId="64A89810" w14:textId="77777777" w:rsidR="008D6614" w:rsidRDefault="008D6614">
            <w:pPr>
              <w:rPr>
                <w:rFonts w:ascii="宋体"/>
              </w:rPr>
            </w:pPr>
          </w:p>
        </w:tc>
        <w:tc>
          <w:tcPr>
            <w:tcW w:w="0" w:type="auto"/>
            <w:shd w:val="clear" w:color="auto" w:fill="auto"/>
            <w:vAlign w:val="center"/>
          </w:tcPr>
          <w:p w14:paraId="64A89811" w14:textId="77777777" w:rsidR="008D6614" w:rsidRDefault="008D6614">
            <w:pPr>
              <w:rPr>
                <w:rFonts w:ascii="宋体"/>
              </w:rPr>
            </w:pPr>
          </w:p>
        </w:tc>
        <w:tc>
          <w:tcPr>
            <w:tcW w:w="0" w:type="auto"/>
            <w:shd w:val="clear" w:color="auto" w:fill="auto"/>
            <w:vAlign w:val="center"/>
          </w:tcPr>
          <w:p w14:paraId="64A89812" w14:textId="77777777" w:rsidR="008D6614" w:rsidRDefault="008D6614">
            <w:pPr>
              <w:rPr>
                <w:rFonts w:ascii="宋体"/>
              </w:rPr>
            </w:pPr>
          </w:p>
        </w:tc>
        <w:tc>
          <w:tcPr>
            <w:tcW w:w="0" w:type="auto"/>
            <w:shd w:val="clear" w:color="auto" w:fill="auto"/>
            <w:vAlign w:val="center"/>
          </w:tcPr>
          <w:p w14:paraId="64A89813" w14:textId="77777777" w:rsidR="008D6614" w:rsidRDefault="008D6614">
            <w:pPr>
              <w:rPr>
                <w:rFonts w:ascii="宋体"/>
              </w:rPr>
            </w:pPr>
          </w:p>
        </w:tc>
        <w:tc>
          <w:tcPr>
            <w:tcW w:w="0" w:type="auto"/>
            <w:shd w:val="clear" w:color="auto" w:fill="auto"/>
            <w:vAlign w:val="center"/>
          </w:tcPr>
          <w:p w14:paraId="64A89814" w14:textId="77777777" w:rsidR="008D6614" w:rsidRDefault="008D6614">
            <w:pPr>
              <w:rPr>
                <w:rFonts w:ascii="宋体"/>
              </w:rPr>
            </w:pPr>
          </w:p>
        </w:tc>
      </w:tr>
      <w:tr w:rsidR="008D6614" w14:paraId="64A89826" w14:textId="77777777">
        <w:tc>
          <w:tcPr>
            <w:tcW w:w="0" w:type="auto"/>
            <w:gridSpan w:val="3"/>
            <w:shd w:val="clear" w:color="auto" w:fill="E2E2E2"/>
            <w:tcMar>
              <w:top w:w="40" w:type="dxa"/>
              <w:left w:w="20" w:type="dxa"/>
              <w:bottom w:w="40" w:type="dxa"/>
              <w:right w:w="20" w:type="dxa"/>
            </w:tcMar>
            <w:vAlign w:val="bottom"/>
          </w:tcPr>
          <w:p w14:paraId="64A89816" w14:textId="77777777" w:rsidR="008D6614" w:rsidRDefault="00866AF2">
            <w:pPr>
              <w:textAlignment w:val="bottom"/>
            </w:pPr>
            <w:r>
              <w:rPr>
                <w:rFonts w:ascii="Arial" w:eastAsia="宋体" w:hAnsi="Arial" w:cs="Arial"/>
                <w:color w:val="000000"/>
                <w:sz w:val="18"/>
                <w:szCs w:val="18"/>
              </w:rPr>
              <w:t>Rest of world</w:t>
            </w:r>
          </w:p>
        </w:tc>
        <w:tc>
          <w:tcPr>
            <w:tcW w:w="0" w:type="auto"/>
            <w:shd w:val="clear" w:color="auto" w:fill="auto"/>
            <w:vAlign w:val="center"/>
          </w:tcPr>
          <w:p w14:paraId="64A89817" w14:textId="77777777" w:rsidR="008D6614" w:rsidRDefault="008D6614">
            <w:pPr>
              <w:rPr>
                <w:rFonts w:ascii="宋体"/>
                <w:vanish/>
              </w:rPr>
            </w:pPr>
          </w:p>
        </w:tc>
        <w:tc>
          <w:tcPr>
            <w:tcW w:w="0" w:type="auto"/>
            <w:shd w:val="clear" w:color="auto" w:fill="auto"/>
            <w:vAlign w:val="center"/>
          </w:tcPr>
          <w:p w14:paraId="64A89818" w14:textId="77777777" w:rsidR="008D6614" w:rsidRDefault="008D6614">
            <w:pPr>
              <w:rPr>
                <w:rFonts w:ascii="宋体"/>
                <w:vanish/>
              </w:rPr>
            </w:pPr>
          </w:p>
        </w:tc>
        <w:tc>
          <w:tcPr>
            <w:tcW w:w="0" w:type="auto"/>
            <w:shd w:val="clear" w:color="auto" w:fill="auto"/>
            <w:vAlign w:val="center"/>
          </w:tcPr>
          <w:p w14:paraId="64A89819"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81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81B" w14:textId="77777777" w:rsidR="008D6614" w:rsidRDefault="00866AF2">
            <w:pPr>
              <w:jc w:val="right"/>
              <w:textAlignment w:val="bottom"/>
            </w:pPr>
            <w:r>
              <w:rPr>
                <w:rFonts w:ascii="Arial" w:eastAsia="宋体" w:hAnsi="Arial" w:cs="Arial"/>
                <w:color w:val="000000"/>
                <w:sz w:val="18"/>
                <w:szCs w:val="18"/>
              </w:rPr>
              <w:t>535 </w:t>
            </w:r>
          </w:p>
        </w:tc>
        <w:tc>
          <w:tcPr>
            <w:tcW w:w="0" w:type="auto"/>
            <w:shd w:val="clear" w:color="auto" w:fill="E2E2E2"/>
            <w:tcMar>
              <w:top w:w="40" w:type="dxa"/>
              <w:bottom w:w="40" w:type="dxa"/>
              <w:right w:w="20" w:type="dxa"/>
            </w:tcMar>
            <w:vAlign w:val="bottom"/>
          </w:tcPr>
          <w:p w14:paraId="64A8981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81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81E" w14:textId="77777777" w:rsidR="008D6614" w:rsidRDefault="00866AF2">
            <w:pPr>
              <w:jc w:val="right"/>
              <w:textAlignment w:val="bottom"/>
            </w:pPr>
            <w:r>
              <w:rPr>
                <w:rFonts w:ascii="Arial" w:eastAsia="宋体" w:hAnsi="Arial" w:cs="Arial"/>
                <w:color w:val="000000"/>
                <w:sz w:val="18"/>
                <w:szCs w:val="18"/>
              </w:rPr>
              <w:t>537 </w:t>
            </w:r>
          </w:p>
        </w:tc>
        <w:tc>
          <w:tcPr>
            <w:tcW w:w="0" w:type="auto"/>
            <w:shd w:val="clear" w:color="auto" w:fill="E2E2E2"/>
            <w:tcMar>
              <w:top w:w="40" w:type="dxa"/>
              <w:bottom w:w="40" w:type="dxa"/>
              <w:right w:w="20" w:type="dxa"/>
            </w:tcMar>
            <w:vAlign w:val="bottom"/>
          </w:tcPr>
          <w:p w14:paraId="64A8981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820" w14:textId="77777777" w:rsidR="008D6614" w:rsidRDefault="008D6614">
            <w:pPr>
              <w:rPr>
                <w:rFonts w:ascii="宋体"/>
              </w:rPr>
            </w:pPr>
          </w:p>
        </w:tc>
        <w:tc>
          <w:tcPr>
            <w:tcW w:w="0" w:type="auto"/>
            <w:shd w:val="clear" w:color="auto" w:fill="auto"/>
            <w:vAlign w:val="center"/>
          </w:tcPr>
          <w:p w14:paraId="64A89821" w14:textId="77777777" w:rsidR="008D6614" w:rsidRDefault="008D6614">
            <w:pPr>
              <w:rPr>
                <w:rFonts w:ascii="宋体"/>
              </w:rPr>
            </w:pPr>
          </w:p>
        </w:tc>
        <w:tc>
          <w:tcPr>
            <w:tcW w:w="0" w:type="auto"/>
            <w:shd w:val="clear" w:color="auto" w:fill="auto"/>
            <w:vAlign w:val="center"/>
          </w:tcPr>
          <w:p w14:paraId="64A89822" w14:textId="77777777" w:rsidR="008D6614" w:rsidRDefault="008D6614">
            <w:pPr>
              <w:rPr>
                <w:rFonts w:ascii="宋体"/>
              </w:rPr>
            </w:pPr>
          </w:p>
        </w:tc>
        <w:tc>
          <w:tcPr>
            <w:tcW w:w="0" w:type="auto"/>
            <w:shd w:val="clear" w:color="auto" w:fill="auto"/>
            <w:vAlign w:val="center"/>
          </w:tcPr>
          <w:p w14:paraId="64A89823" w14:textId="77777777" w:rsidR="008D6614" w:rsidRDefault="008D6614">
            <w:pPr>
              <w:rPr>
                <w:rFonts w:ascii="宋体"/>
              </w:rPr>
            </w:pPr>
          </w:p>
        </w:tc>
        <w:tc>
          <w:tcPr>
            <w:tcW w:w="0" w:type="auto"/>
            <w:shd w:val="clear" w:color="auto" w:fill="auto"/>
            <w:vAlign w:val="center"/>
          </w:tcPr>
          <w:p w14:paraId="64A89824" w14:textId="77777777" w:rsidR="008D6614" w:rsidRDefault="008D6614">
            <w:pPr>
              <w:rPr>
                <w:rFonts w:ascii="宋体"/>
              </w:rPr>
            </w:pPr>
          </w:p>
        </w:tc>
        <w:tc>
          <w:tcPr>
            <w:tcW w:w="0" w:type="auto"/>
            <w:shd w:val="clear" w:color="auto" w:fill="auto"/>
            <w:vAlign w:val="center"/>
          </w:tcPr>
          <w:p w14:paraId="64A89825" w14:textId="77777777" w:rsidR="008D6614" w:rsidRDefault="008D6614">
            <w:pPr>
              <w:rPr>
                <w:rFonts w:ascii="宋体"/>
              </w:rPr>
            </w:pPr>
          </w:p>
        </w:tc>
      </w:tr>
      <w:tr w:rsidR="008D6614" w14:paraId="64A89839" w14:textId="77777777">
        <w:tc>
          <w:tcPr>
            <w:tcW w:w="0" w:type="auto"/>
            <w:gridSpan w:val="3"/>
            <w:shd w:val="clear" w:color="auto" w:fill="FFFFFF"/>
            <w:tcMar>
              <w:top w:w="40" w:type="dxa"/>
              <w:left w:w="225" w:type="dxa"/>
              <w:bottom w:w="40" w:type="dxa"/>
              <w:right w:w="20" w:type="dxa"/>
            </w:tcMar>
            <w:vAlign w:val="bottom"/>
          </w:tcPr>
          <w:p w14:paraId="64A89827" w14:textId="77777777" w:rsidR="008D6614" w:rsidRDefault="00866AF2">
            <w:pPr>
              <w:textAlignment w:val="bottom"/>
            </w:pPr>
            <w:r>
              <w:rPr>
                <w:rFonts w:ascii="Arial" w:eastAsia="宋体" w:hAnsi="Arial" w:cs="Arial"/>
                <w:color w:val="000000"/>
                <w:sz w:val="18"/>
                <w:szCs w:val="18"/>
              </w:rPr>
              <w:t>Total net revenues</w:t>
            </w:r>
          </w:p>
        </w:tc>
        <w:tc>
          <w:tcPr>
            <w:tcW w:w="0" w:type="auto"/>
            <w:shd w:val="clear" w:color="auto" w:fill="auto"/>
            <w:vAlign w:val="center"/>
          </w:tcPr>
          <w:p w14:paraId="64A89828" w14:textId="77777777" w:rsidR="008D6614" w:rsidRDefault="008D6614">
            <w:pPr>
              <w:rPr>
                <w:rFonts w:ascii="宋体"/>
                <w:vanish/>
              </w:rPr>
            </w:pPr>
          </w:p>
        </w:tc>
        <w:tc>
          <w:tcPr>
            <w:tcW w:w="0" w:type="auto"/>
            <w:shd w:val="clear" w:color="auto" w:fill="auto"/>
            <w:vAlign w:val="center"/>
          </w:tcPr>
          <w:p w14:paraId="64A89829" w14:textId="77777777" w:rsidR="008D6614" w:rsidRDefault="008D6614">
            <w:pPr>
              <w:rPr>
                <w:rFonts w:ascii="宋体"/>
                <w:vanish/>
              </w:rPr>
            </w:pPr>
          </w:p>
        </w:tc>
        <w:tc>
          <w:tcPr>
            <w:tcW w:w="0" w:type="auto"/>
            <w:shd w:val="clear" w:color="auto" w:fill="auto"/>
            <w:vAlign w:val="center"/>
          </w:tcPr>
          <w:p w14:paraId="64A8982A"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82B"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82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82D" w14:textId="77777777" w:rsidR="008D6614" w:rsidRDefault="00866AF2">
            <w:pPr>
              <w:jc w:val="right"/>
              <w:textAlignment w:val="bottom"/>
            </w:pPr>
            <w:r>
              <w:rPr>
                <w:rFonts w:ascii="Arial" w:eastAsia="宋体" w:hAnsi="Arial" w:cs="Arial"/>
                <w:color w:val="000000"/>
                <w:sz w:val="18"/>
                <w:szCs w:val="18"/>
              </w:rPr>
              <w:t>2,374 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82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82F"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830"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831" w14:textId="77777777" w:rsidR="008D6614" w:rsidRDefault="00866AF2">
            <w:pPr>
              <w:jc w:val="right"/>
              <w:textAlignment w:val="bottom"/>
            </w:pPr>
            <w:r>
              <w:rPr>
                <w:rFonts w:ascii="Arial" w:eastAsia="宋体" w:hAnsi="Arial" w:cs="Arial"/>
                <w:color w:val="000000"/>
                <w:sz w:val="18"/>
                <w:szCs w:val="18"/>
              </w:rPr>
              <w:t>2,413 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83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833" w14:textId="77777777" w:rsidR="008D6614" w:rsidRDefault="008D6614">
            <w:pPr>
              <w:rPr>
                <w:rFonts w:ascii="宋体"/>
              </w:rPr>
            </w:pPr>
          </w:p>
        </w:tc>
        <w:tc>
          <w:tcPr>
            <w:tcW w:w="0" w:type="auto"/>
            <w:shd w:val="clear" w:color="auto" w:fill="auto"/>
            <w:vAlign w:val="center"/>
          </w:tcPr>
          <w:p w14:paraId="64A89834" w14:textId="77777777" w:rsidR="008D6614" w:rsidRDefault="008D6614">
            <w:pPr>
              <w:rPr>
                <w:rFonts w:ascii="宋体"/>
              </w:rPr>
            </w:pPr>
          </w:p>
        </w:tc>
        <w:tc>
          <w:tcPr>
            <w:tcW w:w="0" w:type="auto"/>
            <w:shd w:val="clear" w:color="auto" w:fill="auto"/>
            <w:vAlign w:val="center"/>
          </w:tcPr>
          <w:p w14:paraId="64A89835" w14:textId="77777777" w:rsidR="008D6614" w:rsidRDefault="008D6614">
            <w:pPr>
              <w:rPr>
                <w:rFonts w:ascii="宋体"/>
              </w:rPr>
            </w:pPr>
          </w:p>
        </w:tc>
        <w:tc>
          <w:tcPr>
            <w:tcW w:w="0" w:type="auto"/>
            <w:shd w:val="clear" w:color="auto" w:fill="auto"/>
            <w:vAlign w:val="center"/>
          </w:tcPr>
          <w:p w14:paraId="64A89836" w14:textId="77777777" w:rsidR="008D6614" w:rsidRDefault="008D6614">
            <w:pPr>
              <w:rPr>
                <w:rFonts w:ascii="宋体"/>
              </w:rPr>
            </w:pPr>
          </w:p>
        </w:tc>
        <w:tc>
          <w:tcPr>
            <w:tcW w:w="0" w:type="auto"/>
            <w:shd w:val="clear" w:color="auto" w:fill="auto"/>
            <w:vAlign w:val="center"/>
          </w:tcPr>
          <w:p w14:paraId="64A89837" w14:textId="77777777" w:rsidR="008D6614" w:rsidRDefault="008D6614">
            <w:pPr>
              <w:rPr>
                <w:rFonts w:ascii="宋体"/>
              </w:rPr>
            </w:pPr>
          </w:p>
        </w:tc>
        <w:tc>
          <w:tcPr>
            <w:tcW w:w="0" w:type="auto"/>
            <w:shd w:val="clear" w:color="auto" w:fill="auto"/>
            <w:vAlign w:val="center"/>
          </w:tcPr>
          <w:p w14:paraId="64A89838" w14:textId="77777777" w:rsidR="008D6614" w:rsidRDefault="008D6614">
            <w:pPr>
              <w:rPr>
                <w:rFonts w:ascii="宋体"/>
              </w:rPr>
            </w:pPr>
          </w:p>
        </w:tc>
      </w:tr>
    </w:tbl>
    <w:p w14:paraId="64A8983A" w14:textId="77777777" w:rsidR="008D6614" w:rsidRDefault="008D6614">
      <w:pPr>
        <w:ind w:firstLine="540"/>
        <w:jc w:val="both"/>
      </w:pPr>
    </w:p>
    <w:p w14:paraId="64A8983B" w14:textId="77777777" w:rsidR="008D6614" w:rsidRDefault="00866AF2">
      <w:pPr>
        <w:ind w:firstLine="540"/>
        <w:jc w:val="both"/>
      </w:pPr>
      <w:r>
        <w:rPr>
          <w:rFonts w:ascii="Arial" w:eastAsia="宋体" w:hAnsi="Arial" w:cs="Arial"/>
          <w:color w:val="000000"/>
          <w:sz w:val="20"/>
          <w:szCs w:val="20"/>
        </w:rPr>
        <w:t>Net revenues, inclusive of the effects of foreign exchange during each period, are attributed to U.S. and international geographies primarily based upon the country in which the seller, platform that displays advertising, other servic</w:t>
      </w:r>
      <w:r>
        <w:rPr>
          <w:rFonts w:ascii="Arial" w:eastAsia="宋体" w:hAnsi="Arial" w:cs="Arial"/>
          <w:color w:val="000000"/>
          <w:sz w:val="20"/>
          <w:szCs w:val="20"/>
        </w:rPr>
        <w:t xml:space="preserve">e provider or customer, as the case may be, is located. </w:t>
      </w:r>
    </w:p>
    <w:p w14:paraId="64A8983C" w14:textId="77777777" w:rsidR="008D6614" w:rsidRDefault="008D6614">
      <w:pPr>
        <w:ind w:firstLine="540"/>
        <w:jc w:val="both"/>
      </w:pPr>
    </w:p>
    <w:p w14:paraId="64A8983D" w14:textId="77777777" w:rsidR="008D6614" w:rsidRDefault="008D6614">
      <w:pPr>
        <w:jc w:val="center"/>
      </w:pPr>
    </w:p>
    <w:p w14:paraId="64A8983E" w14:textId="77777777" w:rsidR="008D6614" w:rsidRDefault="00866AF2">
      <w:pPr>
        <w:jc w:val="center"/>
      </w:pPr>
      <w:r>
        <w:rPr>
          <w:rFonts w:ascii="Arial" w:eastAsia="宋体" w:hAnsi="Arial" w:cs="Arial"/>
          <w:color w:val="000000"/>
          <w:sz w:val="20"/>
          <w:szCs w:val="20"/>
        </w:rPr>
        <w:t>15</w:t>
      </w:r>
    </w:p>
    <w:p w14:paraId="64A8983F" w14:textId="77777777" w:rsidR="008D6614" w:rsidRDefault="00866AF2">
      <w:r>
        <w:pict w14:anchorId="64A8B9EC">
          <v:rect id="_x0000_i1039" style="width:415.3pt;height:1.5pt" o:hralign="center" o:hrstd="t" o:hr="t" fillcolor="#a0a0a0" stroked="f"/>
        </w:pict>
      </w:r>
    </w:p>
    <w:p w14:paraId="64A89840" w14:textId="77777777" w:rsidR="008D6614" w:rsidRDefault="008D6614">
      <w:pPr>
        <w:jc w:val="center"/>
      </w:pPr>
    </w:p>
    <w:p w14:paraId="64A89841" w14:textId="77777777" w:rsidR="008D6614" w:rsidRDefault="00866AF2">
      <w:pPr>
        <w:jc w:val="center"/>
      </w:pPr>
      <w:r>
        <w:rPr>
          <w:rFonts w:ascii="Arial" w:eastAsia="宋体" w:hAnsi="Arial" w:cs="Arial"/>
          <w:b/>
          <w:bCs/>
          <w:color w:val="000000"/>
          <w:sz w:val="20"/>
          <w:szCs w:val="20"/>
        </w:rPr>
        <w:t>eBay Inc.</w:t>
      </w:r>
    </w:p>
    <w:p w14:paraId="64A89842"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9843" w14:textId="77777777" w:rsidR="008D6614" w:rsidRDefault="00866AF2">
      <w:r>
        <w:rPr>
          <w:rFonts w:ascii="Arial" w:eastAsia="宋体" w:hAnsi="Arial" w:cs="Arial"/>
          <w:b/>
          <w:bCs/>
          <w:color w:val="000000"/>
          <w:sz w:val="20"/>
          <w:szCs w:val="20"/>
        </w:rPr>
        <w:t>Note 7 — Investments</w:t>
      </w:r>
    </w:p>
    <w:p w14:paraId="64A89844" w14:textId="77777777" w:rsidR="008D6614" w:rsidRDefault="008D6614"/>
    <w:p w14:paraId="64A89845" w14:textId="77777777" w:rsidR="008D6614" w:rsidRDefault="00866AF2">
      <w:pPr>
        <w:ind w:firstLine="540"/>
      </w:pPr>
      <w:r>
        <w:rPr>
          <w:rFonts w:ascii="Arial" w:eastAsia="宋体" w:hAnsi="Arial" w:cs="Arial"/>
          <w:color w:val="000000"/>
          <w:sz w:val="20"/>
          <w:szCs w:val="20"/>
        </w:rPr>
        <w:t xml:space="preserve">The following tables summarize the unrealized gains and losses and estimated fair value of </w:t>
      </w:r>
      <w:r>
        <w:rPr>
          <w:rFonts w:ascii="Arial" w:eastAsia="宋体" w:hAnsi="Arial" w:cs="Arial"/>
          <w:color w:val="000000"/>
          <w:sz w:val="20"/>
          <w:szCs w:val="20"/>
        </w:rPr>
        <w:t>our investments classified as available-for-sale (in millions):</w:t>
      </w:r>
      <w:r>
        <w:rPr>
          <w:rFonts w:ascii="Arial" w:eastAsia="宋体" w:hAnsi="Arial" w:cs="Arial"/>
          <w:color w:val="000000"/>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3401"/>
        <w:gridCol w:w="37"/>
        <w:gridCol w:w="137"/>
        <w:gridCol w:w="772"/>
        <w:gridCol w:w="86"/>
        <w:gridCol w:w="36"/>
        <w:gridCol w:w="36"/>
        <w:gridCol w:w="41"/>
        <w:gridCol w:w="137"/>
        <w:gridCol w:w="736"/>
        <w:gridCol w:w="86"/>
        <w:gridCol w:w="36"/>
        <w:gridCol w:w="36"/>
        <w:gridCol w:w="41"/>
        <w:gridCol w:w="137"/>
        <w:gridCol w:w="736"/>
        <w:gridCol w:w="86"/>
        <w:gridCol w:w="36"/>
        <w:gridCol w:w="36"/>
        <w:gridCol w:w="41"/>
        <w:gridCol w:w="137"/>
        <w:gridCol w:w="737"/>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8D6614" w14:paraId="64A8985E" w14:textId="77777777">
        <w:trPr>
          <w:gridAfter w:val="18"/>
        </w:trPr>
        <w:tc>
          <w:tcPr>
            <w:tcW w:w="50" w:type="pct"/>
            <w:shd w:val="clear" w:color="auto" w:fill="auto"/>
            <w:vAlign w:val="center"/>
          </w:tcPr>
          <w:p w14:paraId="64A89846" w14:textId="77777777" w:rsidR="008D6614" w:rsidRDefault="008D6614">
            <w:pPr>
              <w:rPr>
                <w:rFonts w:ascii="宋体"/>
              </w:rPr>
            </w:pPr>
          </w:p>
        </w:tc>
        <w:tc>
          <w:tcPr>
            <w:tcW w:w="2246" w:type="pct"/>
            <w:shd w:val="clear" w:color="auto" w:fill="auto"/>
            <w:vAlign w:val="center"/>
          </w:tcPr>
          <w:p w14:paraId="64A89847" w14:textId="77777777" w:rsidR="008D6614" w:rsidRDefault="008D6614">
            <w:pPr>
              <w:rPr>
                <w:rFonts w:ascii="宋体"/>
              </w:rPr>
            </w:pPr>
          </w:p>
        </w:tc>
        <w:tc>
          <w:tcPr>
            <w:tcW w:w="50" w:type="pct"/>
            <w:shd w:val="clear" w:color="auto" w:fill="auto"/>
            <w:vAlign w:val="center"/>
          </w:tcPr>
          <w:p w14:paraId="64A89848" w14:textId="77777777" w:rsidR="008D6614" w:rsidRDefault="008D6614">
            <w:pPr>
              <w:rPr>
                <w:rFonts w:ascii="宋体"/>
              </w:rPr>
            </w:pPr>
          </w:p>
        </w:tc>
        <w:tc>
          <w:tcPr>
            <w:tcW w:w="50" w:type="pct"/>
            <w:shd w:val="clear" w:color="auto" w:fill="auto"/>
            <w:vAlign w:val="center"/>
          </w:tcPr>
          <w:p w14:paraId="64A89849" w14:textId="77777777" w:rsidR="008D6614" w:rsidRDefault="008D6614">
            <w:pPr>
              <w:rPr>
                <w:rFonts w:ascii="宋体"/>
              </w:rPr>
            </w:pPr>
          </w:p>
        </w:tc>
        <w:tc>
          <w:tcPr>
            <w:tcW w:w="535" w:type="pct"/>
            <w:shd w:val="clear" w:color="auto" w:fill="auto"/>
            <w:vAlign w:val="center"/>
          </w:tcPr>
          <w:p w14:paraId="64A8984A" w14:textId="77777777" w:rsidR="008D6614" w:rsidRDefault="008D6614">
            <w:pPr>
              <w:rPr>
                <w:rFonts w:ascii="宋体"/>
              </w:rPr>
            </w:pPr>
          </w:p>
        </w:tc>
        <w:tc>
          <w:tcPr>
            <w:tcW w:w="50" w:type="pct"/>
            <w:shd w:val="clear" w:color="auto" w:fill="auto"/>
            <w:vAlign w:val="center"/>
          </w:tcPr>
          <w:p w14:paraId="64A8984B" w14:textId="77777777" w:rsidR="008D6614" w:rsidRDefault="008D6614">
            <w:pPr>
              <w:rPr>
                <w:rFonts w:ascii="宋体"/>
              </w:rPr>
            </w:pPr>
          </w:p>
        </w:tc>
        <w:tc>
          <w:tcPr>
            <w:tcW w:w="5" w:type="pct"/>
            <w:shd w:val="clear" w:color="auto" w:fill="auto"/>
            <w:vAlign w:val="center"/>
          </w:tcPr>
          <w:p w14:paraId="64A8984C" w14:textId="77777777" w:rsidR="008D6614" w:rsidRDefault="008D6614">
            <w:pPr>
              <w:rPr>
                <w:rFonts w:ascii="宋体"/>
              </w:rPr>
            </w:pPr>
          </w:p>
        </w:tc>
        <w:tc>
          <w:tcPr>
            <w:tcW w:w="26" w:type="pct"/>
            <w:shd w:val="clear" w:color="auto" w:fill="auto"/>
            <w:vAlign w:val="center"/>
          </w:tcPr>
          <w:p w14:paraId="64A8984D" w14:textId="77777777" w:rsidR="008D6614" w:rsidRDefault="008D6614">
            <w:pPr>
              <w:rPr>
                <w:rFonts w:ascii="宋体"/>
              </w:rPr>
            </w:pPr>
          </w:p>
        </w:tc>
        <w:tc>
          <w:tcPr>
            <w:tcW w:w="5" w:type="pct"/>
            <w:shd w:val="clear" w:color="auto" w:fill="auto"/>
            <w:vAlign w:val="center"/>
          </w:tcPr>
          <w:p w14:paraId="64A8984E" w14:textId="77777777" w:rsidR="008D6614" w:rsidRDefault="008D6614">
            <w:pPr>
              <w:rPr>
                <w:rFonts w:ascii="宋体"/>
              </w:rPr>
            </w:pPr>
          </w:p>
        </w:tc>
        <w:tc>
          <w:tcPr>
            <w:tcW w:w="50" w:type="pct"/>
            <w:shd w:val="clear" w:color="auto" w:fill="auto"/>
            <w:vAlign w:val="center"/>
          </w:tcPr>
          <w:p w14:paraId="64A8984F" w14:textId="77777777" w:rsidR="008D6614" w:rsidRDefault="008D6614">
            <w:pPr>
              <w:rPr>
                <w:rFonts w:ascii="宋体"/>
              </w:rPr>
            </w:pPr>
          </w:p>
        </w:tc>
        <w:tc>
          <w:tcPr>
            <w:tcW w:w="535" w:type="pct"/>
            <w:shd w:val="clear" w:color="auto" w:fill="auto"/>
            <w:vAlign w:val="center"/>
          </w:tcPr>
          <w:p w14:paraId="64A89850" w14:textId="77777777" w:rsidR="008D6614" w:rsidRDefault="008D6614">
            <w:pPr>
              <w:rPr>
                <w:rFonts w:ascii="宋体"/>
              </w:rPr>
            </w:pPr>
          </w:p>
        </w:tc>
        <w:tc>
          <w:tcPr>
            <w:tcW w:w="50" w:type="pct"/>
            <w:shd w:val="clear" w:color="auto" w:fill="auto"/>
            <w:vAlign w:val="center"/>
          </w:tcPr>
          <w:p w14:paraId="64A89851" w14:textId="77777777" w:rsidR="008D6614" w:rsidRDefault="008D6614">
            <w:pPr>
              <w:rPr>
                <w:rFonts w:ascii="宋体"/>
              </w:rPr>
            </w:pPr>
          </w:p>
        </w:tc>
        <w:tc>
          <w:tcPr>
            <w:tcW w:w="5" w:type="pct"/>
            <w:shd w:val="clear" w:color="auto" w:fill="auto"/>
            <w:vAlign w:val="center"/>
          </w:tcPr>
          <w:p w14:paraId="64A89852" w14:textId="77777777" w:rsidR="008D6614" w:rsidRDefault="008D6614">
            <w:pPr>
              <w:rPr>
                <w:rFonts w:ascii="宋体"/>
              </w:rPr>
            </w:pPr>
          </w:p>
        </w:tc>
        <w:tc>
          <w:tcPr>
            <w:tcW w:w="26" w:type="pct"/>
            <w:shd w:val="clear" w:color="auto" w:fill="auto"/>
            <w:vAlign w:val="center"/>
          </w:tcPr>
          <w:p w14:paraId="64A89853" w14:textId="77777777" w:rsidR="008D6614" w:rsidRDefault="008D6614">
            <w:pPr>
              <w:rPr>
                <w:rFonts w:ascii="宋体"/>
              </w:rPr>
            </w:pPr>
          </w:p>
        </w:tc>
        <w:tc>
          <w:tcPr>
            <w:tcW w:w="5" w:type="pct"/>
            <w:shd w:val="clear" w:color="auto" w:fill="auto"/>
            <w:vAlign w:val="center"/>
          </w:tcPr>
          <w:p w14:paraId="64A89854" w14:textId="77777777" w:rsidR="008D6614" w:rsidRDefault="008D6614">
            <w:pPr>
              <w:rPr>
                <w:rFonts w:ascii="宋体"/>
              </w:rPr>
            </w:pPr>
          </w:p>
        </w:tc>
        <w:tc>
          <w:tcPr>
            <w:tcW w:w="50" w:type="pct"/>
            <w:shd w:val="clear" w:color="auto" w:fill="auto"/>
            <w:vAlign w:val="center"/>
          </w:tcPr>
          <w:p w14:paraId="64A89855" w14:textId="77777777" w:rsidR="008D6614" w:rsidRDefault="008D6614">
            <w:pPr>
              <w:rPr>
                <w:rFonts w:ascii="宋体"/>
              </w:rPr>
            </w:pPr>
          </w:p>
        </w:tc>
        <w:tc>
          <w:tcPr>
            <w:tcW w:w="535" w:type="pct"/>
            <w:shd w:val="clear" w:color="auto" w:fill="auto"/>
            <w:vAlign w:val="center"/>
          </w:tcPr>
          <w:p w14:paraId="64A89856" w14:textId="77777777" w:rsidR="008D6614" w:rsidRDefault="008D6614">
            <w:pPr>
              <w:rPr>
                <w:rFonts w:ascii="宋体"/>
              </w:rPr>
            </w:pPr>
          </w:p>
        </w:tc>
        <w:tc>
          <w:tcPr>
            <w:tcW w:w="50" w:type="pct"/>
            <w:shd w:val="clear" w:color="auto" w:fill="auto"/>
            <w:vAlign w:val="center"/>
          </w:tcPr>
          <w:p w14:paraId="64A89857" w14:textId="77777777" w:rsidR="008D6614" w:rsidRDefault="008D6614">
            <w:pPr>
              <w:rPr>
                <w:rFonts w:ascii="宋体"/>
              </w:rPr>
            </w:pPr>
          </w:p>
        </w:tc>
        <w:tc>
          <w:tcPr>
            <w:tcW w:w="5" w:type="pct"/>
            <w:shd w:val="clear" w:color="auto" w:fill="auto"/>
            <w:vAlign w:val="center"/>
          </w:tcPr>
          <w:p w14:paraId="64A89858" w14:textId="77777777" w:rsidR="008D6614" w:rsidRDefault="008D6614">
            <w:pPr>
              <w:rPr>
                <w:rFonts w:ascii="宋体"/>
              </w:rPr>
            </w:pPr>
          </w:p>
        </w:tc>
        <w:tc>
          <w:tcPr>
            <w:tcW w:w="26" w:type="pct"/>
            <w:shd w:val="clear" w:color="auto" w:fill="auto"/>
            <w:vAlign w:val="center"/>
          </w:tcPr>
          <w:p w14:paraId="64A89859" w14:textId="77777777" w:rsidR="008D6614" w:rsidRDefault="008D6614">
            <w:pPr>
              <w:rPr>
                <w:rFonts w:ascii="宋体"/>
              </w:rPr>
            </w:pPr>
          </w:p>
        </w:tc>
        <w:tc>
          <w:tcPr>
            <w:tcW w:w="5" w:type="pct"/>
            <w:shd w:val="clear" w:color="auto" w:fill="auto"/>
            <w:vAlign w:val="center"/>
          </w:tcPr>
          <w:p w14:paraId="64A8985A" w14:textId="77777777" w:rsidR="008D6614" w:rsidRDefault="008D6614">
            <w:pPr>
              <w:rPr>
                <w:rFonts w:ascii="宋体"/>
              </w:rPr>
            </w:pPr>
          </w:p>
        </w:tc>
        <w:tc>
          <w:tcPr>
            <w:tcW w:w="50" w:type="pct"/>
            <w:shd w:val="clear" w:color="auto" w:fill="auto"/>
            <w:vAlign w:val="center"/>
          </w:tcPr>
          <w:p w14:paraId="64A8985B" w14:textId="77777777" w:rsidR="008D6614" w:rsidRDefault="008D6614">
            <w:pPr>
              <w:rPr>
                <w:rFonts w:ascii="宋体"/>
              </w:rPr>
            </w:pPr>
          </w:p>
        </w:tc>
        <w:tc>
          <w:tcPr>
            <w:tcW w:w="536" w:type="pct"/>
            <w:shd w:val="clear" w:color="auto" w:fill="auto"/>
            <w:vAlign w:val="center"/>
          </w:tcPr>
          <w:p w14:paraId="64A8985C" w14:textId="77777777" w:rsidR="008D6614" w:rsidRDefault="008D6614">
            <w:pPr>
              <w:rPr>
                <w:rFonts w:ascii="宋体"/>
              </w:rPr>
            </w:pPr>
          </w:p>
        </w:tc>
        <w:tc>
          <w:tcPr>
            <w:tcW w:w="50" w:type="pct"/>
            <w:shd w:val="clear" w:color="auto" w:fill="auto"/>
            <w:vAlign w:val="center"/>
          </w:tcPr>
          <w:p w14:paraId="64A8985D" w14:textId="77777777" w:rsidR="008D6614" w:rsidRDefault="008D6614">
            <w:pPr>
              <w:rPr>
                <w:rFonts w:ascii="宋体"/>
              </w:rPr>
            </w:pPr>
          </w:p>
        </w:tc>
      </w:tr>
      <w:tr w:rsidR="008D6614" w14:paraId="64A89867" w14:textId="77777777">
        <w:tc>
          <w:tcPr>
            <w:tcW w:w="0" w:type="auto"/>
            <w:gridSpan w:val="3"/>
            <w:shd w:val="clear" w:color="auto" w:fill="auto"/>
            <w:tcMar>
              <w:top w:w="40" w:type="dxa"/>
              <w:left w:w="20" w:type="dxa"/>
              <w:bottom w:w="40" w:type="dxa"/>
              <w:right w:w="20" w:type="dxa"/>
            </w:tcMar>
            <w:vAlign w:val="bottom"/>
          </w:tcPr>
          <w:p w14:paraId="64A8985F" w14:textId="77777777" w:rsidR="008D6614" w:rsidRDefault="00866AF2">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4A89860" w14:textId="77777777" w:rsidR="008D6614" w:rsidRDefault="00866AF2">
            <w:pPr>
              <w:jc w:val="center"/>
              <w:textAlignment w:val="bottom"/>
            </w:pPr>
            <w:r>
              <w:rPr>
                <w:rFonts w:ascii="Arial" w:eastAsia="宋体" w:hAnsi="Arial" w:cs="Arial"/>
                <w:b/>
                <w:bCs/>
                <w:color w:val="000000"/>
                <w:sz w:val="16"/>
                <w:szCs w:val="16"/>
              </w:rPr>
              <w:t>March 31, 2020</w:t>
            </w:r>
          </w:p>
        </w:tc>
        <w:tc>
          <w:tcPr>
            <w:tcW w:w="0" w:type="auto"/>
            <w:gridSpan w:val="3"/>
            <w:shd w:val="clear" w:color="auto" w:fill="auto"/>
            <w:vAlign w:val="center"/>
          </w:tcPr>
          <w:p w14:paraId="64A89861" w14:textId="77777777" w:rsidR="008D6614" w:rsidRDefault="008D6614">
            <w:pPr>
              <w:rPr>
                <w:rFonts w:ascii="宋体"/>
                <w:vanish/>
              </w:rPr>
            </w:pPr>
          </w:p>
        </w:tc>
        <w:tc>
          <w:tcPr>
            <w:tcW w:w="0" w:type="auto"/>
            <w:gridSpan w:val="3"/>
            <w:shd w:val="clear" w:color="auto" w:fill="auto"/>
            <w:vAlign w:val="center"/>
          </w:tcPr>
          <w:p w14:paraId="64A89862" w14:textId="77777777" w:rsidR="008D6614" w:rsidRDefault="008D6614">
            <w:pPr>
              <w:rPr>
                <w:rFonts w:ascii="宋体"/>
                <w:vanish/>
              </w:rPr>
            </w:pPr>
          </w:p>
        </w:tc>
        <w:tc>
          <w:tcPr>
            <w:tcW w:w="0" w:type="auto"/>
            <w:gridSpan w:val="3"/>
            <w:shd w:val="clear" w:color="auto" w:fill="auto"/>
            <w:vAlign w:val="center"/>
          </w:tcPr>
          <w:p w14:paraId="64A89863" w14:textId="77777777" w:rsidR="008D6614" w:rsidRDefault="008D6614">
            <w:pPr>
              <w:rPr>
                <w:rFonts w:ascii="宋体"/>
                <w:vanish/>
              </w:rPr>
            </w:pPr>
          </w:p>
        </w:tc>
        <w:tc>
          <w:tcPr>
            <w:tcW w:w="0" w:type="auto"/>
            <w:gridSpan w:val="3"/>
            <w:shd w:val="clear" w:color="auto" w:fill="auto"/>
            <w:vAlign w:val="center"/>
          </w:tcPr>
          <w:p w14:paraId="64A89864" w14:textId="77777777" w:rsidR="008D6614" w:rsidRDefault="008D6614">
            <w:pPr>
              <w:rPr>
                <w:rFonts w:ascii="宋体"/>
                <w:vanish/>
              </w:rPr>
            </w:pPr>
          </w:p>
        </w:tc>
        <w:tc>
          <w:tcPr>
            <w:tcW w:w="0" w:type="auto"/>
            <w:gridSpan w:val="3"/>
            <w:shd w:val="clear" w:color="auto" w:fill="auto"/>
            <w:vAlign w:val="center"/>
          </w:tcPr>
          <w:p w14:paraId="64A89865" w14:textId="77777777" w:rsidR="008D6614" w:rsidRDefault="008D6614">
            <w:pPr>
              <w:rPr>
                <w:rFonts w:ascii="宋体"/>
                <w:vanish/>
              </w:rPr>
            </w:pPr>
          </w:p>
        </w:tc>
        <w:tc>
          <w:tcPr>
            <w:tcW w:w="0" w:type="auto"/>
            <w:gridSpan w:val="3"/>
            <w:shd w:val="clear" w:color="auto" w:fill="auto"/>
            <w:vAlign w:val="center"/>
          </w:tcPr>
          <w:p w14:paraId="64A89866" w14:textId="77777777" w:rsidR="008D6614" w:rsidRDefault="008D6614">
            <w:pPr>
              <w:rPr>
                <w:rFonts w:ascii="宋体"/>
                <w:vanish/>
              </w:rPr>
            </w:pPr>
          </w:p>
        </w:tc>
      </w:tr>
      <w:tr w:rsidR="008D6614" w14:paraId="64A89882" w14:textId="77777777">
        <w:tc>
          <w:tcPr>
            <w:tcW w:w="0" w:type="auto"/>
            <w:gridSpan w:val="3"/>
            <w:shd w:val="clear" w:color="auto" w:fill="auto"/>
            <w:tcMar>
              <w:top w:w="40" w:type="dxa"/>
              <w:left w:w="20" w:type="dxa"/>
              <w:bottom w:w="40" w:type="dxa"/>
              <w:right w:w="20" w:type="dxa"/>
            </w:tcMar>
            <w:vAlign w:val="bottom"/>
          </w:tcPr>
          <w:p w14:paraId="64A89868" w14:textId="77777777" w:rsidR="008D6614" w:rsidRDefault="00866AF2">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869" w14:textId="77777777" w:rsidR="008D6614" w:rsidRDefault="00866AF2">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Amortized</w:t>
            </w:r>
            <w:r>
              <w:rPr>
                <w:rFonts w:ascii="Arial" w:eastAsia="宋体" w:hAnsi="Arial" w:cs="Arial"/>
                <w:b/>
                <w:bCs/>
                <w:color w:val="000000"/>
                <w:sz w:val="16"/>
                <w:szCs w:val="16"/>
              </w:rPr>
              <w:br/>
              <w:t>Cost</w:t>
            </w:r>
          </w:p>
        </w:tc>
        <w:tc>
          <w:tcPr>
            <w:tcW w:w="0" w:type="auto"/>
            <w:gridSpan w:val="3"/>
            <w:tcBorders>
              <w:top w:val="single" w:sz="8" w:space="0" w:color="000000"/>
            </w:tcBorders>
            <w:shd w:val="clear" w:color="auto" w:fill="auto"/>
            <w:tcMar>
              <w:left w:w="20" w:type="dxa"/>
              <w:right w:w="20" w:type="dxa"/>
            </w:tcMar>
            <w:vAlign w:val="bottom"/>
          </w:tcPr>
          <w:p w14:paraId="64A8986A"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86B" w14:textId="77777777" w:rsidR="008D6614" w:rsidRDefault="00866AF2">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Gains</w:t>
            </w:r>
          </w:p>
        </w:tc>
        <w:tc>
          <w:tcPr>
            <w:tcW w:w="0" w:type="auto"/>
            <w:gridSpan w:val="3"/>
            <w:tcBorders>
              <w:top w:val="single" w:sz="8" w:space="0" w:color="000000"/>
            </w:tcBorders>
            <w:shd w:val="clear" w:color="auto" w:fill="auto"/>
            <w:tcMar>
              <w:left w:w="20" w:type="dxa"/>
              <w:right w:w="20" w:type="dxa"/>
            </w:tcMar>
            <w:vAlign w:val="bottom"/>
          </w:tcPr>
          <w:p w14:paraId="64A8986C"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86D" w14:textId="77777777" w:rsidR="008D6614" w:rsidRDefault="00866AF2">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Losses</w:t>
            </w:r>
          </w:p>
        </w:tc>
        <w:tc>
          <w:tcPr>
            <w:tcW w:w="0" w:type="auto"/>
            <w:gridSpan w:val="3"/>
            <w:tcBorders>
              <w:top w:val="single" w:sz="8" w:space="0" w:color="000000"/>
            </w:tcBorders>
            <w:shd w:val="clear" w:color="auto" w:fill="auto"/>
            <w:tcMar>
              <w:left w:w="20" w:type="dxa"/>
              <w:right w:w="20" w:type="dxa"/>
            </w:tcMar>
            <w:vAlign w:val="bottom"/>
          </w:tcPr>
          <w:p w14:paraId="64A8986E"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86F" w14:textId="77777777" w:rsidR="008D6614" w:rsidRDefault="00866AF2">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shd w:val="clear" w:color="auto" w:fill="auto"/>
            <w:vAlign w:val="center"/>
          </w:tcPr>
          <w:p w14:paraId="64A89870" w14:textId="77777777" w:rsidR="008D6614" w:rsidRDefault="008D6614">
            <w:pPr>
              <w:rPr>
                <w:rFonts w:ascii="宋体"/>
              </w:rPr>
            </w:pPr>
          </w:p>
        </w:tc>
        <w:tc>
          <w:tcPr>
            <w:tcW w:w="0" w:type="auto"/>
            <w:shd w:val="clear" w:color="auto" w:fill="auto"/>
            <w:vAlign w:val="center"/>
          </w:tcPr>
          <w:p w14:paraId="64A89871" w14:textId="77777777" w:rsidR="008D6614" w:rsidRDefault="008D6614">
            <w:pPr>
              <w:rPr>
                <w:rFonts w:ascii="宋体"/>
              </w:rPr>
            </w:pPr>
          </w:p>
        </w:tc>
        <w:tc>
          <w:tcPr>
            <w:tcW w:w="0" w:type="auto"/>
            <w:shd w:val="clear" w:color="auto" w:fill="auto"/>
            <w:vAlign w:val="center"/>
          </w:tcPr>
          <w:p w14:paraId="64A89872" w14:textId="77777777" w:rsidR="008D6614" w:rsidRDefault="008D6614">
            <w:pPr>
              <w:rPr>
                <w:rFonts w:ascii="宋体"/>
              </w:rPr>
            </w:pPr>
          </w:p>
        </w:tc>
        <w:tc>
          <w:tcPr>
            <w:tcW w:w="0" w:type="auto"/>
            <w:shd w:val="clear" w:color="auto" w:fill="auto"/>
            <w:vAlign w:val="center"/>
          </w:tcPr>
          <w:p w14:paraId="64A89873" w14:textId="77777777" w:rsidR="008D6614" w:rsidRDefault="008D6614">
            <w:pPr>
              <w:rPr>
                <w:rFonts w:ascii="宋体"/>
              </w:rPr>
            </w:pPr>
          </w:p>
        </w:tc>
        <w:tc>
          <w:tcPr>
            <w:tcW w:w="0" w:type="auto"/>
            <w:shd w:val="clear" w:color="auto" w:fill="auto"/>
            <w:vAlign w:val="center"/>
          </w:tcPr>
          <w:p w14:paraId="64A89874" w14:textId="77777777" w:rsidR="008D6614" w:rsidRDefault="008D6614">
            <w:pPr>
              <w:rPr>
                <w:rFonts w:ascii="宋体"/>
              </w:rPr>
            </w:pPr>
          </w:p>
        </w:tc>
        <w:tc>
          <w:tcPr>
            <w:tcW w:w="0" w:type="auto"/>
            <w:shd w:val="clear" w:color="auto" w:fill="auto"/>
            <w:vAlign w:val="center"/>
          </w:tcPr>
          <w:p w14:paraId="64A89875" w14:textId="77777777" w:rsidR="008D6614" w:rsidRDefault="008D6614">
            <w:pPr>
              <w:rPr>
                <w:rFonts w:ascii="宋体"/>
              </w:rPr>
            </w:pPr>
          </w:p>
        </w:tc>
        <w:tc>
          <w:tcPr>
            <w:tcW w:w="0" w:type="auto"/>
            <w:shd w:val="clear" w:color="auto" w:fill="auto"/>
            <w:vAlign w:val="center"/>
          </w:tcPr>
          <w:p w14:paraId="64A89876" w14:textId="77777777" w:rsidR="008D6614" w:rsidRDefault="008D6614">
            <w:pPr>
              <w:rPr>
                <w:rFonts w:ascii="宋体"/>
              </w:rPr>
            </w:pPr>
          </w:p>
        </w:tc>
        <w:tc>
          <w:tcPr>
            <w:tcW w:w="0" w:type="auto"/>
            <w:shd w:val="clear" w:color="auto" w:fill="auto"/>
            <w:vAlign w:val="center"/>
          </w:tcPr>
          <w:p w14:paraId="64A89877" w14:textId="77777777" w:rsidR="008D6614" w:rsidRDefault="008D6614">
            <w:pPr>
              <w:rPr>
                <w:rFonts w:ascii="宋体"/>
              </w:rPr>
            </w:pPr>
          </w:p>
        </w:tc>
        <w:tc>
          <w:tcPr>
            <w:tcW w:w="0" w:type="auto"/>
            <w:shd w:val="clear" w:color="auto" w:fill="auto"/>
            <w:vAlign w:val="center"/>
          </w:tcPr>
          <w:p w14:paraId="64A89878" w14:textId="77777777" w:rsidR="008D6614" w:rsidRDefault="008D6614">
            <w:pPr>
              <w:rPr>
                <w:rFonts w:ascii="宋体"/>
              </w:rPr>
            </w:pPr>
          </w:p>
        </w:tc>
        <w:tc>
          <w:tcPr>
            <w:tcW w:w="0" w:type="auto"/>
            <w:shd w:val="clear" w:color="auto" w:fill="auto"/>
            <w:vAlign w:val="center"/>
          </w:tcPr>
          <w:p w14:paraId="64A89879" w14:textId="77777777" w:rsidR="008D6614" w:rsidRDefault="008D6614">
            <w:pPr>
              <w:rPr>
                <w:rFonts w:ascii="宋体"/>
              </w:rPr>
            </w:pPr>
          </w:p>
        </w:tc>
        <w:tc>
          <w:tcPr>
            <w:tcW w:w="0" w:type="auto"/>
            <w:shd w:val="clear" w:color="auto" w:fill="auto"/>
            <w:vAlign w:val="center"/>
          </w:tcPr>
          <w:p w14:paraId="64A8987A" w14:textId="77777777" w:rsidR="008D6614" w:rsidRDefault="008D6614">
            <w:pPr>
              <w:rPr>
                <w:rFonts w:ascii="宋体"/>
              </w:rPr>
            </w:pPr>
          </w:p>
        </w:tc>
        <w:tc>
          <w:tcPr>
            <w:tcW w:w="0" w:type="auto"/>
            <w:shd w:val="clear" w:color="auto" w:fill="auto"/>
            <w:vAlign w:val="center"/>
          </w:tcPr>
          <w:p w14:paraId="64A8987B" w14:textId="77777777" w:rsidR="008D6614" w:rsidRDefault="008D6614">
            <w:pPr>
              <w:rPr>
                <w:rFonts w:ascii="宋体"/>
              </w:rPr>
            </w:pPr>
          </w:p>
        </w:tc>
        <w:tc>
          <w:tcPr>
            <w:tcW w:w="0" w:type="auto"/>
            <w:shd w:val="clear" w:color="auto" w:fill="auto"/>
            <w:vAlign w:val="center"/>
          </w:tcPr>
          <w:p w14:paraId="64A8987C" w14:textId="77777777" w:rsidR="008D6614" w:rsidRDefault="008D6614">
            <w:pPr>
              <w:rPr>
                <w:rFonts w:ascii="宋体"/>
              </w:rPr>
            </w:pPr>
          </w:p>
        </w:tc>
        <w:tc>
          <w:tcPr>
            <w:tcW w:w="0" w:type="auto"/>
            <w:shd w:val="clear" w:color="auto" w:fill="auto"/>
            <w:vAlign w:val="center"/>
          </w:tcPr>
          <w:p w14:paraId="64A8987D" w14:textId="77777777" w:rsidR="008D6614" w:rsidRDefault="008D6614">
            <w:pPr>
              <w:rPr>
                <w:rFonts w:ascii="宋体"/>
              </w:rPr>
            </w:pPr>
          </w:p>
        </w:tc>
        <w:tc>
          <w:tcPr>
            <w:tcW w:w="0" w:type="auto"/>
            <w:shd w:val="clear" w:color="auto" w:fill="auto"/>
            <w:vAlign w:val="center"/>
          </w:tcPr>
          <w:p w14:paraId="64A8987E" w14:textId="77777777" w:rsidR="008D6614" w:rsidRDefault="008D6614">
            <w:pPr>
              <w:rPr>
                <w:rFonts w:ascii="宋体"/>
              </w:rPr>
            </w:pPr>
          </w:p>
        </w:tc>
        <w:tc>
          <w:tcPr>
            <w:tcW w:w="0" w:type="auto"/>
            <w:shd w:val="clear" w:color="auto" w:fill="auto"/>
            <w:vAlign w:val="center"/>
          </w:tcPr>
          <w:p w14:paraId="64A8987F" w14:textId="77777777" w:rsidR="008D6614" w:rsidRDefault="008D6614">
            <w:pPr>
              <w:rPr>
                <w:rFonts w:ascii="宋体"/>
              </w:rPr>
            </w:pPr>
          </w:p>
        </w:tc>
        <w:tc>
          <w:tcPr>
            <w:tcW w:w="0" w:type="auto"/>
            <w:shd w:val="clear" w:color="auto" w:fill="auto"/>
            <w:vAlign w:val="center"/>
          </w:tcPr>
          <w:p w14:paraId="64A89880" w14:textId="77777777" w:rsidR="008D6614" w:rsidRDefault="008D6614">
            <w:pPr>
              <w:rPr>
                <w:rFonts w:ascii="宋体"/>
              </w:rPr>
            </w:pPr>
          </w:p>
        </w:tc>
        <w:tc>
          <w:tcPr>
            <w:tcW w:w="0" w:type="auto"/>
            <w:shd w:val="clear" w:color="auto" w:fill="auto"/>
            <w:vAlign w:val="center"/>
          </w:tcPr>
          <w:p w14:paraId="64A89881" w14:textId="77777777" w:rsidR="008D6614" w:rsidRDefault="008D6614">
            <w:pPr>
              <w:rPr>
                <w:rFonts w:ascii="宋体"/>
              </w:rPr>
            </w:pPr>
          </w:p>
        </w:tc>
      </w:tr>
      <w:tr w:rsidR="008D6614" w14:paraId="64A8989D" w14:textId="77777777">
        <w:tc>
          <w:tcPr>
            <w:tcW w:w="0" w:type="auto"/>
            <w:gridSpan w:val="3"/>
            <w:shd w:val="clear" w:color="auto" w:fill="E2E2E2"/>
            <w:tcMar>
              <w:top w:w="40" w:type="dxa"/>
              <w:left w:w="20" w:type="dxa"/>
              <w:bottom w:w="40" w:type="dxa"/>
              <w:right w:w="20" w:type="dxa"/>
            </w:tcMar>
            <w:vAlign w:val="bottom"/>
          </w:tcPr>
          <w:p w14:paraId="64A89883" w14:textId="77777777" w:rsidR="008D6614" w:rsidRDefault="00866AF2">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left w:w="20" w:type="dxa"/>
              <w:right w:w="20" w:type="dxa"/>
            </w:tcMar>
            <w:vAlign w:val="bottom"/>
          </w:tcPr>
          <w:p w14:paraId="64A8988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885"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88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887"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88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889"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88A" w14:textId="77777777" w:rsidR="008D6614" w:rsidRDefault="008D6614">
            <w:pPr>
              <w:rPr>
                <w:rFonts w:ascii="宋体"/>
              </w:rPr>
            </w:pPr>
          </w:p>
        </w:tc>
        <w:tc>
          <w:tcPr>
            <w:tcW w:w="0" w:type="auto"/>
            <w:shd w:val="clear" w:color="auto" w:fill="auto"/>
            <w:vAlign w:val="center"/>
          </w:tcPr>
          <w:p w14:paraId="64A8988B" w14:textId="77777777" w:rsidR="008D6614" w:rsidRDefault="008D6614">
            <w:pPr>
              <w:rPr>
                <w:rFonts w:ascii="宋体"/>
              </w:rPr>
            </w:pPr>
          </w:p>
        </w:tc>
        <w:tc>
          <w:tcPr>
            <w:tcW w:w="0" w:type="auto"/>
            <w:shd w:val="clear" w:color="auto" w:fill="auto"/>
            <w:vAlign w:val="center"/>
          </w:tcPr>
          <w:p w14:paraId="64A8988C" w14:textId="77777777" w:rsidR="008D6614" w:rsidRDefault="008D6614">
            <w:pPr>
              <w:rPr>
                <w:rFonts w:ascii="宋体"/>
              </w:rPr>
            </w:pPr>
          </w:p>
        </w:tc>
        <w:tc>
          <w:tcPr>
            <w:tcW w:w="0" w:type="auto"/>
            <w:shd w:val="clear" w:color="auto" w:fill="auto"/>
            <w:vAlign w:val="center"/>
          </w:tcPr>
          <w:p w14:paraId="64A8988D" w14:textId="77777777" w:rsidR="008D6614" w:rsidRDefault="008D6614">
            <w:pPr>
              <w:rPr>
                <w:rFonts w:ascii="宋体"/>
              </w:rPr>
            </w:pPr>
          </w:p>
        </w:tc>
        <w:tc>
          <w:tcPr>
            <w:tcW w:w="0" w:type="auto"/>
            <w:shd w:val="clear" w:color="auto" w:fill="auto"/>
            <w:vAlign w:val="center"/>
          </w:tcPr>
          <w:p w14:paraId="64A8988E" w14:textId="77777777" w:rsidR="008D6614" w:rsidRDefault="008D6614">
            <w:pPr>
              <w:rPr>
                <w:rFonts w:ascii="宋体"/>
              </w:rPr>
            </w:pPr>
          </w:p>
        </w:tc>
        <w:tc>
          <w:tcPr>
            <w:tcW w:w="0" w:type="auto"/>
            <w:shd w:val="clear" w:color="auto" w:fill="auto"/>
            <w:vAlign w:val="center"/>
          </w:tcPr>
          <w:p w14:paraId="64A8988F" w14:textId="77777777" w:rsidR="008D6614" w:rsidRDefault="008D6614">
            <w:pPr>
              <w:rPr>
                <w:rFonts w:ascii="宋体"/>
              </w:rPr>
            </w:pPr>
          </w:p>
        </w:tc>
        <w:tc>
          <w:tcPr>
            <w:tcW w:w="0" w:type="auto"/>
            <w:shd w:val="clear" w:color="auto" w:fill="auto"/>
            <w:vAlign w:val="center"/>
          </w:tcPr>
          <w:p w14:paraId="64A89890" w14:textId="77777777" w:rsidR="008D6614" w:rsidRDefault="008D6614">
            <w:pPr>
              <w:rPr>
                <w:rFonts w:ascii="宋体"/>
              </w:rPr>
            </w:pPr>
          </w:p>
        </w:tc>
        <w:tc>
          <w:tcPr>
            <w:tcW w:w="0" w:type="auto"/>
            <w:shd w:val="clear" w:color="auto" w:fill="auto"/>
            <w:vAlign w:val="center"/>
          </w:tcPr>
          <w:p w14:paraId="64A89891" w14:textId="77777777" w:rsidR="008D6614" w:rsidRDefault="008D6614">
            <w:pPr>
              <w:rPr>
                <w:rFonts w:ascii="宋体"/>
              </w:rPr>
            </w:pPr>
          </w:p>
        </w:tc>
        <w:tc>
          <w:tcPr>
            <w:tcW w:w="0" w:type="auto"/>
            <w:shd w:val="clear" w:color="auto" w:fill="auto"/>
            <w:vAlign w:val="center"/>
          </w:tcPr>
          <w:p w14:paraId="64A89892" w14:textId="77777777" w:rsidR="008D6614" w:rsidRDefault="008D6614">
            <w:pPr>
              <w:rPr>
                <w:rFonts w:ascii="宋体"/>
              </w:rPr>
            </w:pPr>
          </w:p>
        </w:tc>
        <w:tc>
          <w:tcPr>
            <w:tcW w:w="0" w:type="auto"/>
            <w:shd w:val="clear" w:color="auto" w:fill="auto"/>
            <w:vAlign w:val="center"/>
          </w:tcPr>
          <w:p w14:paraId="64A89893" w14:textId="77777777" w:rsidR="008D6614" w:rsidRDefault="008D6614">
            <w:pPr>
              <w:rPr>
                <w:rFonts w:ascii="宋体"/>
              </w:rPr>
            </w:pPr>
          </w:p>
        </w:tc>
        <w:tc>
          <w:tcPr>
            <w:tcW w:w="0" w:type="auto"/>
            <w:shd w:val="clear" w:color="auto" w:fill="auto"/>
            <w:vAlign w:val="center"/>
          </w:tcPr>
          <w:p w14:paraId="64A89894" w14:textId="77777777" w:rsidR="008D6614" w:rsidRDefault="008D6614">
            <w:pPr>
              <w:rPr>
                <w:rFonts w:ascii="宋体"/>
              </w:rPr>
            </w:pPr>
          </w:p>
        </w:tc>
        <w:tc>
          <w:tcPr>
            <w:tcW w:w="0" w:type="auto"/>
            <w:shd w:val="clear" w:color="auto" w:fill="auto"/>
            <w:vAlign w:val="center"/>
          </w:tcPr>
          <w:p w14:paraId="64A89895" w14:textId="77777777" w:rsidR="008D6614" w:rsidRDefault="008D6614">
            <w:pPr>
              <w:rPr>
                <w:rFonts w:ascii="宋体"/>
              </w:rPr>
            </w:pPr>
          </w:p>
        </w:tc>
        <w:tc>
          <w:tcPr>
            <w:tcW w:w="0" w:type="auto"/>
            <w:shd w:val="clear" w:color="auto" w:fill="auto"/>
            <w:vAlign w:val="center"/>
          </w:tcPr>
          <w:p w14:paraId="64A89896" w14:textId="77777777" w:rsidR="008D6614" w:rsidRDefault="008D6614">
            <w:pPr>
              <w:rPr>
                <w:rFonts w:ascii="宋体"/>
              </w:rPr>
            </w:pPr>
          </w:p>
        </w:tc>
        <w:tc>
          <w:tcPr>
            <w:tcW w:w="0" w:type="auto"/>
            <w:shd w:val="clear" w:color="auto" w:fill="auto"/>
            <w:vAlign w:val="center"/>
          </w:tcPr>
          <w:p w14:paraId="64A89897" w14:textId="77777777" w:rsidR="008D6614" w:rsidRDefault="008D6614">
            <w:pPr>
              <w:rPr>
                <w:rFonts w:ascii="宋体"/>
              </w:rPr>
            </w:pPr>
          </w:p>
        </w:tc>
        <w:tc>
          <w:tcPr>
            <w:tcW w:w="0" w:type="auto"/>
            <w:shd w:val="clear" w:color="auto" w:fill="auto"/>
            <w:vAlign w:val="center"/>
          </w:tcPr>
          <w:p w14:paraId="64A89898" w14:textId="77777777" w:rsidR="008D6614" w:rsidRDefault="008D6614">
            <w:pPr>
              <w:rPr>
                <w:rFonts w:ascii="宋体"/>
              </w:rPr>
            </w:pPr>
          </w:p>
        </w:tc>
        <w:tc>
          <w:tcPr>
            <w:tcW w:w="0" w:type="auto"/>
            <w:shd w:val="clear" w:color="auto" w:fill="auto"/>
            <w:vAlign w:val="center"/>
          </w:tcPr>
          <w:p w14:paraId="64A89899" w14:textId="77777777" w:rsidR="008D6614" w:rsidRDefault="008D6614">
            <w:pPr>
              <w:rPr>
                <w:rFonts w:ascii="宋体"/>
              </w:rPr>
            </w:pPr>
          </w:p>
        </w:tc>
        <w:tc>
          <w:tcPr>
            <w:tcW w:w="0" w:type="auto"/>
            <w:shd w:val="clear" w:color="auto" w:fill="auto"/>
            <w:vAlign w:val="center"/>
          </w:tcPr>
          <w:p w14:paraId="64A8989A" w14:textId="77777777" w:rsidR="008D6614" w:rsidRDefault="008D6614">
            <w:pPr>
              <w:rPr>
                <w:rFonts w:ascii="宋体"/>
              </w:rPr>
            </w:pPr>
          </w:p>
        </w:tc>
        <w:tc>
          <w:tcPr>
            <w:tcW w:w="0" w:type="auto"/>
            <w:shd w:val="clear" w:color="auto" w:fill="auto"/>
            <w:vAlign w:val="center"/>
          </w:tcPr>
          <w:p w14:paraId="64A8989B" w14:textId="77777777" w:rsidR="008D6614" w:rsidRDefault="008D6614">
            <w:pPr>
              <w:rPr>
                <w:rFonts w:ascii="宋体"/>
              </w:rPr>
            </w:pPr>
          </w:p>
        </w:tc>
        <w:tc>
          <w:tcPr>
            <w:tcW w:w="0" w:type="auto"/>
            <w:shd w:val="clear" w:color="auto" w:fill="auto"/>
            <w:vAlign w:val="center"/>
          </w:tcPr>
          <w:p w14:paraId="64A8989C" w14:textId="77777777" w:rsidR="008D6614" w:rsidRDefault="008D6614">
            <w:pPr>
              <w:rPr>
                <w:rFonts w:ascii="宋体"/>
              </w:rPr>
            </w:pPr>
          </w:p>
        </w:tc>
      </w:tr>
      <w:tr w:rsidR="008D6614" w14:paraId="64A898C3" w14:textId="77777777">
        <w:tc>
          <w:tcPr>
            <w:tcW w:w="0" w:type="auto"/>
            <w:gridSpan w:val="3"/>
            <w:shd w:val="clear" w:color="auto" w:fill="FFFFFF"/>
            <w:tcMar>
              <w:top w:w="40" w:type="dxa"/>
              <w:left w:w="225" w:type="dxa"/>
              <w:bottom w:w="40" w:type="dxa"/>
              <w:right w:w="20" w:type="dxa"/>
            </w:tcMar>
            <w:vAlign w:val="bottom"/>
          </w:tcPr>
          <w:p w14:paraId="64A8989E" w14:textId="77777777" w:rsidR="008D6614" w:rsidRDefault="00866AF2">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tcMar>
            <w:vAlign w:val="bottom"/>
          </w:tcPr>
          <w:p w14:paraId="64A8989F"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8A0" w14:textId="77777777" w:rsidR="008D6614" w:rsidRDefault="00866AF2">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64A898A1"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8A2" w14:textId="77777777" w:rsidR="008D6614" w:rsidRDefault="008D6614">
            <w:pPr>
              <w:rPr>
                <w:rFonts w:ascii="宋体"/>
              </w:rPr>
            </w:pPr>
          </w:p>
        </w:tc>
        <w:tc>
          <w:tcPr>
            <w:tcW w:w="0" w:type="auto"/>
            <w:shd w:val="clear" w:color="auto" w:fill="FFFFFF"/>
            <w:tcMar>
              <w:right w:w="20" w:type="dxa"/>
            </w:tcMar>
            <w:vAlign w:val="bottom"/>
          </w:tcPr>
          <w:p w14:paraId="64A898A3" w14:textId="77777777" w:rsidR="008D6614" w:rsidRDefault="008D6614">
            <w:pPr>
              <w:jc w:val="right"/>
              <w:rPr>
                <w:rFonts w:ascii="宋体"/>
              </w:rPr>
            </w:pPr>
          </w:p>
        </w:tc>
        <w:tc>
          <w:tcPr>
            <w:tcW w:w="0" w:type="auto"/>
            <w:shd w:val="clear" w:color="auto" w:fill="FFFFFF"/>
            <w:tcMar>
              <w:top w:w="40" w:type="dxa"/>
              <w:left w:w="20" w:type="dxa"/>
              <w:bottom w:w="40" w:type="dxa"/>
            </w:tcMar>
            <w:vAlign w:val="bottom"/>
          </w:tcPr>
          <w:p w14:paraId="64A898A4"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8A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8A6"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8A7" w14:textId="77777777" w:rsidR="008D6614" w:rsidRDefault="008D6614">
            <w:pPr>
              <w:rPr>
                <w:rFonts w:ascii="宋体"/>
              </w:rPr>
            </w:pPr>
          </w:p>
        </w:tc>
        <w:tc>
          <w:tcPr>
            <w:tcW w:w="0" w:type="auto"/>
            <w:shd w:val="clear" w:color="auto" w:fill="FFFFFF"/>
            <w:tcMar>
              <w:right w:w="20" w:type="dxa"/>
            </w:tcMar>
            <w:vAlign w:val="bottom"/>
          </w:tcPr>
          <w:p w14:paraId="64A898A8" w14:textId="77777777" w:rsidR="008D6614" w:rsidRDefault="008D6614">
            <w:pPr>
              <w:jc w:val="right"/>
              <w:rPr>
                <w:rFonts w:ascii="宋体"/>
              </w:rPr>
            </w:pPr>
          </w:p>
        </w:tc>
        <w:tc>
          <w:tcPr>
            <w:tcW w:w="0" w:type="auto"/>
            <w:shd w:val="clear" w:color="auto" w:fill="FFFFFF"/>
            <w:tcMar>
              <w:top w:w="40" w:type="dxa"/>
              <w:left w:w="20" w:type="dxa"/>
              <w:bottom w:w="40" w:type="dxa"/>
            </w:tcMar>
            <w:vAlign w:val="bottom"/>
          </w:tcPr>
          <w:p w14:paraId="64A898A9"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8A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8AB"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8AC" w14:textId="77777777" w:rsidR="008D6614" w:rsidRDefault="008D6614">
            <w:pPr>
              <w:rPr>
                <w:rFonts w:ascii="宋体"/>
              </w:rPr>
            </w:pPr>
          </w:p>
        </w:tc>
        <w:tc>
          <w:tcPr>
            <w:tcW w:w="0" w:type="auto"/>
            <w:shd w:val="clear" w:color="auto" w:fill="FFFFFF"/>
            <w:tcMar>
              <w:right w:w="20" w:type="dxa"/>
            </w:tcMar>
            <w:vAlign w:val="bottom"/>
          </w:tcPr>
          <w:p w14:paraId="64A898AD" w14:textId="77777777" w:rsidR="008D6614" w:rsidRDefault="008D6614">
            <w:pPr>
              <w:jc w:val="right"/>
              <w:rPr>
                <w:rFonts w:ascii="宋体"/>
              </w:rPr>
            </w:pPr>
          </w:p>
        </w:tc>
        <w:tc>
          <w:tcPr>
            <w:tcW w:w="0" w:type="auto"/>
            <w:shd w:val="clear" w:color="auto" w:fill="FFFFFF"/>
            <w:tcMar>
              <w:top w:w="40" w:type="dxa"/>
              <w:left w:w="20" w:type="dxa"/>
              <w:bottom w:w="40" w:type="dxa"/>
            </w:tcMar>
            <w:vAlign w:val="bottom"/>
          </w:tcPr>
          <w:p w14:paraId="64A898AE"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8AF" w14:textId="77777777" w:rsidR="008D6614" w:rsidRDefault="00866AF2">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64A898B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8B1" w14:textId="77777777" w:rsidR="008D6614" w:rsidRDefault="008D6614">
            <w:pPr>
              <w:rPr>
                <w:rFonts w:ascii="宋体"/>
              </w:rPr>
            </w:pPr>
          </w:p>
        </w:tc>
        <w:tc>
          <w:tcPr>
            <w:tcW w:w="0" w:type="auto"/>
            <w:shd w:val="clear" w:color="auto" w:fill="auto"/>
            <w:vAlign w:val="center"/>
          </w:tcPr>
          <w:p w14:paraId="64A898B2" w14:textId="77777777" w:rsidR="008D6614" w:rsidRDefault="008D6614">
            <w:pPr>
              <w:rPr>
                <w:rFonts w:ascii="宋体"/>
              </w:rPr>
            </w:pPr>
          </w:p>
        </w:tc>
        <w:tc>
          <w:tcPr>
            <w:tcW w:w="0" w:type="auto"/>
            <w:shd w:val="clear" w:color="auto" w:fill="auto"/>
            <w:vAlign w:val="center"/>
          </w:tcPr>
          <w:p w14:paraId="64A898B3" w14:textId="77777777" w:rsidR="008D6614" w:rsidRDefault="008D6614">
            <w:pPr>
              <w:rPr>
                <w:rFonts w:ascii="宋体"/>
              </w:rPr>
            </w:pPr>
          </w:p>
        </w:tc>
        <w:tc>
          <w:tcPr>
            <w:tcW w:w="0" w:type="auto"/>
            <w:shd w:val="clear" w:color="auto" w:fill="auto"/>
            <w:vAlign w:val="center"/>
          </w:tcPr>
          <w:p w14:paraId="64A898B4" w14:textId="77777777" w:rsidR="008D6614" w:rsidRDefault="008D6614">
            <w:pPr>
              <w:rPr>
                <w:rFonts w:ascii="宋体"/>
              </w:rPr>
            </w:pPr>
          </w:p>
        </w:tc>
        <w:tc>
          <w:tcPr>
            <w:tcW w:w="0" w:type="auto"/>
            <w:shd w:val="clear" w:color="auto" w:fill="auto"/>
            <w:vAlign w:val="center"/>
          </w:tcPr>
          <w:p w14:paraId="64A898B5" w14:textId="77777777" w:rsidR="008D6614" w:rsidRDefault="008D6614">
            <w:pPr>
              <w:rPr>
                <w:rFonts w:ascii="宋体"/>
              </w:rPr>
            </w:pPr>
          </w:p>
        </w:tc>
        <w:tc>
          <w:tcPr>
            <w:tcW w:w="0" w:type="auto"/>
            <w:shd w:val="clear" w:color="auto" w:fill="auto"/>
            <w:vAlign w:val="center"/>
          </w:tcPr>
          <w:p w14:paraId="64A898B6" w14:textId="77777777" w:rsidR="008D6614" w:rsidRDefault="008D6614">
            <w:pPr>
              <w:rPr>
                <w:rFonts w:ascii="宋体"/>
              </w:rPr>
            </w:pPr>
          </w:p>
        </w:tc>
        <w:tc>
          <w:tcPr>
            <w:tcW w:w="0" w:type="auto"/>
            <w:shd w:val="clear" w:color="auto" w:fill="auto"/>
            <w:vAlign w:val="center"/>
          </w:tcPr>
          <w:p w14:paraId="64A898B7" w14:textId="77777777" w:rsidR="008D6614" w:rsidRDefault="008D6614">
            <w:pPr>
              <w:rPr>
                <w:rFonts w:ascii="宋体"/>
              </w:rPr>
            </w:pPr>
          </w:p>
        </w:tc>
        <w:tc>
          <w:tcPr>
            <w:tcW w:w="0" w:type="auto"/>
            <w:shd w:val="clear" w:color="auto" w:fill="auto"/>
            <w:vAlign w:val="center"/>
          </w:tcPr>
          <w:p w14:paraId="64A898B8" w14:textId="77777777" w:rsidR="008D6614" w:rsidRDefault="008D6614">
            <w:pPr>
              <w:rPr>
                <w:rFonts w:ascii="宋体"/>
              </w:rPr>
            </w:pPr>
          </w:p>
        </w:tc>
        <w:tc>
          <w:tcPr>
            <w:tcW w:w="0" w:type="auto"/>
            <w:shd w:val="clear" w:color="auto" w:fill="auto"/>
            <w:vAlign w:val="center"/>
          </w:tcPr>
          <w:p w14:paraId="64A898B9" w14:textId="77777777" w:rsidR="008D6614" w:rsidRDefault="008D6614">
            <w:pPr>
              <w:rPr>
                <w:rFonts w:ascii="宋体"/>
              </w:rPr>
            </w:pPr>
          </w:p>
        </w:tc>
        <w:tc>
          <w:tcPr>
            <w:tcW w:w="0" w:type="auto"/>
            <w:shd w:val="clear" w:color="auto" w:fill="auto"/>
            <w:vAlign w:val="center"/>
          </w:tcPr>
          <w:p w14:paraId="64A898BA" w14:textId="77777777" w:rsidR="008D6614" w:rsidRDefault="008D6614">
            <w:pPr>
              <w:rPr>
                <w:rFonts w:ascii="宋体"/>
              </w:rPr>
            </w:pPr>
          </w:p>
        </w:tc>
        <w:tc>
          <w:tcPr>
            <w:tcW w:w="0" w:type="auto"/>
            <w:shd w:val="clear" w:color="auto" w:fill="auto"/>
            <w:vAlign w:val="center"/>
          </w:tcPr>
          <w:p w14:paraId="64A898BB" w14:textId="77777777" w:rsidR="008D6614" w:rsidRDefault="008D6614">
            <w:pPr>
              <w:rPr>
                <w:rFonts w:ascii="宋体"/>
              </w:rPr>
            </w:pPr>
          </w:p>
        </w:tc>
        <w:tc>
          <w:tcPr>
            <w:tcW w:w="0" w:type="auto"/>
            <w:shd w:val="clear" w:color="auto" w:fill="auto"/>
            <w:vAlign w:val="center"/>
          </w:tcPr>
          <w:p w14:paraId="64A898BC" w14:textId="77777777" w:rsidR="008D6614" w:rsidRDefault="008D6614">
            <w:pPr>
              <w:rPr>
                <w:rFonts w:ascii="宋体"/>
              </w:rPr>
            </w:pPr>
          </w:p>
        </w:tc>
        <w:tc>
          <w:tcPr>
            <w:tcW w:w="0" w:type="auto"/>
            <w:shd w:val="clear" w:color="auto" w:fill="auto"/>
            <w:vAlign w:val="center"/>
          </w:tcPr>
          <w:p w14:paraId="64A898BD" w14:textId="77777777" w:rsidR="008D6614" w:rsidRDefault="008D6614">
            <w:pPr>
              <w:rPr>
                <w:rFonts w:ascii="宋体"/>
              </w:rPr>
            </w:pPr>
          </w:p>
        </w:tc>
        <w:tc>
          <w:tcPr>
            <w:tcW w:w="0" w:type="auto"/>
            <w:shd w:val="clear" w:color="auto" w:fill="auto"/>
            <w:vAlign w:val="center"/>
          </w:tcPr>
          <w:p w14:paraId="64A898BE" w14:textId="77777777" w:rsidR="008D6614" w:rsidRDefault="008D6614">
            <w:pPr>
              <w:rPr>
                <w:rFonts w:ascii="宋体"/>
              </w:rPr>
            </w:pPr>
          </w:p>
        </w:tc>
        <w:tc>
          <w:tcPr>
            <w:tcW w:w="0" w:type="auto"/>
            <w:shd w:val="clear" w:color="auto" w:fill="auto"/>
            <w:vAlign w:val="center"/>
          </w:tcPr>
          <w:p w14:paraId="64A898BF" w14:textId="77777777" w:rsidR="008D6614" w:rsidRDefault="008D6614">
            <w:pPr>
              <w:rPr>
                <w:rFonts w:ascii="宋体"/>
              </w:rPr>
            </w:pPr>
          </w:p>
        </w:tc>
        <w:tc>
          <w:tcPr>
            <w:tcW w:w="0" w:type="auto"/>
            <w:shd w:val="clear" w:color="auto" w:fill="auto"/>
            <w:vAlign w:val="center"/>
          </w:tcPr>
          <w:p w14:paraId="64A898C0" w14:textId="77777777" w:rsidR="008D6614" w:rsidRDefault="008D6614">
            <w:pPr>
              <w:rPr>
                <w:rFonts w:ascii="宋体"/>
              </w:rPr>
            </w:pPr>
          </w:p>
        </w:tc>
        <w:tc>
          <w:tcPr>
            <w:tcW w:w="0" w:type="auto"/>
            <w:shd w:val="clear" w:color="auto" w:fill="auto"/>
            <w:vAlign w:val="center"/>
          </w:tcPr>
          <w:p w14:paraId="64A898C1" w14:textId="77777777" w:rsidR="008D6614" w:rsidRDefault="008D6614">
            <w:pPr>
              <w:rPr>
                <w:rFonts w:ascii="宋体"/>
              </w:rPr>
            </w:pPr>
          </w:p>
        </w:tc>
        <w:tc>
          <w:tcPr>
            <w:tcW w:w="0" w:type="auto"/>
            <w:shd w:val="clear" w:color="auto" w:fill="auto"/>
            <w:vAlign w:val="center"/>
          </w:tcPr>
          <w:p w14:paraId="64A898C2" w14:textId="77777777" w:rsidR="008D6614" w:rsidRDefault="008D6614">
            <w:pPr>
              <w:rPr>
                <w:rFonts w:ascii="宋体"/>
              </w:rPr>
            </w:pPr>
          </w:p>
        </w:tc>
      </w:tr>
      <w:tr w:rsidR="008D6614" w14:paraId="64A898E5" w14:textId="77777777">
        <w:tc>
          <w:tcPr>
            <w:tcW w:w="0" w:type="auto"/>
            <w:gridSpan w:val="3"/>
            <w:shd w:val="clear" w:color="auto" w:fill="E2E2E2"/>
            <w:tcMar>
              <w:top w:w="40" w:type="dxa"/>
              <w:left w:w="225" w:type="dxa"/>
              <w:bottom w:w="40" w:type="dxa"/>
              <w:right w:w="20" w:type="dxa"/>
            </w:tcMar>
            <w:vAlign w:val="bottom"/>
          </w:tcPr>
          <w:p w14:paraId="64A898C4" w14:textId="77777777" w:rsidR="008D6614" w:rsidRDefault="00866AF2">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A898C5" w14:textId="77777777" w:rsidR="008D6614" w:rsidRDefault="00866AF2">
            <w:pPr>
              <w:jc w:val="right"/>
              <w:textAlignment w:val="bottom"/>
            </w:pPr>
            <w:r>
              <w:rPr>
                <w:rFonts w:ascii="Arial" w:eastAsia="宋体" w:hAnsi="Arial" w:cs="Arial"/>
                <w:color w:val="000000"/>
                <w:sz w:val="18"/>
                <w:szCs w:val="18"/>
              </w:rPr>
              <w:t>3,436 </w:t>
            </w:r>
          </w:p>
        </w:tc>
        <w:tc>
          <w:tcPr>
            <w:tcW w:w="0" w:type="auto"/>
            <w:shd w:val="clear" w:color="auto" w:fill="E2E2E2"/>
            <w:tcMar>
              <w:top w:w="40" w:type="dxa"/>
              <w:bottom w:w="40" w:type="dxa"/>
              <w:right w:w="20" w:type="dxa"/>
            </w:tcMar>
            <w:vAlign w:val="bottom"/>
          </w:tcPr>
          <w:p w14:paraId="64A898C6"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8C7" w14:textId="77777777" w:rsidR="008D6614" w:rsidRDefault="008D6614">
            <w:pPr>
              <w:rPr>
                <w:rFonts w:ascii="宋体"/>
              </w:rPr>
            </w:pPr>
          </w:p>
        </w:tc>
        <w:tc>
          <w:tcPr>
            <w:tcW w:w="0" w:type="auto"/>
            <w:shd w:val="clear" w:color="auto" w:fill="E2E2E2"/>
            <w:tcMar>
              <w:right w:w="20" w:type="dxa"/>
            </w:tcMar>
            <w:vAlign w:val="bottom"/>
          </w:tcPr>
          <w:p w14:paraId="64A898C8"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8C9" w14:textId="77777777" w:rsidR="008D6614" w:rsidRDefault="00866AF2">
            <w:pPr>
              <w:jc w:val="right"/>
              <w:textAlignment w:val="bottom"/>
            </w:pPr>
            <w:r>
              <w:rPr>
                <w:rFonts w:ascii="Arial" w:eastAsia="宋体" w:hAnsi="Arial" w:cs="Arial"/>
                <w:color w:val="000000"/>
                <w:sz w:val="18"/>
                <w:szCs w:val="18"/>
              </w:rPr>
              <w:t>1 </w:t>
            </w:r>
          </w:p>
        </w:tc>
        <w:tc>
          <w:tcPr>
            <w:tcW w:w="0" w:type="auto"/>
            <w:shd w:val="clear" w:color="auto" w:fill="E2E2E2"/>
            <w:tcMar>
              <w:top w:w="40" w:type="dxa"/>
              <w:bottom w:w="40" w:type="dxa"/>
              <w:right w:w="20" w:type="dxa"/>
            </w:tcMar>
            <w:vAlign w:val="bottom"/>
          </w:tcPr>
          <w:p w14:paraId="64A898CA"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8CB" w14:textId="77777777" w:rsidR="008D6614" w:rsidRDefault="008D6614">
            <w:pPr>
              <w:rPr>
                <w:rFonts w:ascii="宋体"/>
              </w:rPr>
            </w:pPr>
          </w:p>
        </w:tc>
        <w:tc>
          <w:tcPr>
            <w:tcW w:w="0" w:type="auto"/>
            <w:shd w:val="clear" w:color="auto" w:fill="E2E2E2"/>
            <w:tcMar>
              <w:right w:w="20" w:type="dxa"/>
            </w:tcMar>
            <w:vAlign w:val="bottom"/>
          </w:tcPr>
          <w:p w14:paraId="64A898CC"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8CD" w14:textId="77777777" w:rsidR="008D6614" w:rsidRDefault="00866AF2">
            <w:pPr>
              <w:jc w:val="right"/>
              <w:textAlignment w:val="bottom"/>
            </w:pPr>
            <w:r>
              <w:rPr>
                <w:rFonts w:ascii="Arial" w:eastAsia="宋体" w:hAnsi="Arial" w:cs="Arial"/>
                <w:color w:val="000000"/>
                <w:sz w:val="18"/>
                <w:szCs w:val="18"/>
              </w:rPr>
              <w:t>(6)</w:t>
            </w:r>
          </w:p>
        </w:tc>
        <w:tc>
          <w:tcPr>
            <w:tcW w:w="0" w:type="auto"/>
            <w:shd w:val="clear" w:color="auto" w:fill="E2E2E2"/>
            <w:tcMar>
              <w:top w:w="40" w:type="dxa"/>
              <w:bottom w:w="40" w:type="dxa"/>
              <w:right w:w="20" w:type="dxa"/>
            </w:tcMar>
            <w:vAlign w:val="bottom"/>
          </w:tcPr>
          <w:p w14:paraId="64A898CE"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8CF" w14:textId="77777777" w:rsidR="008D6614" w:rsidRDefault="008D6614">
            <w:pPr>
              <w:rPr>
                <w:rFonts w:ascii="宋体"/>
              </w:rPr>
            </w:pPr>
          </w:p>
        </w:tc>
        <w:tc>
          <w:tcPr>
            <w:tcW w:w="0" w:type="auto"/>
            <w:shd w:val="clear" w:color="auto" w:fill="E2E2E2"/>
            <w:tcMar>
              <w:right w:w="20" w:type="dxa"/>
            </w:tcMar>
            <w:vAlign w:val="bottom"/>
          </w:tcPr>
          <w:p w14:paraId="64A898D0"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8D1" w14:textId="77777777" w:rsidR="008D6614" w:rsidRDefault="00866AF2">
            <w:pPr>
              <w:jc w:val="right"/>
              <w:textAlignment w:val="bottom"/>
            </w:pPr>
            <w:r>
              <w:rPr>
                <w:rFonts w:ascii="Arial" w:eastAsia="宋体" w:hAnsi="Arial" w:cs="Arial"/>
                <w:color w:val="000000"/>
                <w:sz w:val="18"/>
                <w:szCs w:val="18"/>
              </w:rPr>
              <w:t>3,431 </w:t>
            </w:r>
          </w:p>
        </w:tc>
        <w:tc>
          <w:tcPr>
            <w:tcW w:w="0" w:type="auto"/>
            <w:shd w:val="clear" w:color="auto" w:fill="E2E2E2"/>
            <w:tcMar>
              <w:top w:w="40" w:type="dxa"/>
              <w:bottom w:w="40" w:type="dxa"/>
              <w:right w:w="20" w:type="dxa"/>
            </w:tcMar>
            <w:vAlign w:val="bottom"/>
          </w:tcPr>
          <w:p w14:paraId="64A898D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8D3" w14:textId="77777777" w:rsidR="008D6614" w:rsidRDefault="008D6614">
            <w:pPr>
              <w:rPr>
                <w:rFonts w:ascii="宋体"/>
              </w:rPr>
            </w:pPr>
          </w:p>
        </w:tc>
        <w:tc>
          <w:tcPr>
            <w:tcW w:w="0" w:type="auto"/>
            <w:shd w:val="clear" w:color="auto" w:fill="auto"/>
            <w:vAlign w:val="center"/>
          </w:tcPr>
          <w:p w14:paraId="64A898D4" w14:textId="77777777" w:rsidR="008D6614" w:rsidRDefault="008D6614">
            <w:pPr>
              <w:rPr>
                <w:rFonts w:ascii="宋体"/>
              </w:rPr>
            </w:pPr>
          </w:p>
        </w:tc>
        <w:tc>
          <w:tcPr>
            <w:tcW w:w="0" w:type="auto"/>
            <w:shd w:val="clear" w:color="auto" w:fill="auto"/>
            <w:vAlign w:val="center"/>
          </w:tcPr>
          <w:p w14:paraId="64A898D5" w14:textId="77777777" w:rsidR="008D6614" w:rsidRDefault="008D6614">
            <w:pPr>
              <w:rPr>
                <w:rFonts w:ascii="宋体"/>
              </w:rPr>
            </w:pPr>
          </w:p>
        </w:tc>
        <w:tc>
          <w:tcPr>
            <w:tcW w:w="0" w:type="auto"/>
            <w:shd w:val="clear" w:color="auto" w:fill="auto"/>
            <w:vAlign w:val="center"/>
          </w:tcPr>
          <w:p w14:paraId="64A898D6" w14:textId="77777777" w:rsidR="008D6614" w:rsidRDefault="008D6614">
            <w:pPr>
              <w:rPr>
                <w:rFonts w:ascii="宋体"/>
              </w:rPr>
            </w:pPr>
          </w:p>
        </w:tc>
        <w:tc>
          <w:tcPr>
            <w:tcW w:w="0" w:type="auto"/>
            <w:shd w:val="clear" w:color="auto" w:fill="auto"/>
            <w:vAlign w:val="center"/>
          </w:tcPr>
          <w:p w14:paraId="64A898D7" w14:textId="77777777" w:rsidR="008D6614" w:rsidRDefault="008D6614">
            <w:pPr>
              <w:rPr>
                <w:rFonts w:ascii="宋体"/>
              </w:rPr>
            </w:pPr>
          </w:p>
        </w:tc>
        <w:tc>
          <w:tcPr>
            <w:tcW w:w="0" w:type="auto"/>
            <w:shd w:val="clear" w:color="auto" w:fill="auto"/>
            <w:vAlign w:val="center"/>
          </w:tcPr>
          <w:p w14:paraId="64A898D8" w14:textId="77777777" w:rsidR="008D6614" w:rsidRDefault="008D6614">
            <w:pPr>
              <w:rPr>
                <w:rFonts w:ascii="宋体"/>
              </w:rPr>
            </w:pPr>
          </w:p>
        </w:tc>
        <w:tc>
          <w:tcPr>
            <w:tcW w:w="0" w:type="auto"/>
            <w:shd w:val="clear" w:color="auto" w:fill="auto"/>
            <w:vAlign w:val="center"/>
          </w:tcPr>
          <w:p w14:paraId="64A898D9" w14:textId="77777777" w:rsidR="008D6614" w:rsidRDefault="008D6614">
            <w:pPr>
              <w:rPr>
                <w:rFonts w:ascii="宋体"/>
              </w:rPr>
            </w:pPr>
          </w:p>
        </w:tc>
        <w:tc>
          <w:tcPr>
            <w:tcW w:w="0" w:type="auto"/>
            <w:shd w:val="clear" w:color="auto" w:fill="auto"/>
            <w:vAlign w:val="center"/>
          </w:tcPr>
          <w:p w14:paraId="64A898DA" w14:textId="77777777" w:rsidR="008D6614" w:rsidRDefault="008D6614">
            <w:pPr>
              <w:rPr>
                <w:rFonts w:ascii="宋体"/>
              </w:rPr>
            </w:pPr>
          </w:p>
        </w:tc>
        <w:tc>
          <w:tcPr>
            <w:tcW w:w="0" w:type="auto"/>
            <w:shd w:val="clear" w:color="auto" w:fill="auto"/>
            <w:vAlign w:val="center"/>
          </w:tcPr>
          <w:p w14:paraId="64A898DB" w14:textId="77777777" w:rsidR="008D6614" w:rsidRDefault="008D6614">
            <w:pPr>
              <w:rPr>
                <w:rFonts w:ascii="宋体"/>
              </w:rPr>
            </w:pPr>
          </w:p>
        </w:tc>
        <w:tc>
          <w:tcPr>
            <w:tcW w:w="0" w:type="auto"/>
            <w:shd w:val="clear" w:color="auto" w:fill="auto"/>
            <w:vAlign w:val="center"/>
          </w:tcPr>
          <w:p w14:paraId="64A898DC" w14:textId="77777777" w:rsidR="008D6614" w:rsidRDefault="008D6614">
            <w:pPr>
              <w:rPr>
                <w:rFonts w:ascii="宋体"/>
              </w:rPr>
            </w:pPr>
          </w:p>
        </w:tc>
        <w:tc>
          <w:tcPr>
            <w:tcW w:w="0" w:type="auto"/>
            <w:shd w:val="clear" w:color="auto" w:fill="auto"/>
            <w:vAlign w:val="center"/>
          </w:tcPr>
          <w:p w14:paraId="64A898DD" w14:textId="77777777" w:rsidR="008D6614" w:rsidRDefault="008D6614">
            <w:pPr>
              <w:rPr>
                <w:rFonts w:ascii="宋体"/>
              </w:rPr>
            </w:pPr>
          </w:p>
        </w:tc>
        <w:tc>
          <w:tcPr>
            <w:tcW w:w="0" w:type="auto"/>
            <w:shd w:val="clear" w:color="auto" w:fill="auto"/>
            <w:vAlign w:val="center"/>
          </w:tcPr>
          <w:p w14:paraId="64A898DE" w14:textId="77777777" w:rsidR="008D6614" w:rsidRDefault="008D6614">
            <w:pPr>
              <w:rPr>
                <w:rFonts w:ascii="宋体"/>
              </w:rPr>
            </w:pPr>
          </w:p>
        </w:tc>
        <w:tc>
          <w:tcPr>
            <w:tcW w:w="0" w:type="auto"/>
            <w:shd w:val="clear" w:color="auto" w:fill="auto"/>
            <w:vAlign w:val="center"/>
          </w:tcPr>
          <w:p w14:paraId="64A898DF" w14:textId="77777777" w:rsidR="008D6614" w:rsidRDefault="008D6614">
            <w:pPr>
              <w:rPr>
                <w:rFonts w:ascii="宋体"/>
              </w:rPr>
            </w:pPr>
          </w:p>
        </w:tc>
        <w:tc>
          <w:tcPr>
            <w:tcW w:w="0" w:type="auto"/>
            <w:shd w:val="clear" w:color="auto" w:fill="auto"/>
            <w:vAlign w:val="center"/>
          </w:tcPr>
          <w:p w14:paraId="64A898E0" w14:textId="77777777" w:rsidR="008D6614" w:rsidRDefault="008D6614">
            <w:pPr>
              <w:rPr>
                <w:rFonts w:ascii="宋体"/>
              </w:rPr>
            </w:pPr>
          </w:p>
        </w:tc>
        <w:tc>
          <w:tcPr>
            <w:tcW w:w="0" w:type="auto"/>
            <w:shd w:val="clear" w:color="auto" w:fill="auto"/>
            <w:vAlign w:val="center"/>
          </w:tcPr>
          <w:p w14:paraId="64A898E1" w14:textId="77777777" w:rsidR="008D6614" w:rsidRDefault="008D6614">
            <w:pPr>
              <w:rPr>
                <w:rFonts w:ascii="宋体"/>
              </w:rPr>
            </w:pPr>
          </w:p>
        </w:tc>
        <w:tc>
          <w:tcPr>
            <w:tcW w:w="0" w:type="auto"/>
            <w:shd w:val="clear" w:color="auto" w:fill="auto"/>
            <w:vAlign w:val="center"/>
          </w:tcPr>
          <w:p w14:paraId="64A898E2" w14:textId="77777777" w:rsidR="008D6614" w:rsidRDefault="008D6614">
            <w:pPr>
              <w:rPr>
                <w:rFonts w:ascii="宋体"/>
              </w:rPr>
            </w:pPr>
          </w:p>
        </w:tc>
        <w:tc>
          <w:tcPr>
            <w:tcW w:w="0" w:type="auto"/>
            <w:shd w:val="clear" w:color="auto" w:fill="auto"/>
            <w:vAlign w:val="center"/>
          </w:tcPr>
          <w:p w14:paraId="64A898E3" w14:textId="77777777" w:rsidR="008D6614" w:rsidRDefault="008D6614">
            <w:pPr>
              <w:rPr>
                <w:rFonts w:ascii="宋体"/>
              </w:rPr>
            </w:pPr>
          </w:p>
        </w:tc>
        <w:tc>
          <w:tcPr>
            <w:tcW w:w="0" w:type="auto"/>
            <w:shd w:val="clear" w:color="auto" w:fill="auto"/>
            <w:vAlign w:val="center"/>
          </w:tcPr>
          <w:p w14:paraId="64A898E4" w14:textId="77777777" w:rsidR="008D6614" w:rsidRDefault="008D6614">
            <w:pPr>
              <w:rPr>
                <w:rFonts w:ascii="宋体"/>
              </w:rPr>
            </w:pPr>
          </w:p>
        </w:tc>
      </w:tr>
      <w:tr w:rsidR="008D6614" w14:paraId="64A89907" w14:textId="77777777">
        <w:tc>
          <w:tcPr>
            <w:tcW w:w="0" w:type="auto"/>
            <w:gridSpan w:val="3"/>
            <w:shd w:val="clear" w:color="auto" w:fill="FFFFFF"/>
            <w:tcMar>
              <w:top w:w="40" w:type="dxa"/>
              <w:left w:w="225" w:type="dxa"/>
              <w:bottom w:w="40" w:type="dxa"/>
              <w:right w:w="20" w:type="dxa"/>
            </w:tcMar>
            <w:vAlign w:val="bottom"/>
          </w:tcPr>
          <w:p w14:paraId="64A898E6" w14:textId="77777777" w:rsidR="008D6614" w:rsidRDefault="00866AF2">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4A898E7" w14:textId="77777777" w:rsidR="008D6614" w:rsidRDefault="00866AF2">
            <w:pPr>
              <w:jc w:val="right"/>
              <w:textAlignment w:val="bottom"/>
            </w:pPr>
            <w:r>
              <w:rPr>
                <w:rFonts w:ascii="Arial" w:eastAsia="宋体" w:hAnsi="Arial" w:cs="Arial"/>
                <w:color w:val="000000"/>
                <w:sz w:val="18"/>
                <w:szCs w:val="18"/>
              </w:rPr>
              <w:t>100 </w:t>
            </w:r>
          </w:p>
        </w:tc>
        <w:tc>
          <w:tcPr>
            <w:tcW w:w="0" w:type="auto"/>
            <w:shd w:val="clear" w:color="auto" w:fill="FFFFFF"/>
            <w:tcMar>
              <w:top w:w="40" w:type="dxa"/>
              <w:bottom w:w="40" w:type="dxa"/>
              <w:right w:w="20" w:type="dxa"/>
            </w:tcMar>
            <w:vAlign w:val="bottom"/>
          </w:tcPr>
          <w:p w14:paraId="64A898E8"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8E9" w14:textId="77777777" w:rsidR="008D6614" w:rsidRDefault="008D6614">
            <w:pPr>
              <w:rPr>
                <w:rFonts w:ascii="宋体"/>
              </w:rPr>
            </w:pPr>
          </w:p>
        </w:tc>
        <w:tc>
          <w:tcPr>
            <w:tcW w:w="0" w:type="auto"/>
            <w:shd w:val="clear" w:color="auto" w:fill="FFFFFF"/>
            <w:tcMar>
              <w:right w:w="20" w:type="dxa"/>
            </w:tcMar>
            <w:vAlign w:val="bottom"/>
          </w:tcPr>
          <w:p w14:paraId="64A898EA"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98E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8EC"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8ED" w14:textId="77777777" w:rsidR="008D6614" w:rsidRDefault="008D6614">
            <w:pPr>
              <w:rPr>
                <w:rFonts w:ascii="宋体"/>
              </w:rPr>
            </w:pPr>
          </w:p>
        </w:tc>
        <w:tc>
          <w:tcPr>
            <w:tcW w:w="0" w:type="auto"/>
            <w:shd w:val="clear" w:color="auto" w:fill="FFFFFF"/>
            <w:tcMar>
              <w:right w:w="20" w:type="dxa"/>
            </w:tcMar>
            <w:vAlign w:val="bottom"/>
          </w:tcPr>
          <w:p w14:paraId="64A898EE"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98E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8F0"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8F1" w14:textId="77777777" w:rsidR="008D6614" w:rsidRDefault="008D6614">
            <w:pPr>
              <w:rPr>
                <w:rFonts w:ascii="宋体"/>
              </w:rPr>
            </w:pPr>
          </w:p>
        </w:tc>
        <w:tc>
          <w:tcPr>
            <w:tcW w:w="0" w:type="auto"/>
            <w:shd w:val="clear" w:color="auto" w:fill="FFFFFF"/>
            <w:tcMar>
              <w:right w:w="20" w:type="dxa"/>
            </w:tcMar>
            <w:vAlign w:val="bottom"/>
          </w:tcPr>
          <w:p w14:paraId="64A898F2"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98F3" w14:textId="77777777" w:rsidR="008D6614" w:rsidRDefault="00866AF2">
            <w:pPr>
              <w:jc w:val="right"/>
              <w:textAlignment w:val="bottom"/>
            </w:pPr>
            <w:r>
              <w:rPr>
                <w:rFonts w:ascii="Arial" w:eastAsia="宋体" w:hAnsi="Arial" w:cs="Arial"/>
                <w:color w:val="000000"/>
                <w:sz w:val="18"/>
                <w:szCs w:val="18"/>
              </w:rPr>
              <w:t>100 </w:t>
            </w:r>
          </w:p>
        </w:tc>
        <w:tc>
          <w:tcPr>
            <w:tcW w:w="0" w:type="auto"/>
            <w:shd w:val="clear" w:color="auto" w:fill="FFFFFF"/>
            <w:tcMar>
              <w:top w:w="40" w:type="dxa"/>
              <w:bottom w:w="40" w:type="dxa"/>
              <w:right w:w="20" w:type="dxa"/>
            </w:tcMar>
            <w:vAlign w:val="bottom"/>
          </w:tcPr>
          <w:p w14:paraId="64A898F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8F5" w14:textId="77777777" w:rsidR="008D6614" w:rsidRDefault="008D6614">
            <w:pPr>
              <w:rPr>
                <w:rFonts w:ascii="宋体"/>
              </w:rPr>
            </w:pPr>
          </w:p>
        </w:tc>
        <w:tc>
          <w:tcPr>
            <w:tcW w:w="0" w:type="auto"/>
            <w:shd w:val="clear" w:color="auto" w:fill="auto"/>
            <w:vAlign w:val="center"/>
          </w:tcPr>
          <w:p w14:paraId="64A898F6" w14:textId="77777777" w:rsidR="008D6614" w:rsidRDefault="008D6614">
            <w:pPr>
              <w:rPr>
                <w:rFonts w:ascii="宋体"/>
              </w:rPr>
            </w:pPr>
          </w:p>
        </w:tc>
        <w:tc>
          <w:tcPr>
            <w:tcW w:w="0" w:type="auto"/>
            <w:shd w:val="clear" w:color="auto" w:fill="auto"/>
            <w:vAlign w:val="center"/>
          </w:tcPr>
          <w:p w14:paraId="64A898F7" w14:textId="77777777" w:rsidR="008D6614" w:rsidRDefault="008D6614">
            <w:pPr>
              <w:rPr>
                <w:rFonts w:ascii="宋体"/>
              </w:rPr>
            </w:pPr>
          </w:p>
        </w:tc>
        <w:tc>
          <w:tcPr>
            <w:tcW w:w="0" w:type="auto"/>
            <w:shd w:val="clear" w:color="auto" w:fill="auto"/>
            <w:vAlign w:val="center"/>
          </w:tcPr>
          <w:p w14:paraId="64A898F8" w14:textId="77777777" w:rsidR="008D6614" w:rsidRDefault="008D6614">
            <w:pPr>
              <w:rPr>
                <w:rFonts w:ascii="宋体"/>
              </w:rPr>
            </w:pPr>
          </w:p>
        </w:tc>
        <w:tc>
          <w:tcPr>
            <w:tcW w:w="0" w:type="auto"/>
            <w:shd w:val="clear" w:color="auto" w:fill="auto"/>
            <w:vAlign w:val="center"/>
          </w:tcPr>
          <w:p w14:paraId="64A898F9" w14:textId="77777777" w:rsidR="008D6614" w:rsidRDefault="008D6614">
            <w:pPr>
              <w:rPr>
                <w:rFonts w:ascii="宋体"/>
              </w:rPr>
            </w:pPr>
          </w:p>
        </w:tc>
        <w:tc>
          <w:tcPr>
            <w:tcW w:w="0" w:type="auto"/>
            <w:shd w:val="clear" w:color="auto" w:fill="auto"/>
            <w:vAlign w:val="center"/>
          </w:tcPr>
          <w:p w14:paraId="64A898FA" w14:textId="77777777" w:rsidR="008D6614" w:rsidRDefault="008D6614">
            <w:pPr>
              <w:rPr>
                <w:rFonts w:ascii="宋体"/>
              </w:rPr>
            </w:pPr>
          </w:p>
        </w:tc>
        <w:tc>
          <w:tcPr>
            <w:tcW w:w="0" w:type="auto"/>
            <w:shd w:val="clear" w:color="auto" w:fill="auto"/>
            <w:vAlign w:val="center"/>
          </w:tcPr>
          <w:p w14:paraId="64A898FB" w14:textId="77777777" w:rsidR="008D6614" w:rsidRDefault="008D6614">
            <w:pPr>
              <w:rPr>
                <w:rFonts w:ascii="宋体"/>
              </w:rPr>
            </w:pPr>
          </w:p>
        </w:tc>
        <w:tc>
          <w:tcPr>
            <w:tcW w:w="0" w:type="auto"/>
            <w:shd w:val="clear" w:color="auto" w:fill="auto"/>
            <w:vAlign w:val="center"/>
          </w:tcPr>
          <w:p w14:paraId="64A898FC" w14:textId="77777777" w:rsidR="008D6614" w:rsidRDefault="008D6614">
            <w:pPr>
              <w:rPr>
                <w:rFonts w:ascii="宋体"/>
              </w:rPr>
            </w:pPr>
          </w:p>
        </w:tc>
        <w:tc>
          <w:tcPr>
            <w:tcW w:w="0" w:type="auto"/>
            <w:shd w:val="clear" w:color="auto" w:fill="auto"/>
            <w:vAlign w:val="center"/>
          </w:tcPr>
          <w:p w14:paraId="64A898FD" w14:textId="77777777" w:rsidR="008D6614" w:rsidRDefault="008D6614">
            <w:pPr>
              <w:rPr>
                <w:rFonts w:ascii="宋体"/>
              </w:rPr>
            </w:pPr>
          </w:p>
        </w:tc>
        <w:tc>
          <w:tcPr>
            <w:tcW w:w="0" w:type="auto"/>
            <w:shd w:val="clear" w:color="auto" w:fill="auto"/>
            <w:vAlign w:val="center"/>
          </w:tcPr>
          <w:p w14:paraId="64A898FE" w14:textId="77777777" w:rsidR="008D6614" w:rsidRDefault="008D6614">
            <w:pPr>
              <w:rPr>
                <w:rFonts w:ascii="宋体"/>
              </w:rPr>
            </w:pPr>
          </w:p>
        </w:tc>
        <w:tc>
          <w:tcPr>
            <w:tcW w:w="0" w:type="auto"/>
            <w:shd w:val="clear" w:color="auto" w:fill="auto"/>
            <w:vAlign w:val="center"/>
          </w:tcPr>
          <w:p w14:paraId="64A898FF" w14:textId="77777777" w:rsidR="008D6614" w:rsidRDefault="008D6614">
            <w:pPr>
              <w:rPr>
                <w:rFonts w:ascii="宋体"/>
              </w:rPr>
            </w:pPr>
          </w:p>
        </w:tc>
        <w:tc>
          <w:tcPr>
            <w:tcW w:w="0" w:type="auto"/>
            <w:shd w:val="clear" w:color="auto" w:fill="auto"/>
            <w:vAlign w:val="center"/>
          </w:tcPr>
          <w:p w14:paraId="64A89900" w14:textId="77777777" w:rsidR="008D6614" w:rsidRDefault="008D6614">
            <w:pPr>
              <w:rPr>
                <w:rFonts w:ascii="宋体"/>
              </w:rPr>
            </w:pPr>
          </w:p>
        </w:tc>
        <w:tc>
          <w:tcPr>
            <w:tcW w:w="0" w:type="auto"/>
            <w:shd w:val="clear" w:color="auto" w:fill="auto"/>
            <w:vAlign w:val="center"/>
          </w:tcPr>
          <w:p w14:paraId="64A89901" w14:textId="77777777" w:rsidR="008D6614" w:rsidRDefault="008D6614">
            <w:pPr>
              <w:rPr>
                <w:rFonts w:ascii="宋体"/>
              </w:rPr>
            </w:pPr>
          </w:p>
        </w:tc>
        <w:tc>
          <w:tcPr>
            <w:tcW w:w="0" w:type="auto"/>
            <w:shd w:val="clear" w:color="auto" w:fill="auto"/>
            <w:vAlign w:val="center"/>
          </w:tcPr>
          <w:p w14:paraId="64A89902" w14:textId="77777777" w:rsidR="008D6614" w:rsidRDefault="008D6614">
            <w:pPr>
              <w:rPr>
                <w:rFonts w:ascii="宋体"/>
              </w:rPr>
            </w:pPr>
          </w:p>
        </w:tc>
        <w:tc>
          <w:tcPr>
            <w:tcW w:w="0" w:type="auto"/>
            <w:shd w:val="clear" w:color="auto" w:fill="auto"/>
            <w:vAlign w:val="center"/>
          </w:tcPr>
          <w:p w14:paraId="64A89903" w14:textId="77777777" w:rsidR="008D6614" w:rsidRDefault="008D6614">
            <w:pPr>
              <w:rPr>
                <w:rFonts w:ascii="宋体"/>
              </w:rPr>
            </w:pPr>
          </w:p>
        </w:tc>
        <w:tc>
          <w:tcPr>
            <w:tcW w:w="0" w:type="auto"/>
            <w:shd w:val="clear" w:color="auto" w:fill="auto"/>
            <w:vAlign w:val="center"/>
          </w:tcPr>
          <w:p w14:paraId="64A89904" w14:textId="77777777" w:rsidR="008D6614" w:rsidRDefault="008D6614">
            <w:pPr>
              <w:rPr>
                <w:rFonts w:ascii="宋体"/>
              </w:rPr>
            </w:pPr>
          </w:p>
        </w:tc>
        <w:tc>
          <w:tcPr>
            <w:tcW w:w="0" w:type="auto"/>
            <w:shd w:val="clear" w:color="auto" w:fill="auto"/>
            <w:vAlign w:val="center"/>
          </w:tcPr>
          <w:p w14:paraId="64A89905" w14:textId="77777777" w:rsidR="008D6614" w:rsidRDefault="008D6614">
            <w:pPr>
              <w:rPr>
                <w:rFonts w:ascii="宋体"/>
              </w:rPr>
            </w:pPr>
          </w:p>
        </w:tc>
        <w:tc>
          <w:tcPr>
            <w:tcW w:w="0" w:type="auto"/>
            <w:shd w:val="clear" w:color="auto" w:fill="auto"/>
            <w:vAlign w:val="center"/>
          </w:tcPr>
          <w:p w14:paraId="64A89906" w14:textId="77777777" w:rsidR="008D6614" w:rsidRDefault="008D6614">
            <w:pPr>
              <w:rPr>
                <w:rFonts w:ascii="宋体"/>
              </w:rPr>
            </w:pPr>
          </w:p>
        </w:tc>
      </w:tr>
      <w:tr w:rsidR="008D6614" w14:paraId="64A89922" w14:textId="77777777">
        <w:trPr>
          <w:hidden/>
        </w:trPr>
        <w:tc>
          <w:tcPr>
            <w:tcW w:w="0" w:type="auto"/>
            <w:gridSpan w:val="3"/>
            <w:shd w:val="clear" w:color="auto" w:fill="auto"/>
            <w:vAlign w:val="center"/>
          </w:tcPr>
          <w:p w14:paraId="64A89908" w14:textId="77777777" w:rsidR="008D6614" w:rsidRDefault="008D6614">
            <w:pPr>
              <w:rPr>
                <w:rFonts w:ascii="宋体"/>
                <w:vanish/>
              </w:rPr>
            </w:pPr>
          </w:p>
        </w:tc>
        <w:tc>
          <w:tcPr>
            <w:tcW w:w="0" w:type="auto"/>
            <w:gridSpan w:val="3"/>
            <w:shd w:val="clear" w:color="auto" w:fill="auto"/>
            <w:vAlign w:val="center"/>
          </w:tcPr>
          <w:p w14:paraId="64A89909" w14:textId="77777777" w:rsidR="008D6614" w:rsidRDefault="008D6614">
            <w:pPr>
              <w:rPr>
                <w:rFonts w:ascii="宋体"/>
                <w:vanish/>
              </w:rPr>
            </w:pPr>
          </w:p>
        </w:tc>
        <w:tc>
          <w:tcPr>
            <w:tcW w:w="0" w:type="auto"/>
            <w:gridSpan w:val="3"/>
            <w:shd w:val="clear" w:color="auto" w:fill="auto"/>
            <w:vAlign w:val="center"/>
          </w:tcPr>
          <w:p w14:paraId="64A8990A" w14:textId="77777777" w:rsidR="008D6614" w:rsidRDefault="008D6614">
            <w:pPr>
              <w:rPr>
                <w:rFonts w:ascii="宋体"/>
                <w:vanish/>
              </w:rPr>
            </w:pPr>
          </w:p>
        </w:tc>
        <w:tc>
          <w:tcPr>
            <w:tcW w:w="0" w:type="auto"/>
            <w:gridSpan w:val="3"/>
            <w:shd w:val="clear" w:color="auto" w:fill="auto"/>
            <w:vAlign w:val="center"/>
          </w:tcPr>
          <w:p w14:paraId="64A8990B" w14:textId="77777777" w:rsidR="008D6614" w:rsidRDefault="008D6614">
            <w:pPr>
              <w:rPr>
                <w:rFonts w:ascii="宋体"/>
                <w:vanish/>
              </w:rPr>
            </w:pPr>
          </w:p>
        </w:tc>
        <w:tc>
          <w:tcPr>
            <w:tcW w:w="0" w:type="auto"/>
            <w:gridSpan w:val="3"/>
            <w:shd w:val="clear" w:color="auto" w:fill="auto"/>
            <w:vAlign w:val="center"/>
          </w:tcPr>
          <w:p w14:paraId="64A8990C" w14:textId="77777777" w:rsidR="008D6614" w:rsidRDefault="008D6614">
            <w:pPr>
              <w:rPr>
                <w:rFonts w:ascii="宋体"/>
                <w:vanish/>
              </w:rPr>
            </w:pPr>
          </w:p>
        </w:tc>
        <w:tc>
          <w:tcPr>
            <w:tcW w:w="0" w:type="auto"/>
            <w:gridSpan w:val="3"/>
            <w:shd w:val="clear" w:color="auto" w:fill="auto"/>
            <w:vAlign w:val="center"/>
          </w:tcPr>
          <w:p w14:paraId="64A8990D" w14:textId="77777777" w:rsidR="008D6614" w:rsidRDefault="008D6614">
            <w:pPr>
              <w:rPr>
                <w:rFonts w:ascii="宋体"/>
                <w:vanish/>
              </w:rPr>
            </w:pPr>
          </w:p>
        </w:tc>
        <w:tc>
          <w:tcPr>
            <w:tcW w:w="0" w:type="auto"/>
            <w:gridSpan w:val="3"/>
            <w:shd w:val="clear" w:color="auto" w:fill="auto"/>
            <w:vAlign w:val="center"/>
          </w:tcPr>
          <w:p w14:paraId="64A8990E" w14:textId="77777777" w:rsidR="008D6614" w:rsidRDefault="008D6614">
            <w:pPr>
              <w:rPr>
                <w:rFonts w:ascii="宋体"/>
                <w:vanish/>
              </w:rPr>
            </w:pPr>
          </w:p>
        </w:tc>
        <w:tc>
          <w:tcPr>
            <w:tcW w:w="0" w:type="auto"/>
            <w:gridSpan w:val="3"/>
            <w:shd w:val="clear" w:color="auto" w:fill="auto"/>
            <w:vAlign w:val="center"/>
          </w:tcPr>
          <w:p w14:paraId="64A8990F" w14:textId="77777777" w:rsidR="008D6614" w:rsidRDefault="008D6614">
            <w:pPr>
              <w:rPr>
                <w:rFonts w:ascii="宋体"/>
                <w:vanish/>
              </w:rPr>
            </w:pPr>
          </w:p>
        </w:tc>
        <w:tc>
          <w:tcPr>
            <w:tcW w:w="0" w:type="auto"/>
            <w:shd w:val="clear" w:color="auto" w:fill="auto"/>
            <w:vAlign w:val="center"/>
          </w:tcPr>
          <w:p w14:paraId="64A89910" w14:textId="77777777" w:rsidR="008D6614" w:rsidRDefault="008D6614">
            <w:pPr>
              <w:rPr>
                <w:rFonts w:ascii="宋体"/>
              </w:rPr>
            </w:pPr>
          </w:p>
        </w:tc>
        <w:tc>
          <w:tcPr>
            <w:tcW w:w="0" w:type="auto"/>
            <w:shd w:val="clear" w:color="auto" w:fill="auto"/>
            <w:vAlign w:val="center"/>
          </w:tcPr>
          <w:p w14:paraId="64A89911" w14:textId="77777777" w:rsidR="008D6614" w:rsidRDefault="008D6614">
            <w:pPr>
              <w:rPr>
                <w:rFonts w:ascii="宋体"/>
              </w:rPr>
            </w:pPr>
          </w:p>
        </w:tc>
        <w:tc>
          <w:tcPr>
            <w:tcW w:w="0" w:type="auto"/>
            <w:shd w:val="clear" w:color="auto" w:fill="auto"/>
            <w:vAlign w:val="center"/>
          </w:tcPr>
          <w:p w14:paraId="64A89912" w14:textId="77777777" w:rsidR="008D6614" w:rsidRDefault="008D6614">
            <w:pPr>
              <w:rPr>
                <w:rFonts w:ascii="宋体"/>
              </w:rPr>
            </w:pPr>
          </w:p>
        </w:tc>
        <w:tc>
          <w:tcPr>
            <w:tcW w:w="0" w:type="auto"/>
            <w:shd w:val="clear" w:color="auto" w:fill="auto"/>
            <w:vAlign w:val="center"/>
          </w:tcPr>
          <w:p w14:paraId="64A89913" w14:textId="77777777" w:rsidR="008D6614" w:rsidRDefault="008D6614">
            <w:pPr>
              <w:rPr>
                <w:rFonts w:ascii="宋体"/>
              </w:rPr>
            </w:pPr>
          </w:p>
        </w:tc>
        <w:tc>
          <w:tcPr>
            <w:tcW w:w="0" w:type="auto"/>
            <w:shd w:val="clear" w:color="auto" w:fill="auto"/>
            <w:vAlign w:val="center"/>
          </w:tcPr>
          <w:p w14:paraId="64A89914" w14:textId="77777777" w:rsidR="008D6614" w:rsidRDefault="008D6614">
            <w:pPr>
              <w:rPr>
                <w:rFonts w:ascii="宋体"/>
              </w:rPr>
            </w:pPr>
          </w:p>
        </w:tc>
        <w:tc>
          <w:tcPr>
            <w:tcW w:w="0" w:type="auto"/>
            <w:shd w:val="clear" w:color="auto" w:fill="auto"/>
            <w:vAlign w:val="center"/>
          </w:tcPr>
          <w:p w14:paraId="64A89915" w14:textId="77777777" w:rsidR="008D6614" w:rsidRDefault="008D6614">
            <w:pPr>
              <w:rPr>
                <w:rFonts w:ascii="宋体"/>
              </w:rPr>
            </w:pPr>
          </w:p>
        </w:tc>
        <w:tc>
          <w:tcPr>
            <w:tcW w:w="0" w:type="auto"/>
            <w:shd w:val="clear" w:color="auto" w:fill="auto"/>
            <w:vAlign w:val="center"/>
          </w:tcPr>
          <w:p w14:paraId="64A89916" w14:textId="77777777" w:rsidR="008D6614" w:rsidRDefault="008D6614">
            <w:pPr>
              <w:rPr>
                <w:rFonts w:ascii="宋体"/>
              </w:rPr>
            </w:pPr>
          </w:p>
        </w:tc>
        <w:tc>
          <w:tcPr>
            <w:tcW w:w="0" w:type="auto"/>
            <w:shd w:val="clear" w:color="auto" w:fill="auto"/>
            <w:vAlign w:val="center"/>
          </w:tcPr>
          <w:p w14:paraId="64A89917" w14:textId="77777777" w:rsidR="008D6614" w:rsidRDefault="008D6614">
            <w:pPr>
              <w:rPr>
                <w:rFonts w:ascii="宋体"/>
              </w:rPr>
            </w:pPr>
          </w:p>
        </w:tc>
        <w:tc>
          <w:tcPr>
            <w:tcW w:w="0" w:type="auto"/>
            <w:shd w:val="clear" w:color="auto" w:fill="auto"/>
            <w:vAlign w:val="center"/>
          </w:tcPr>
          <w:p w14:paraId="64A89918" w14:textId="77777777" w:rsidR="008D6614" w:rsidRDefault="008D6614">
            <w:pPr>
              <w:rPr>
                <w:rFonts w:ascii="宋体"/>
              </w:rPr>
            </w:pPr>
          </w:p>
        </w:tc>
        <w:tc>
          <w:tcPr>
            <w:tcW w:w="0" w:type="auto"/>
            <w:shd w:val="clear" w:color="auto" w:fill="auto"/>
            <w:vAlign w:val="center"/>
          </w:tcPr>
          <w:p w14:paraId="64A89919" w14:textId="77777777" w:rsidR="008D6614" w:rsidRDefault="008D6614">
            <w:pPr>
              <w:rPr>
                <w:rFonts w:ascii="宋体"/>
              </w:rPr>
            </w:pPr>
          </w:p>
        </w:tc>
        <w:tc>
          <w:tcPr>
            <w:tcW w:w="0" w:type="auto"/>
            <w:shd w:val="clear" w:color="auto" w:fill="auto"/>
            <w:vAlign w:val="center"/>
          </w:tcPr>
          <w:p w14:paraId="64A8991A" w14:textId="77777777" w:rsidR="008D6614" w:rsidRDefault="008D6614">
            <w:pPr>
              <w:rPr>
                <w:rFonts w:ascii="宋体"/>
              </w:rPr>
            </w:pPr>
          </w:p>
        </w:tc>
        <w:tc>
          <w:tcPr>
            <w:tcW w:w="0" w:type="auto"/>
            <w:shd w:val="clear" w:color="auto" w:fill="auto"/>
            <w:vAlign w:val="center"/>
          </w:tcPr>
          <w:p w14:paraId="64A8991B" w14:textId="77777777" w:rsidR="008D6614" w:rsidRDefault="008D6614">
            <w:pPr>
              <w:rPr>
                <w:rFonts w:ascii="宋体"/>
              </w:rPr>
            </w:pPr>
          </w:p>
        </w:tc>
        <w:tc>
          <w:tcPr>
            <w:tcW w:w="0" w:type="auto"/>
            <w:shd w:val="clear" w:color="auto" w:fill="auto"/>
            <w:vAlign w:val="center"/>
          </w:tcPr>
          <w:p w14:paraId="64A8991C" w14:textId="77777777" w:rsidR="008D6614" w:rsidRDefault="008D6614">
            <w:pPr>
              <w:rPr>
                <w:rFonts w:ascii="宋体"/>
              </w:rPr>
            </w:pPr>
          </w:p>
        </w:tc>
        <w:tc>
          <w:tcPr>
            <w:tcW w:w="0" w:type="auto"/>
            <w:shd w:val="clear" w:color="auto" w:fill="auto"/>
            <w:vAlign w:val="center"/>
          </w:tcPr>
          <w:p w14:paraId="64A8991D" w14:textId="77777777" w:rsidR="008D6614" w:rsidRDefault="008D6614">
            <w:pPr>
              <w:rPr>
                <w:rFonts w:ascii="宋体"/>
              </w:rPr>
            </w:pPr>
          </w:p>
        </w:tc>
        <w:tc>
          <w:tcPr>
            <w:tcW w:w="0" w:type="auto"/>
            <w:shd w:val="clear" w:color="auto" w:fill="auto"/>
            <w:vAlign w:val="center"/>
          </w:tcPr>
          <w:p w14:paraId="64A8991E" w14:textId="77777777" w:rsidR="008D6614" w:rsidRDefault="008D6614">
            <w:pPr>
              <w:rPr>
                <w:rFonts w:ascii="宋体"/>
              </w:rPr>
            </w:pPr>
          </w:p>
        </w:tc>
        <w:tc>
          <w:tcPr>
            <w:tcW w:w="0" w:type="auto"/>
            <w:shd w:val="clear" w:color="auto" w:fill="auto"/>
            <w:vAlign w:val="center"/>
          </w:tcPr>
          <w:p w14:paraId="64A8991F" w14:textId="77777777" w:rsidR="008D6614" w:rsidRDefault="008D6614">
            <w:pPr>
              <w:rPr>
                <w:rFonts w:ascii="宋体"/>
              </w:rPr>
            </w:pPr>
          </w:p>
        </w:tc>
        <w:tc>
          <w:tcPr>
            <w:tcW w:w="0" w:type="auto"/>
            <w:shd w:val="clear" w:color="auto" w:fill="auto"/>
            <w:vAlign w:val="center"/>
          </w:tcPr>
          <w:p w14:paraId="64A89920" w14:textId="77777777" w:rsidR="008D6614" w:rsidRDefault="008D6614">
            <w:pPr>
              <w:rPr>
                <w:rFonts w:ascii="宋体"/>
              </w:rPr>
            </w:pPr>
          </w:p>
        </w:tc>
        <w:tc>
          <w:tcPr>
            <w:tcW w:w="0" w:type="auto"/>
            <w:shd w:val="clear" w:color="auto" w:fill="auto"/>
            <w:vAlign w:val="center"/>
          </w:tcPr>
          <w:p w14:paraId="64A89921" w14:textId="77777777" w:rsidR="008D6614" w:rsidRDefault="008D6614">
            <w:pPr>
              <w:rPr>
                <w:rFonts w:ascii="宋体"/>
              </w:rPr>
            </w:pPr>
          </w:p>
        </w:tc>
      </w:tr>
      <w:tr w:rsidR="008D6614" w14:paraId="64A8993D" w14:textId="77777777">
        <w:trPr>
          <w:hidden/>
        </w:trPr>
        <w:tc>
          <w:tcPr>
            <w:tcW w:w="0" w:type="auto"/>
            <w:gridSpan w:val="3"/>
            <w:shd w:val="clear" w:color="auto" w:fill="auto"/>
            <w:vAlign w:val="center"/>
          </w:tcPr>
          <w:p w14:paraId="64A89923" w14:textId="77777777" w:rsidR="008D6614" w:rsidRDefault="008D6614">
            <w:pPr>
              <w:rPr>
                <w:rFonts w:ascii="宋体"/>
                <w:vanish/>
              </w:rPr>
            </w:pPr>
          </w:p>
        </w:tc>
        <w:tc>
          <w:tcPr>
            <w:tcW w:w="0" w:type="auto"/>
            <w:gridSpan w:val="3"/>
            <w:shd w:val="clear" w:color="auto" w:fill="auto"/>
            <w:vAlign w:val="center"/>
          </w:tcPr>
          <w:p w14:paraId="64A89924" w14:textId="77777777" w:rsidR="008D6614" w:rsidRDefault="008D6614">
            <w:pPr>
              <w:rPr>
                <w:rFonts w:ascii="宋体"/>
                <w:vanish/>
              </w:rPr>
            </w:pPr>
          </w:p>
        </w:tc>
        <w:tc>
          <w:tcPr>
            <w:tcW w:w="0" w:type="auto"/>
            <w:gridSpan w:val="3"/>
            <w:shd w:val="clear" w:color="auto" w:fill="auto"/>
            <w:vAlign w:val="center"/>
          </w:tcPr>
          <w:p w14:paraId="64A89925" w14:textId="77777777" w:rsidR="008D6614" w:rsidRDefault="008D6614">
            <w:pPr>
              <w:rPr>
                <w:rFonts w:ascii="宋体"/>
                <w:vanish/>
              </w:rPr>
            </w:pPr>
          </w:p>
        </w:tc>
        <w:tc>
          <w:tcPr>
            <w:tcW w:w="0" w:type="auto"/>
            <w:gridSpan w:val="3"/>
            <w:shd w:val="clear" w:color="auto" w:fill="auto"/>
            <w:vAlign w:val="center"/>
          </w:tcPr>
          <w:p w14:paraId="64A89926" w14:textId="77777777" w:rsidR="008D6614" w:rsidRDefault="008D6614">
            <w:pPr>
              <w:rPr>
                <w:rFonts w:ascii="宋体"/>
                <w:vanish/>
              </w:rPr>
            </w:pPr>
          </w:p>
        </w:tc>
        <w:tc>
          <w:tcPr>
            <w:tcW w:w="0" w:type="auto"/>
            <w:gridSpan w:val="3"/>
            <w:shd w:val="clear" w:color="auto" w:fill="auto"/>
            <w:vAlign w:val="center"/>
          </w:tcPr>
          <w:p w14:paraId="64A89927" w14:textId="77777777" w:rsidR="008D6614" w:rsidRDefault="008D6614">
            <w:pPr>
              <w:rPr>
                <w:rFonts w:ascii="宋体"/>
                <w:vanish/>
              </w:rPr>
            </w:pPr>
          </w:p>
        </w:tc>
        <w:tc>
          <w:tcPr>
            <w:tcW w:w="0" w:type="auto"/>
            <w:gridSpan w:val="3"/>
            <w:shd w:val="clear" w:color="auto" w:fill="auto"/>
            <w:vAlign w:val="center"/>
          </w:tcPr>
          <w:p w14:paraId="64A89928" w14:textId="77777777" w:rsidR="008D6614" w:rsidRDefault="008D6614">
            <w:pPr>
              <w:rPr>
                <w:rFonts w:ascii="宋体"/>
                <w:vanish/>
              </w:rPr>
            </w:pPr>
          </w:p>
        </w:tc>
        <w:tc>
          <w:tcPr>
            <w:tcW w:w="0" w:type="auto"/>
            <w:gridSpan w:val="3"/>
            <w:shd w:val="clear" w:color="auto" w:fill="auto"/>
            <w:vAlign w:val="center"/>
          </w:tcPr>
          <w:p w14:paraId="64A89929" w14:textId="77777777" w:rsidR="008D6614" w:rsidRDefault="008D6614">
            <w:pPr>
              <w:rPr>
                <w:rFonts w:ascii="宋体"/>
                <w:vanish/>
              </w:rPr>
            </w:pPr>
          </w:p>
        </w:tc>
        <w:tc>
          <w:tcPr>
            <w:tcW w:w="0" w:type="auto"/>
            <w:gridSpan w:val="3"/>
            <w:shd w:val="clear" w:color="auto" w:fill="auto"/>
            <w:vAlign w:val="center"/>
          </w:tcPr>
          <w:p w14:paraId="64A8992A" w14:textId="77777777" w:rsidR="008D6614" w:rsidRDefault="008D6614">
            <w:pPr>
              <w:rPr>
                <w:rFonts w:ascii="宋体"/>
                <w:vanish/>
              </w:rPr>
            </w:pPr>
          </w:p>
        </w:tc>
        <w:tc>
          <w:tcPr>
            <w:tcW w:w="0" w:type="auto"/>
            <w:shd w:val="clear" w:color="auto" w:fill="auto"/>
            <w:vAlign w:val="center"/>
          </w:tcPr>
          <w:p w14:paraId="64A8992B" w14:textId="77777777" w:rsidR="008D6614" w:rsidRDefault="008D6614">
            <w:pPr>
              <w:rPr>
                <w:rFonts w:ascii="宋体"/>
              </w:rPr>
            </w:pPr>
          </w:p>
        </w:tc>
        <w:tc>
          <w:tcPr>
            <w:tcW w:w="0" w:type="auto"/>
            <w:shd w:val="clear" w:color="auto" w:fill="auto"/>
            <w:vAlign w:val="center"/>
          </w:tcPr>
          <w:p w14:paraId="64A8992C" w14:textId="77777777" w:rsidR="008D6614" w:rsidRDefault="008D6614">
            <w:pPr>
              <w:rPr>
                <w:rFonts w:ascii="宋体"/>
              </w:rPr>
            </w:pPr>
          </w:p>
        </w:tc>
        <w:tc>
          <w:tcPr>
            <w:tcW w:w="0" w:type="auto"/>
            <w:shd w:val="clear" w:color="auto" w:fill="auto"/>
            <w:vAlign w:val="center"/>
          </w:tcPr>
          <w:p w14:paraId="64A8992D" w14:textId="77777777" w:rsidR="008D6614" w:rsidRDefault="008D6614">
            <w:pPr>
              <w:rPr>
                <w:rFonts w:ascii="宋体"/>
              </w:rPr>
            </w:pPr>
          </w:p>
        </w:tc>
        <w:tc>
          <w:tcPr>
            <w:tcW w:w="0" w:type="auto"/>
            <w:shd w:val="clear" w:color="auto" w:fill="auto"/>
            <w:vAlign w:val="center"/>
          </w:tcPr>
          <w:p w14:paraId="64A8992E" w14:textId="77777777" w:rsidR="008D6614" w:rsidRDefault="008D6614">
            <w:pPr>
              <w:rPr>
                <w:rFonts w:ascii="宋体"/>
              </w:rPr>
            </w:pPr>
          </w:p>
        </w:tc>
        <w:tc>
          <w:tcPr>
            <w:tcW w:w="0" w:type="auto"/>
            <w:shd w:val="clear" w:color="auto" w:fill="auto"/>
            <w:vAlign w:val="center"/>
          </w:tcPr>
          <w:p w14:paraId="64A8992F" w14:textId="77777777" w:rsidR="008D6614" w:rsidRDefault="008D6614">
            <w:pPr>
              <w:rPr>
                <w:rFonts w:ascii="宋体"/>
              </w:rPr>
            </w:pPr>
          </w:p>
        </w:tc>
        <w:tc>
          <w:tcPr>
            <w:tcW w:w="0" w:type="auto"/>
            <w:shd w:val="clear" w:color="auto" w:fill="auto"/>
            <w:vAlign w:val="center"/>
          </w:tcPr>
          <w:p w14:paraId="64A89930" w14:textId="77777777" w:rsidR="008D6614" w:rsidRDefault="008D6614">
            <w:pPr>
              <w:rPr>
                <w:rFonts w:ascii="宋体"/>
              </w:rPr>
            </w:pPr>
          </w:p>
        </w:tc>
        <w:tc>
          <w:tcPr>
            <w:tcW w:w="0" w:type="auto"/>
            <w:shd w:val="clear" w:color="auto" w:fill="auto"/>
            <w:vAlign w:val="center"/>
          </w:tcPr>
          <w:p w14:paraId="64A89931" w14:textId="77777777" w:rsidR="008D6614" w:rsidRDefault="008D6614">
            <w:pPr>
              <w:rPr>
                <w:rFonts w:ascii="宋体"/>
              </w:rPr>
            </w:pPr>
          </w:p>
        </w:tc>
        <w:tc>
          <w:tcPr>
            <w:tcW w:w="0" w:type="auto"/>
            <w:shd w:val="clear" w:color="auto" w:fill="auto"/>
            <w:vAlign w:val="center"/>
          </w:tcPr>
          <w:p w14:paraId="64A89932" w14:textId="77777777" w:rsidR="008D6614" w:rsidRDefault="008D6614">
            <w:pPr>
              <w:rPr>
                <w:rFonts w:ascii="宋体"/>
              </w:rPr>
            </w:pPr>
          </w:p>
        </w:tc>
        <w:tc>
          <w:tcPr>
            <w:tcW w:w="0" w:type="auto"/>
            <w:shd w:val="clear" w:color="auto" w:fill="auto"/>
            <w:vAlign w:val="center"/>
          </w:tcPr>
          <w:p w14:paraId="64A89933" w14:textId="77777777" w:rsidR="008D6614" w:rsidRDefault="008D6614">
            <w:pPr>
              <w:rPr>
                <w:rFonts w:ascii="宋体"/>
              </w:rPr>
            </w:pPr>
          </w:p>
        </w:tc>
        <w:tc>
          <w:tcPr>
            <w:tcW w:w="0" w:type="auto"/>
            <w:shd w:val="clear" w:color="auto" w:fill="auto"/>
            <w:vAlign w:val="center"/>
          </w:tcPr>
          <w:p w14:paraId="64A89934" w14:textId="77777777" w:rsidR="008D6614" w:rsidRDefault="008D6614">
            <w:pPr>
              <w:rPr>
                <w:rFonts w:ascii="宋体"/>
              </w:rPr>
            </w:pPr>
          </w:p>
        </w:tc>
        <w:tc>
          <w:tcPr>
            <w:tcW w:w="0" w:type="auto"/>
            <w:shd w:val="clear" w:color="auto" w:fill="auto"/>
            <w:vAlign w:val="center"/>
          </w:tcPr>
          <w:p w14:paraId="64A89935" w14:textId="77777777" w:rsidR="008D6614" w:rsidRDefault="008D6614">
            <w:pPr>
              <w:rPr>
                <w:rFonts w:ascii="宋体"/>
              </w:rPr>
            </w:pPr>
          </w:p>
        </w:tc>
        <w:tc>
          <w:tcPr>
            <w:tcW w:w="0" w:type="auto"/>
            <w:shd w:val="clear" w:color="auto" w:fill="auto"/>
            <w:vAlign w:val="center"/>
          </w:tcPr>
          <w:p w14:paraId="64A89936" w14:textId="77777777" w:rsidR="008D6614" w:rsidRDefault="008D6614">
            <w:pPr>
              <w:rPr>
                <w:rFonts w:ascii="宋体"/>
              </w:rPr>
            </w:pPr>
          </w:p>
        </w:tc>
        <w:tc>
          <w:tcPr>
            <w:tcW w:w="0" w:type="auto"/>
            <w:shd w:val="clear" w:color="auto" w:fill="auto"/>
            <w:vAlign w:val="center"/>
          </w:tcPr>
          <w:p w14:paraId="64A89937" w14:textId="77777777" w:rsidR="008D6614" w:rsidRDefault="008D6614">
            <w:pPr>
              <w:rPr>
                <w:rFonts w:ascii="宋体"/>
              </w:rPr>
            </w:pPr>
          </w:p>
        </w:tc>
        <w:tc>
          <w:tcPr>
            <w:tcW w:w="0" w:type="auto"/>
            <w:shd w:val="clear" w:color="auto" w:fill="auto"/>
            <w:vAlign w:val="center"/>
          </w:tcPr>
          <w:p w14:paraId="64A89938" w14:textId="77777777" w:rsidR="008D6614" w:rsidRDefault="008D6614">
            <w:pPr>
              <w:rPr>
                <w:rFonts w:ascii="宋体"/>
              </w:rPr>
            </w:pPr>
          </w:p>
        </w:tc>
        <w:tc>
          <w:tcPr>
            <w:tcW w:w="0" w:type="auto"/>
            <w:shd w:val="clear" w:color="auto" w:fill="auto"/>
            <w:vAlign w:val="center"/>
          </w:tcPr>
          <w:p w14:paraId="64A89939" w14:textId="77777777" w:rsidR="008D6614" w:rsidRDefault="008D6614">
            <w:pPr>
              <w:rPr>
                <w:rFonts w:ascii="宋体"/>
              </w:rPr>
            </w:pPr>
          </w:p>
        </w:tc>
        <w:tc>
          <w:tcPr>
            <w:tcW w:w="0" w:type="auto"/>
            <w:shd w:val="clear" w:color="auto" w:fill="auto"/>
            <w:vAlign w:val="center"/>
          </w:tcPr>
          <w:p w14:paraId="64A8993A" w14:textId="77777777" w:rsidR="008D6614" w:rsidRDefault="008D6614">
            <w:pPr>
              <w:rPr>
                <w:rFonts w:ascii="宋体"/>
              </w:rPr>
            </w:pPr>
          </w:p>
        </w:tc>
        <w:tc>
          <w:tcPr>
            <w:tcW w:w="0" w:type="auto"/>
            <w:shd w:val="clear" w:color="auto" w:fill="auto"/>
            <w:vAlign w:val="center"/>
          </w:tcPr>
          <w:p w14:paraId="64A8993B" w14:textId="77777777" w:rsidR="008D6614" w:rsidRDefault="008D6614">
            <w:pPr>
              <w:rPr>
                <w:rFonts w:ascii="宋体"/>
              </w:rPr>
            </w:pPr>
          </w:p>
        </w:tc>
        <w:tc>
          <w:tcPr>
            <w:tcW w:w="0" w:type="auto"/>
            <w:shd w:val="clear" w:color="auto" w:fill="auto"/>
            <w:vAlign w:val="center"/>
          </w:tcPr>
          <w:p w14:paraId="64A8993C" w14:textId="77777777" w:rsidR="008D6614" w:rsidRDefault="008D6614">
            <w:pPr>
              <w:rPr>
                <w:rFonts w:ascii="宋体"/>
              </w:rPr>
            </w:pPr>
          </w:p>
        </w:tc>
      </w:tr>
      <w:tr w:rsidR="008D6614" w14:paraId="64A89963" w14:textId="77777777">
        <w:tc>
          <w:tcPr>
            <w:tcW w:w="0" w:type="auto"/>
            <w:gridSpan w:val="3"/>
            <w:shd w:val="clear" w:color="auto" w:fill="E2E2E2"/>
            <w:tcMar>
              <w:left w:w="20" w:type="dxa"/>
              <w:right w:w="20" w:type="dxa"/>
            </w:tcMar>
            <w:vAlign w:val="bottom"/>
          </w:tcPr>
          <w:p w14:paraId="64A8993E"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93F"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940" w14:textId="77777777" w:rsidR="008D6614" w:rsidRDefault="00866AF2">
            <w:pPr>
              <w:jc w:val="right"/>
              <w:textAlignment w:val="bottom"/>
            </w:pPr>
            <w:r>
              <w:rPr>
                <w:rFonts w:ascii="Arial" w:eastAsia="宋体" w:hAnsi="Arial" w:cs="Arial"/>
                <w:color w:val="000000"/>
                <w:sz w:val="18"/>
                <w:szCs w:val="18"/>
              </w:rPr>
              <w:t>3,555 </w:t>
            </w:r>
          </w:p>
        </w:tc>
        <w:tc>
          <w:tcPr>
            <w:tcW w:w="0" w:type="auto"/>
            <w:tcBorders>
              <w:top w:val="single" w:sz="8" w:space="0" w:color="000000"/>
            </w:tcBorders>
            <w:shd w:val="clear" w:color="auto" w:fill="E2E2E2"/>
            <w:tcMar>
              <w:top w:w="40" w:type="dxa"/>
              <w:bottom w:w="40" w:type="dxa"/>
              <w:right w:w="20" w:type="dxa"/>
            </w:tcMar>
            <w:vAlign w:val="bottom"/>
          </w:tcPr>
          <w:p w14:paraId="64A89941"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942" w14:textId="77777777" w:rsidR="008D6614" w:rsidRDefault="008D6614">
            <w:pPr>
              <w:rPr>
                <w:rFonts w:ascii="宋体"/>
              </w:rPr>
            </w:pPr>
          </w:p>
        </w:tc>
        <w:tc>
          <w:tcPr>
            <w:tcW w:w="0" w:type="auto"/>
            <w:shd w:val="clear" w:color="auto" w:fill="E2E2E2"/>
            <w:tcMar>
              <w:right w:w="20" w:type="dxa"/>
            </w:tcMar>
            <w:vAlign w:val="bottom"/>
          </w:tcPr>
          <w:p w14:paraId="64A89943" w14:textId="77777777" w:rsidR="008D6614" w:rsidRDefault="008D6614">
            <w:pPr>
              <w:jc w:val="right"/>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944"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945" w14:textId="77777777" w:rsidR="008D6614" w:rsidRDefault="00866AF2">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bottom w:w="40" w:type="dxa"/>
              <w:right w:w="20" w:type="dxa"/>
            </w:tcMar>
            <w:vAlign w:val="bottom"/>
          </w:tcPr>
          <w:p w14:paraId="64A89946"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947" w14:textId="77777777" w:rsidR="008D6614" w:rsidRDefault="008D6614">
            <w:pPr>
              <w:rPr>
                <w:rFonts w:ascii="宋体"/>
              </w:rPr>
            </w:pPr>
          </w:p>
        </w:tc>
        <w:tc>
          <w:tcPr>
            <w:tcW w:w="0" w:type="auto"/>
            <w:shd w:val="clear" w:color="auto" w:fill="E2E2E2"/>
            <w:tcMar>
              <w:right w:w="20" w:type="dxa"/>
            </w:tcMar>
            <w:vAlign w:val="bottom"/>
          </w:tcPr>
          <w:p w14:paraId="64A89948" w14:textId="77777777" w:rsidR="008D6614" w:rsidRDefault="008D6614">
            <w:pPr>
              <w:jc w:val="right"/>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94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94A" w14:textId="77777777" w:rsidR="008D6614" w:rsidRDefault="00866AF2">
            <w:pPr>
              <w:jc w:val="right"/>
              <w:textAlignment w:val="bottom"/>
            </w:pPr>
            <w:r>
              <w:rPr>
                <w:rFonts w:ascii="Arial" w:eastAsia="宋体" w:hAnsi="Arial" w:cs="Arial"/>
                <w:color w:val="000000"/>
                <w:sz w:val="18"/>
                <w:szCs w:val="18"/>
              </w:rPr>
              <w:t>(6)</w:t>
            </w:r>
          </w:p>
        </w:tc>
        <w:tc>
          <w:tcPr>
            <w:tcW w:w="0" w:type="auto"/>
            <w:tcBorders>
              <w:top w:val="single" w:sz="8" w:space="0" w:color="000000"/>
            </w:tcBorders>
            <w:shd w:val="clear" w:color="auto" w:fill="E2E2E2"/>
            <w:tcMar>
              <w:top w:w="40" w:type="dxa"/>
              <w:bottom w:w="40" w:type="dxa"/>
              <w:right w:w="20" w:type="dxa"/>
            </w:tcMar>
            <w:vAlign w:val="bottom"/>
          </w:tcPr>
          <w:p w14:paraId="64A8994B"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94C" w14:textId="77777777" w:rsidR="008D6614" w:rsidRDefault="008D6614">
            <w:pPr>
              <w:rPr>
                <w:rFonts w:ascii="宋体"/>
              </w:rPr>
            </w:pPr>
          </w:p>
        </w:tc>
        <w:tc>
          <w:tcPr>
            <w:tcW w:w="0" w:type="auto"/>
            <w:shd w:val="clear" w:color="auto" w:fill="E2E2E2"/>
            <w:tcMar>
              <w:right w:w="20" w:type="dxa"/>
            </w:tcMar>
            <w:vAlign w:val="bottom"/>
          </w:tcPr>
          <w:p w14:paraId="64A8994D" w14:textId="77777777" w:rsidR="008D6614" w:rsidRDefault="008D6614">
            <w:pPr>
              <w:jc w:val="right"/>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94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94F" w14:textId="77777777" w:rsidR="008D6614" w:rsidRDefault="00866AF2">
            <w:pPr>
              <w:jc w:val="right"/>
              <w:textAlignment w:val="bottom"/>
            </w:pPr>
            <w:r>
              <w:rPr>
                <w:rFonts w:ascii="Arial" w:eastAsia="宋体" w:hAnsi="Arial" w:cs="Arial"/>
                <w:color w:val="000000"/>
                <w:sz w:val="18"/>
                <w:szCs w:val="18"/>
              </w:rPr>
              <w:t>3,550 </w:t>
            </w:r>
          </w:p>
        </w:tc>
        <w:tc>
          <w:tcPr>
            <w:tcW w:w="0" w:type="auto"/>
            <w:tcBorders>
              <w:top w:val="single" w:sz="8" w:space="0" w:color="000000"/>
            </w:tcBorders>
            <w:shd w:val="clear" w:color="auto" w:fill="E2E2E2"/>
            <w:tcMar>
              <w:top w:w="40" w:type="dxa"/>
              <w:bottom w:w="40" w:type="dxa"/>
              <w:right w:w="20" w:type="dxa"/>
            </w:tcMar>
            <w:vAlign w:val="bottom"/>
          </w:tcPr>
          <w:p w14:paraId="64A8995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951" w14:textId="77777777" w:rsidR="008D6614" w:rsidRDefault="008D6614">
            <w:pPr>
              <w:rPr>
                <w:rFonts w:ascii="宋体"/>
              </w:rPr>
            </w:pPr>
          </w:p>
        </w:tc>
        <w:tc>
          <w:tcPr>
            <w:tcW w:w="0" w:type="auto"/>
            <w:shd w:val="clear" w:color="auto" w:fill="auto"/>
            <w:vAlign w:val="center"/>
          </w:tcPr>
          <w:p w14:paraId="64A89952" w14:textId="77777777" w:rsidR="008D6614" w:rsidRDefault="008D6614">
            <w:pPr>
              <w:rPr>
                <w:rFonts w:ascii="宋体"/>
              </w:rPr>
            </w:pPr>
          </w:p>
        </w:tc>
        <w:tc>
          <w:tcPr>
            <w:tcW w:w="0" w:type="auto"/>
            <w:shd w:val="clear" w:color="auto" w:fill="auto"/>
            <w:vAlign w:val="center"/>
          </w:tcPr>
          <w:p w14:paraId="64A89953" w14:textId="77777777" w:rsidR="008D6614" w:rsidRDefault="008D6614">
            <w:pPr>
              <w:rPr>
                <w:rFonts w:ascii="宋体"/>
              </w:rPr>
            </w:pPr>
          </w:p>
        </w:tc>
        <w:tc>
          <w:tcPr>
            <w:tcW w:w="0" w:type="auto"/>
            <w:shd w:val="clear" w:color="auto" w:fill="auto"/>
            <w:vAlign w:val="center"/>
          </w:tcPr>
          <w:p w14:paraId="64A89954" w14:textId="77777777" w:rsidR="008D6614" w:rsidRDefault="008D6614">
            <w:pPr>
              <w:rPr>
                <w:rFonts w:ascii="宋体"/>
              </w:rPr>
            </w:pPr>
          </w:p>
        </w:tc>
        <w:tc>
          <w:tcPr>
            <w:tcW w:w="0" w:type="auto"/>
            <w:shd w:val="clear" w:color="auto" w:fill="auto"/>
            <w:vAlign w:val="center"/>
          </w:tcPr>
          <w:p w14:paraId="64A89955" w14:textId="77777777" w:rsidR="008D6614" w:rsidRDefault="008D6614">
            <w:pPr>
              <w:rPr>
                <w:rFonts w:ascii="宋体"/>
              </w:rPr>
            </w:pPr>
          </w:p>
        </w:tc>
        <w:tc>
          <w:tcPr>
            <w:tcW w:w="0" w:type="auto"/>
            <w:shd w:val="clear" w:color="auto" w:fill="auto"/>
            <w:vAlign w:val="center"/>
          </w:tcPr>
          <w:p w14:paraId="64A89956" w14:textId="77777777" w:rsidR="008D6614" w:rsidRDefault="008D6614">
            <w:pPr>
              <w:rPr>
                <w:rFonts w:ascii="宋体"/>
              </w:rPr>
            </w:pPr>
          </w:p>
        </w:tc>
        <w:tc>
          <w:tcPr>
            <w:tcW w:w="0" w:type="auto"/>
            <w:shd w:val="clear" w:color="auto" w:fill="auto"/>
            <w:vAlign w:val="center"/>
          </w:tcPr>
          <w:p w14:paraId="64A89957" w14:textId="77777777" w:rsidR="008D6614" w:rsidRDefault="008D6614">
            <w:pPr>
              <w:rPr>
                <w:rFonts w:ascii="宋体"/>
              </w:rPr>
            </w:pPr>
          </w:p>
        </w:tc>
        <w:tc>
          <w:tcPr>
            <w:tcW w:w="0" w:type="auto"/>
            <w:shd w:val="clear" w:color="auto" w:fill="auto"/>
            <w:vAlign w:val="center"/>
          </w:tcPr>
          <w:p w14:paraId="64A89958" w14:textId="77777777" w:rsidR="008D6614" w:rsidRDefault="008D6614">
            <w:pPr>
              <w:rPr>
                <w:rFonts w:ascii="宋体"/>
              </w:rPr>
            </w:pPr>
          </w:p>
        </w:tc>
        <w:tc>
          <w:tcPr>
            <w:tcW w:w="0" w:type="auto"/>
            <w:shd w:val="clear" w:color="auto" w:fill="auto"/>
            <w:vAlign w:val="center"/>
          </w:tcPr>
          <w:p w14:paraId="64A89959" w14:textId="77777777" w:rsidR="008D6614" w:rsidRDefault="008D6614">
            <w:pPr>
              <w:rPr>
                <w:rFonts w:ascii="宋体"/>
              </w:rPr>
            </w:pPr>
          </w:p>
        </w:tc>
        <w:tc>
          <w:tcPr>
            <w:tcW w:w="0" w:type="auto"/>
            <w:shd w:val="clear" w:color="auto" w:fill="auto"/>
            <w:vAlign w:val="center"/>
          </w:tcPr>
          <w:p w14:paraId="64A8995A" w14:textId="77777777" w:rsidR="008D6614" w:rsidRDefault="008D6614">
            <w:pPr>
              <w:rPr>
                <w:rFonts w:ascii="宋体"/>
              </w:rPr>
            </w:pPr>
          </w:p>
        </w:tc>
        <w:tc>
          <w:tcPr>
            <w:tcW w:w="0" w:type="auto"/>
            <w:shd w:val="clear" w:color="auto" w:fill="auto"/>
            <w:vAlign w:val="center"/>
          </w:tcPr>
          <w:p w14:paraId="64A8995B" w14:textId="77777777" w:rsidR="008D6614" w:rsidRDefault="008D6614">
            <w:pPr>
              <w:rPr>
                <w:rFonts w:ascii="宋体"/>
              </w:rPr>
            </w:pPr>
          </w:p>
        </w:tc>
        <w:tc>
          <w:tcPr>
            <w:tcW w:w="0" w:type="auto"/>
            <w:shd w:val="clear" w:color="auto" w:fill="auto"/>
            <w:vAlign w:val="center"/>
          </w:tcPr>
          <w:p w14:paraId="64A8995C" w14:textId="77777777" w:rsidR="008D6614" w:rsidRDefault="008D6614">
            <w:pPr>
              <w:rPr>
                <w:rFonts w:ascii="宋体"/>
              </w:rPr>
            </w:pPr>
          </w:p>
        </w:tc>
        <w:tc>
          <w:tcPr>
            <w:tcW w:w="0" w:type="auto"/>
            <w:shd w:val="clear" w:color="auto" w:fill="auto"/>
            <w:vAlign w:val="center"/>
          </w:tcPr>
          <w:p w14:paraId="64A8995D" w14:textId="77777777" w:rsidR="008D6614" w:rsidRDefault="008D6614">
            <w:pPr>
              <w:rPr>
                <w:rFonts w:ascii="宋体"/>
              </w:rPr>
            </w:pPr>
          </w:p>
        </w:tc>
        <w:tc>
          <w:tcPr>
            <w:tcW w:w="0" w:type="auto"/>
            <w:shd w:val="clear" w:color="auto" w:fill="auto"/>
            <w:vAlign w:val="center"/>
          </w:tcPr>
          <w:p w14:paraId="64A8995E" w14:textId="77777777" w:rsidR="008D6614" w:rsidRDefault="008D6614">
            <w:pPr>
              <w:rPr>
                <w:rFonts w:ascii="宋体"/>
              </w:rPr>
            </w:pPr>
          </w:p>
        </w:tc>
        <w:tc>
          <w:tcPr>
            <w:tcW w:w="0" w:type="auto"/>
            <w:shd w:val="clear" w:color="auto" w:fill="auto"/>
            <w:vAlign w:val="center"/>
          </w:tcPr>
          <w:p w14:paraId="64A8995F" w14:textId="77777777" w:rsidR="008D6614" w:rsidRDefault="008D6614">
            <w:pPr>
              <w:rPr>
                <w:rFonts w:ascii="宋体"/>
              </w:rPr>
            </w:pPr>
          </w:p>
        </w:tc>
        <w:tc>
          <w:tcPr>
            <w:tcW w:w="0" w:type="auto"/>
            <w:shd w:val="clear" w:color="auto" w:fill="auto"/>
            <w:vAlign w:val="center"/>
          </w:tcPr>
          <w:p w14:paraId="64A89960" w14:textId="77777777" w:rsidR="008D6614" w:rsidRDefault="008D6614">
            <w:pPr>
              <w:rPr>
                <w:rFonts w:ascii="宋体"/>
              </w:rPr>
            </w:pPr>
          </w:p>
        </w:tc>
        <w:tc>
          <w:tcPr>
            <w:tcW w:w="0" w:type="auto"/>
            <w:shd w:val="clear" w:color="auto" w:fill="auto"/>
            <w:vAlign w:val="center"/>
          </w:tcPr>
          <w:p w14:paraId="64A89961" w14:textId="77777777" w:rsidR="008D6614" w:rsidRDefault="008D6614">
            <w:pPr>
              <w:rPr>
                <w:rFonts w:ascii="宋体"/>
              </w:rPr>
            </w:pPr>
          </w:p>
        </w:tc>
        <w:tc>
          <w:tcPr>
            <w:tcW w:w="0" w:type="auto"/>
            <w:shd w:val="clear" w:color="auto" w:fill="auto"/>
            <w:vAlign w:val="center"/>
          </w:tcPr>
          <w:p w14:paraId="64A89962" w14:textId="77777777" w:rsidR="008D6614" w:rsidRDefault="008D6614">
            <w:pPr>
              <w:rPr>
                <w:rFonts w:ascii="宋体"/>
              </w:rPr>
            </w:pPr>
          </w:p>
        </w:tc>
      </w:tr>
      <w:tr w:rsidR="008D6614" w14:paraId="64A89981" w14:textId="77777777">
        <w:tc>
          <w:tcPr>
            <w:tcW w:w="0" w:type="auto"/>
            <w:gridSpan w:val="3"/>
            <w:shd w:val="clear" w:color="auto" w:fill="FFFFFF"/>
            <w:tcMar>
              <w:top w:w="40" w:type="dxa"/>
              <w:left w:w="20" w:type="dxa"/>
              <w:bottom w:w="40" w:type="dxa"/>
              <w:right w:w="20" w:type="dxa"/>
            </w:tcMar>
            <w:vAlign w:val="bottom"/>
          </w:tcPr>
          <w:p w14:paraId="64A89964" w14:textId="77777777" w:rsidR="008D6614" w:rsidRDefault="00866AF2">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left w:w="20" w:type="dxa"/>
              <w:right w:w="20" w:type="dxa"/>
            </w:tcMar>
            <w:vAlign w:val="bottom"/>
          </w:tcPr>
          <w:p w14:paraId="64A89965"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9966" w14:textId="77777777" w:rsidR="008D6614" w:rsidRDefault="008D6614">
            <w:pPr>
              <w:rPr>
                <w:rFonts w:ascii="宋体"/>
              </w:rPr>
            </w:pPr>
          </w:p>
        </w:tc>
        <w:tc>
          <w:tcPr>
            <w:tcW w:w="0" w:type="auto"/>
            <w:shd w:val="clear" w:color="auto" w:fill="FFFFFF"/>
            <w:tcMar>
              <w:right w:w="20" w:type="dxa"/>
            </w:tcMar>
            <w:vAlign w:val="bottom"/>
          </w:tcPr>
          <w:p w14:paraId="64A89967" w14:textId="77777777" w:rsidR="008D6614" w:rsidRDefault="008D6614">
            <w:pPr>
              <w:jc w:val="right"/>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9968"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9969" w14:textId="77777777" w:rsidR="008D6614" w:rsidRDefault="008D6614">
            <w:pPr>
              <w:rPr>
                <w:rFonts w:ascii="宋体"/>
              </w:rPr>
            </w:pPr>
          </w:p>
        </w:tc>
        <w:tc>
          <w:tcPr>
            <w:tcW w:w="0" w:type="auto"/>
            <w:shd w:val="clear" w:color="auto" w:fill="FFFFFF"/>
            <w:tcMar>
              <w:right w:w="20" w:type="dxa"/>
            </w:tcMar>
            <w:vAlign w:val="bottom"/>
          </w:tcPr>
          <w:p w14:paraId="64A8996A" w14:textId="77777777" w:rsidR="008D6614" w:rsidRDefault="008D6614">
            <w:pPr>
              <w:jc w:val="right"/>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996B"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996C" w14:textId="77777777" w:rsidR="008D6614" w:rsidRDefault="008D6614">
            <w:pPr>
              <w:rPr>
                <w:rFonts w:ascii="宋体"/>
              </w:rPr>
            </w:pPr>
          </w:p>
        </w:tc>
        <w:tc>
          <w:tcPr>
            <w:tcW w:w="0" w:type="auto"/>
            <w:shd w:val="clear" w:color="auto" w:fill="FFFFFF"/>
            <w:tcMar>
              <w:right w:w="20" w:type="dxa"/>
            </w:tcMar>
            <w:vAlign w:val="bottom"/>
          </w:tcPr>
          <w:p w14:paraId="64A8996D" w14:textId="77777777" w:rsidR="008D6614" w:rsidRDefault="008D6614">
            <w:pPr>
              <w:jc w:val="right"/>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996E" w14:textId="77777777" w:rsidR="008D6614" w:rsidRDefault="008D6614">
            <w:pPr>
              <w:rPr>
                <w:rFonts w:ascii="宋体"/>
              </w:rPr>
            </w:pPr>
          </w:p>
        </w:tc>
        <w:tc>
          <w:tcPr>
            <w:tcW w:w="0" w:type="auto"/>
            <w:shd w:val="clear" w:color="auto" w:fill="auto"/>
            <w:vAlign w:val="center"/>
          </w:tcPr>
          <w:p w14:paraId="64A8996F" w14:textId="77777777" w:rsidR="008D6614" w:rsidRDefault="008D6614">
            <w:pPr>
              <w:rPr>
                <w:rFonts w:ascii="宋体"/>
              </w:rPr>
            </w:pPr>
          </w:p>
        </w:tc>
        <w:tc>
          <w:tcPr>
            <w:tcW w:w="0" w:type="auto"/>
            <w:shd w:val="clear" w:color="auto" w:fill="auto"/>
            <w:vAlign w:val="center"/>
          </w:tcPr>
          <w:p w14:paraId="64A89970" w14:textId="77777777" w:rsidR="008D6614" w:rsidRDefault="008D6614">
            <w:pPr>
              <w:rPr>
                <w:rFonts w:ascii="宋体"/>
              </w:rPr>
            </w:pPr>
          </w:p>
        </w:tc>
        <w:tc>
          <w:tcPr>
            <w:tcW w:w="0" w:type="auto"/>
            <w:shd w:val="clear" w:color="auto" w:fill="auto"/>
            <w:vAlign w:val="center"/>
          </w:tcPr>
          <w:p w14:paraId="64A89971" w14:textId="77777777" w:rsidR="008D6614" w:rsidRDefault="008D6614">
            <w:pPr>
              <w:rPr>
                <w:rFonts w:ascii="宋体"/>
              </w:rPr>
            </w:pPr>
          </w:p>
        </w:tc>
        <w:tc>
          <w:tcPr>
            <w:tcW w:w="0" w:type="auto"/>
            <w:shd w:val="clear" w:color="auto" w:fill="auto"/>
            <w:vAlign w:val="center"/>
          </w:tcPr>
          <w:p w14:paraId="64A89972" w14:textId="77777777" w:rsidR="008D6614" w:rsidRDefault="008D6614">
            <w:pPr>
              <w:rPr>
                <w:rFonts w:ascii="宋体"/>
              </w:rPr>
            </w:pPr>
          </w:p>
        </w:tc>
        <w:tc>
          <w:tcPr>
            <w:tcW w:w="0" w:type="auto"/>
            <w:shd w:val="clear" w:color="auto" w:fill="auto"/>
            <w:vAlign w:val="center"/>
          </w:tcPr>
          <w:p w14:paraId="64A89973" w14:textId="77777777" w:rsidR="008D6614" w:rsidRDefault="008D6614">
            <w:pPr>
              <w:rPr>
                <w:rFonts w:ascii="宋体"/>
              </w:rPr>
            </w:pPr>
          </w:p>
        </w:tc>
        <w:tc>
          <w:tcPr>
            <w:tcW w:w="0" w:type="auto"/>
            <w:shd w:val="clear" w:color="auto" w:fill="auto"/>
            <w:vAlign w:val="center"/>
          </w:tcPr>
          <w:p w14:paraId="64A89974" w14:textId="77777777" w:rsidR="008D6614" w:rsidRDefault="008D6614">
            <w:pPr>
              <w:rPr>
                <w:rFonts w:ascii="宋体"/>
              </w:rPr>
            </w:pPr>
          </w:p>
        </w:tc>
        <w:tc>
          <w:tcPr>
            <w:tcW w:w="0" w:type="auto"/>
            <w:shd w:val="clear" w:color="auto" w:fill="auto"/>
            <w:vAlign w:val="center"/>
          </w:tcPr>
          <w:p w14:paraId="64A89975" w14:textId="77777777" w:rsidR="008D6614" w:rsidRDefault="008D6614">
            <w:pPr>
              <w:rPr>
                <w:rFonts w:ascii="宋体"/>
              </w:rPr>
            </w:pPr>
          </w:p>
        </w:tc>
        <w:tc>
          <w:tcPr>
            <w:tcW w:w="0" w:type="auto"/>
            <w:shd w:val="clear" w:color="auto" w:fill="auto"/>
            <w:vAlign w:val="center"/>
          </w:tcPr>
          <w:p w14:paraId="64A89976" w14:textId="77777777" w:rsidR="008D6614" w:rsidRDefault="008D6614">
            <w:pPr>
              <w:rPr>
                <w:rFonts w:ascii="宋体"/>
              </w:rPr>
            </w:pPr>
          </w:p>
        </w:tc>
        <w:tc>
          <w:tcPr>
            <w:tcW w:w="0" w:type="auto"/>
            <w:shd w:val="clear" w:color="auto" w:fill="auto"/>
            <w:vAlign w:val="center"/>
          </w:tcPr>
          <w:p w14:paraId="64A89977" w14:textId="77777777" w:rsidR="008D6614" w:rsidRDefault="008D6614">
            <w:pPr>
              <w:rPr>
                <w:rFonts w:ascii="宋体"/>
              </w:rPr>
            </w:pPr>
          </w:p>
        </w:tc>
        <w:tc>
          <w:tcPr>
            <w:tcW w:w="0" w:type="auto"/>
            <w:shd w:val="clear" w:color="auto" w:fill="auto"/>
            <w:vAlign w:val="center"/>
          </w:tcPr>
          <w:p w14:paraId="64A89978" w14:textId="77777777" w:rsidR="008D6614" w:rsidRDefault="008D6614">
            <w:pPr>
              <w:rPr>
                <w:rFonts w:ascii="宋体"/>
              </w:rPr>
            </w:pPr>
          </w:p>
        </w:tc>
        <w:tc>
          <w:tcPr>
            <w:tcW w:w="0" w:type="auto"/>
            <w:shd w:val="clear" w:color="auto" w:fill="auto"/>
            <w:vAlign w:val="center"/>
          </w:tcPr>
          <w:p w14:paraId="64A89979" w14:textId="77777777" w:rsidR="008D6614" w:rsidRDefault="008D6614">
            <w:pPr>
              <w:rPr>
                <w:rFonts w:ascii="宋体"/>
              </w:rPr>
            </w:pPr>
          </w:p>
        </w:tc>
        <w:tc>
          <w:tcPr>
            <w:tcW w:w="0" w:type="auto"/>
            <w:shd w:val="clear" w:color="auto" w:fill="auto"/>
            <w:vAlign w:val="center"/>
          </w:tcPr>
          <w:p w14:paraId="64A8997A" w14:textId="77777777" w:rsidR="008D6614" w:rsidRDefault="008D6614">
            <w:pPr>
              <w:rPr>
                <w:rFonts w:ascii="宋体"/>
              </w:rPr>
            </w:pPr>
          </w:p>
        </w:tc>
        <w:tc>
          <w:tcPr>
            <w:tcW w:w="0" w:type="auto"/>
            <w:shd w:val="clear" w:color="auto" w:fill="auto"/>
            <w:vAlign w:val="center"/>
          </w:tcPr>
          <w:p w14:paraId="64A8997B" w14:textId="77777777" w:rsidR="008D6614" w:rsidRDefault="008D6614">
            <w:pPr>
              <w:rPr>
                <w:rFonts w:ascii="宋体"/>
              </w:rPr>
            </w:pPr>
          </w:p>
        </w:tc>
        <w:tc>
          <w:tcPr>
            <w:tcW w:w="0" w:type="auto"/>
            <w:shd w:val="clear" w:color="auto" w:fill="auto"/>
            <w:vAlign w:val="center"/>
          </w:tcPr>
          <w:p w14:paraId="64A8997C" w14:textId="77777777" w:rsidR="008D6614" w:rsidRDefault="008D6614">
            <w:pPr>
              <w:rPr>
                <w:rFonts w:ascii="宋体"/>
              </w:rPr>
            </w:pPr>
          </w:p>
        </w:tc>
        <w:tc>
          <w:tcPr>
            <w:tcW w:w="0" w:type="auto"/>
            <w:shd w:val="clear" w:color="auto" w:fill="auto"/>
            <w:vAlign w:val="center"/>
          </w:tcPr>
          <w:p w14:paraId="64A8997D" w14:textId="77777777" w:rsidR="008D6614" w:rsidRDefault="008D6614">
            <w:pPr>
              <w:rPr>
                <w:rFonts w:ascii="宋体"/>
              </w:rPr>
            </w:pPr>
          </w:p>
        </w:tc>
        <w:tc>
          <w:tcPr>
            <w:tcW w:w="0" w:type="auto"/>
            <w:shd w:val="clear" w:color="auto" w:fill="auto"/>
            <w:vAlign w:val="center"/>
          </w:tcPr>
          <w:p w14:paraId="64A8997E" w14:textId="77777777" w:rsidR="008D6614" w:rsidRDefault="008D6614">
            <w:pPr>
              <w:rPr>
                <w:rFonts w:ascii="宋体"/>
              </w:rPr>
            </w:pPr>
          </w:p>
        </w:tc>
        <w:tc>
          <w:tcPr>
            <w:tcW w:w="0" w:type="auto"/>
            <w:shd w:val="clear" w:color="auto" w:fill="auto"/>
            <w:vAlign w:val="center"/>
          </w:tcPr>
          <w:p w14:paraId="64A8997F" w14:textId="77777777" w:rsidR="008D6614" w:rsidRDefault="008D6614">
            <w:pPr>
              <w:rPr>
                <w:rFonts w:ascii="宋体"/>
              </w:rPr>
            </w:pPr>
          </w:p>
        </w:tc>
        <w:tc>
          <w:tcPr>
            <w:tcW w:w="0" w:type="auto"/>
            <w:shd w:val="clear" w:color="auto" w:fill="auto"/>
            <w:vAlign w:val="center"/>
          </w:tcPr>
          <w:p w14:paraId="64A89980" w14:textId="77777777" w:rsidR="008D6614" w:rsidRDefault="008D6614">
            <w:pPr>
              <w:rPr>
                <w:rFonts w:ascii="宋体"/>
              </w:rPr>
            </w:pPr>
          </w:p>
        </w:tc>
      </w:tr>
      <w:tr w:rsidR="008D6614" w14:paraId="64A899A3" w14:textId="77777777">
        <w:tc>
          <w:tcPr>
            <w:tcW w:w="0" w:type="auto"/>
            <w:gridSpan w:val="3"/>
            <w:shd w:val="clear" w:color="auto" w:fill="E2E2E2"/>
            <w:tcMar>
              <w:top w:w="40" w:type="dxa"/>
              <w:left w:w="225" w:type="dxa"/>
              <w:bottom w:w="40" w:type="dxa"/>
              <w:right w:w="20" w:type="dxa"/>
            </w:tcMar>
            <w:vAlign w:val="bottom"/>
          </w:tcPr>
          <w:p w14:paraId="64A89982" w14:textId="77777777" w:rsidR="008D6614" w:rsidRDefault="00866AF2">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A89983" w14:textId="77777777" w:rsidR="008D6614" w:rsidRDefault="00866AF2">
            <w:pPr>
              <w:jc w:val="right"/>
              <w:textAlignment w:val="bottom"/>
            </w:pPr>
            <w:r>
              <w:rPr>
                <w:rFonts w:ascii="Arial" w:eastAsia="宋体" w:hAnsi="Arial" w:cs="Arial"/>
                <w:color w:val="000000"/>
                <w:sz w:val="18"/>
                <w:szCs w:val="18"/>
              </w:rPr>
              <w:t>765 </w:t>
            </w:r>
          </w:p>
        </w:tc>
        <w:tc>
          <w:tcPr>
            <w:tcW w:w="0" w:type="auto"/>
            <w:shd w:val="clear" w:color="auto" w:fill="E2E2E2"/>
            <w:tcMar>
              <w:top w:w="40" w:type="dxa"/>
              <w:bottom w:w="40" w:type="dxa"/>
              <w:right w:w="20" w:type="dxa"/>
            </w:tcMar>
            <w:vAlign w:val="bottom"/>
          </w:tcPr>
          <w:p w14:paraId="64A89984"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985" w14:textId="77777777" w:rsidR="008D6614" w:rsidRDefault="008D6614">
            <w:pPr>
              <w:rPr>
                <w:rFonts w:ascii="宋体"/>
              </w:rPr>
            </w:pPr>
          </w:p>
        </w:tc>
        <w:tc>
          <w:tcPr>
            <w:tcW w:w="0" w:type="auto"/>
            <w:shd w:val="clear" w:color="auto" w:fill="E2E2E2"/>
            <w:tcMar>
              <w:right w:w="20" w:type="dxa"/>
            </w:tcMar>
            <w:vAlign w:val="bottom"/>
          </w:tcPr>
          <w:p w14:paraId="64A89986"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98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9988"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989" w14:textId="77777777" w:rsidR="008D6614" w:rsidRDefault="008D6614">
            <w:pPr>
              <w:rPr>
                <w:rFonts w:ascii="宋体"/>
              </w:rPr>
            </w:pPr>
          </w:p>
        </w:tc>
        <w:tc>
          <w:tcPr>
            <w:tcW w:w="0" w:type="auto"/>
            <w:shd w:val="clear" w:color="auto" w:fill="E2E2E2"/>
            <w:tcMar>
              <w:right w:w="20" w:type="dxa"/>
            </w:tcMar>
            <w:vAlign w:val="bottom"/>
          </w:tcPr>
          <w:p w14:paraId="64A8998A"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98B" w14:textId="77777777" w:rsidR="008D6614" w:rsidRDefault="00866AF2">
            <w:pPr>
              <w:jc w:val="right"/>
              <w:textAlignment w:val="bottom"/>
            </w:pPr>
            <w:r>
              <w:rPr>
                <w:rFonts w:ascii="Arial" w:eastAsia="宋体" w:hAnsi="Arial" w:cs="Arial"/>
                <w:color w:val="000000"/>
                <w:sz w:val="18"/>
                <w:szCs w:val="18"/>
              </w:rPr>
              <w:t>(21)</w:t>
            </w:r>
          </w:p>
        </w:tc>
        <w:tc>
          <w:tcPr>
            <w:tcW w:w="0" w:type="auto"/>
            <w:shd w:val="clear" w:color="auto" w:fill="E2E2E2"/>
            <w:tcMar>
              <w:top w:w="40" w:type="dxa"/>
              <w:bottom w:w="40" w:type="dxa"/>
              <w:right w:w="20" w:type="dxa"/>
            </w:tcMar>
            <w:vAlign w:val="bottom"/>
          </w:tcPr>
          <w:p w14:paraId="64A8998C"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98D" w14:textId="77777777" w:rsidR="008D6614" w:rsidRDefault="008D6614">
            <w:pPr>
              <w:rPr>
                <w:rFonts w:ascii="宋体"/>
              </w:rPr>
            </w:pPr>
          </w:p>
        </w:tc>
        <w:tc>
          <w:tcPr>
            <w:tcW w:w="0" w:type="auto"/>
            <w:shd w:val="clear" w:color="auto" w:fill="E2E2E2"/>
            <w:tcMar>
              <w:right w:w="20" w:type="dxa"/>
            </w:tcMar>
            <w:vAlign w:val="bottom"/>
          </w:tcPr>
          <w:p w14:paraId="64A8998E"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98F" w14:textId="77777777" w:rsidR="008D6614" w:rsidRDefault="00866AF2">
            <w:pPr>
              <w:jc w:val="right"/>
              <w:textAlignment w:val="bottom"/>
            </w:pPr>
            <w:r>
              <w:rPr>
                <w:rFonts w:ascii="Arial" w:eastAsia="宋体" w:hAnsi="Arial" w:cs="Arial"/>
                <w:color w:val="000000"/>
                <w:sz w:val="18"/>
                <w:szCs w:val="18"/>
              </w:rPr>
              <w:t>744 </w:t>
            </w:r>
          </w:p>
        </w:tc>
        <w:tc>
          <w:tcPr>
            <w:tcW w:w="0" w:type="auto"/>
            <w:shd w:val="clear" w:color="auto" w:fill="E2E2E2"/>
            <w:tcMar>
              <w:top w:w="40" w:type="dxa"/>
              <w:bottom w:w="40" w:type="dxa"/>
              <w:right w:w="20" w:type="dxa"/>
            </w:tcMar>
            <w:vAlign w:val="bottom"/>
          </w:tcPr>
          <w:p w14:paraId="64A8999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991" w14:textId="77777777" w:rsidR="008D6614" w:rsidRDefault="008D6614">
            <w:pPr>
              <w:rPr>
                <w:rFonts w:ascii="宋体"/>
              </w:rPr>
            </w:pPr>
          </w:p>
        </w:tc>
        <w:tc>
          <w:tcPr>
            <w:tcW w:w="0" w:type="auto"/>
            <w:shd w:val="clear" w:color="auto" w:fill="auto"/>
            <w:vAlign w:val="center"/>
          </w:tcPr>
          <w:p w14:paraId="64A89992" w14:textId="77777777" w:rsidR="008D6614" w:rsidRDefault="008D6614">
            <w:pPr>
              <w:rPr>
                <w:rFonts w:ascii="宋体"/>
              </w:rPr>
            </w:pPr>
          </w:p>
        </w:tc>
        <w:tc>
          <w:tcPr>
            <w:tcW w:w="0" w:type="auto"/>
            <w:shd w:val="clear" w:color="auto" w:fill="auto"/>
            <w:vAlign w:val="center"/>
          </w:tcPr>
          <w:p w14:paraId="64A89993" w14:textId="77777777" w:rsidR="008D6614" w:rsidRDefault="008D6614">
            <w:pPr>
              <w:rPr>
                <w:rFonts w:ascii="宋体"/>
              </w:rPr>
            </w:pPr>
          </w:p>
        </w:tc>
        <w:tc>
          <w:tcPr>
            <w:tcW w:w="0" w:type="auto"/>
            <w:shd w:val="clear" w:color="auto" w:fill="auto"/>
            <w:vAlign w:val="center"/>
          </w:tcPr>
          <w:p w14:paraId="64A89994" w14:textId="77777777" w:rsidR="008D6614" w:rsidRDefault="008D6614">
            <w:pPr>
              <w:rPr>
                <w:rFonts w:ascii="宋体"/>
              </w:rPr>
            </w:pPr>
          </w:p>
        </w:tc>
        <w:tc>
          <w:tcPr>
            <w:tcW w:w="0" w:type="auto"/>
            <w:shd w:val="clear" w:color="auto" w:fill="auto"/>
            <w:vAlign w:val="center"/>
          </w:tcPr>
          <w:p w14:paraId="64A89995" w14:textId="77777777" w:rsidR="008D6614" w:rsidRDefault="008D6614">
            <w:pPr>
              <w:rPr>
                <w:rFonts w:ascii="宋体"/>
              </w:rPr>
            </w:pPr>
          </w:p>
        </w:tc>
        <w:tc>
          <w:tcPr>
            <w:tcW w:w="0" w:type="auto"/>
            <w:shd w:val="clear" w:color="auto" w:fill="auto"/>
            <w:vAlign w:val="center"/>
          </w:tcPr>
          <w:p w14:paraId="64A89996" w14:textId="77777777" w:rsidR="008D6614" w:rsidRDefault="008D6614">
            <w:pPr>
              <w:rPr>
                <w:rFonts w:ascii="宋体"/>
              </w:rPr>
            </w:pPr>
          </w:p>
        </w:tc>
        <w:tc>
          <w:tcPr>
            <w:tcW w:w="0" w:type="auto"/>
            <w:shd w:val="clear" w:color="auto" w:fill="auto"/>
            <w:vAlign w:val="center"/>
          </w:tcPr>
          <w:p w14:paraId="64A89997" w14:textId="77777777" w:rsidR="008D6614" w:rsidRDefault="008D6614">
            <w:pPr>
              <w:rPr>
                <w:rFonts w:ascii="宋体"/>
              </w:rPr>
            </w:pPr>
          </w:p>
        </w:tc>
        <w:tc>
          <w:tcPr>
            <w:tcW w:w="0" w:type="auto"/>
            <w:shd w:val="clear" w:color="auto" w:fill="auto"/>
            <w:vAlign w:val="center"/>
          </w:tcPr>
          <w:p w14:paraId="64A89998" w14:textId="77777777" w:rsidR="008D6614" w:rsidRDefault="008D6614">
            <w:pPr>
              <w:rPr>
                <w:rFonts w:ascii="宋体"/>
              </w:rPr>
            </w:pPr>
          </w:p>
        </w:tc>
        <w:tc>
          <w:tcPr>
            <w:tcW w:w="0" w:type="auto"/>
            <w:shd w:val="clear" w:color="auto" w:fill="auto"/>
            <w:vAlign w:val="center"/>
          </w:tcPr>
          <w:p w14:paraId="64A89999" w14:textId="77777777" w:rsidR="008D6614" w:rsidRDefault="008D6614">
            <w:pPr>
              <w:rPr>
                <w:rFonts w:ascii="宋体"/>
              </w:rPr>
            </w:pPr>
          </w:p>
        </w:tc>
        <w:tc>
          <w:tcPr>
            <w:tcW w:w="0" w:type="auto"/>
            <w:shd w:val="clear" w:color="auto" w:fill="auto"/>
            <w:vAlign w:val="center"/>
          </w:tcPr>
          <w:p w14:paraId="64A8999A" w14:textId="77777777" w:rsidR="008D6614" w:rsidRDefault="008D6614">
            <w:pPr>
              <w:rPr>
                <w:rFonts w:ascii="宋体"/>
              </w:rPr>
            </w:pPr>
          </w:p>
        </w:tc>
        <w:tc>
          <w:tcPr>
            <w:tcW w:w="0" w:type="auto"/>
            <w:shd w:val="clear" w:color="auto" w:fill="auto"/>
            <w:vAlign w:val="center"/>
          </w:tcPr>
          <w:p w14:paraId="64A8999B" w14:textId="77777777" w:rsidR="008D6614" w:rsidRDefault="008D6614">
            <w:pPr>
              <w:rPr>
                <w:rFonts w:ascii="宋体"/>
              </w:rPr>
            </w:pPr>
          </w:p>
        </w:tc>
        <w:tc>
          <w:tcPr>
            <w:tcW w:w="0" w:type="auto"/>
            <w:shd w:val="clear" w:color="auto" w:fill="auto"/>
            <w:vAlign w:val="center"/>
          </w:tcPr>
          <w:p w14:paraId="64A8999C" w14:textId="77777777" w:rsidR="008D6614" w:rsidRDefault="008D6614">
            <w:pPr>
              <w:rPr>
                <w:rFonts w:ascii="宋体"/>
              </w:rPr>
            </w:pPr>
          </w:p>
        </w:tc>
        <w:tc>
          <w:tcPr>
            <w:tcW w:w="0" w:type="auto"/>
            <w:shd w:val="clear" w:color="auto" w:fill="auto"/>
            <w:vAlign w:val="center"/>
          </w:tcPr>
          <w:p w14:paraId="64A8999D" w14:textId="77777777" w:rsidR="008D6614" w:rsidRDefault="008D6614">
            <w:pPr>
              <w:rPr>
                <w:rFonts w:ascii="宋体"/>
              </w:rPr>
            </w:pPr>
          </w:p>
        </w:tc>
        <w:tc>
          <w:tcPr>
            <w:tcW w:w="0" w:type="auto"/>
            <w:shd w:val="clear" w:color="auto" w:fill="auto"/>
            <w:vAlign w:val="center"/>
          </w:tcPr>
          <w:p w14:paraId="64A8999E" w14:textId="77777777" w:rsidR="008D6614" w:rsidRDefault="008D6614">
            <w:pPr>
              <w:rPr>
                <w:rFonts w:ascii="宋体"/>
              </w:rPr>
            </w:pPr>
          </w:p>
        </w:tc>
        <w:tc>
          <w:tcPr>
            <w:tcW w:w="0" w:type="auto"/>
            <w:shd w:val="clear" w:color="auto" w:fill="auto"/>
            <w:vAlign w:val="center"/>
          </w:tcPr>
          <w:p w14:paraId="64A8999F" w14:textId="77777777" w:rsidR="008D6614" w:rsidRDefault="008D6614">
            <w:pPr>
              <w:rPr>
                <w:rFonts w:ascii="宋体"/>
              </w:rPr>
            </w:pPr>
          </w:p>
        </w:tc>
        <w:tc>
          <w:tcPr>
            <w:tcW w:w="0" w:type="auto"/>
            <w:shd w:val="clear" w:color="auto" w:fill="auto"/>
            <w:vAlign w:val="center"/>
          </w:tcPr>
          <w:p w14:paraId="64A899A0" w14:textId="77777777" w:rsidR="008D6614" w:rsidRDefault="008D6614">
            <w:pPr>
              <w:rPr>
                <w:rFonts w:ascii="宋体"/>
              </w:rPr>
            </w:pPr>
          </w:p>
        </w:tc>
        <w:tc>
          <w:tcPr>
            <w:tcW w:w="0" w:type="auto"/>
            <w:shd w:val="clear" w:color="auto" w:fill="auto"/>
            <w:vAlign w:val="center"/>
          </w:tcPr>
          <w:p w14:paraId="64A899A1" w14:textId="77777777" w:rsidR="008D6614" w:rsidRDefault="008D6614">
            <w:pPr>
              <w:rPr>
                <w:rFonts w:ascii="宋体"/>
              </w:rPr>
            </w:pPr>
          </w:p>
        </w:tc>
        <w:tc>
          <w:tcPr>
            <w:tcW w:w="0" w:type="auto"/>
            <w:shd w:val="clear" w:color="auto" w:fill="auto"/>
            <w:vAlign w:val="center"/>
          </w:tcPr>
          <w:p w14:paraId="64A899A2" w14:textId="77777777" w:rsidR="008D6614" w:rsidRDefault="008D6614">
            <w:pPr>
              <w:rPr>
                <w:rFonts w:ascii="宋体"/>
              </w:rPr>
            </w:pPr>
          </w:p>
        </w:tc>
      </w:tr>
      <w:tr w:rsidR="008D6614" w14:paraId="64A899BE" w14:textId="77777777">
        <w:trPr>
          <w:hidden/>
        </w:trPr>
        <w:tc>
          <w:tcPr>
            <w:tcW w:w="0" w:type="auto"/>
            <w:gridSpan w:val="3"/>
            <w:shd w:val="clear" w:color="auto" w:fill="auto"/>
            <w:vAlign w:val="center"/>
          </w:tcPr>
          <w:p w14:paraId="64A899A4" w14:textId="77777777" w:rsidR="008D6614" w:rsidRDefault="008D6614">
            <w:pPr>
              <w:rPr>
                <w:rFonts w:ascii="宋体"/>
                <w:vanish/>
              </w:rPr>
            </w:pPr>
          </w:p>
        </w:tc>
        <w:tc>
          <w:tcPr>
            <w:tcW w:w="0" w:type="auto"/>
            <w:gridSpan w:val="3"/>
            <w:shd w:val="clear" w:color="auto" w:fill="auto"/>
            <w:vAlign w:val="center"/>
          </w:tcPr>
          <w:p w14:paraId="64A899A5" w14:textId="77777777" w:rsidR="008D6614" w:rsidRDefault="008D6614">
            <w:pPr>
              <w:rPr>
                <w:rFonts w:ascii="宋体"/>
                <w:vanish/>
              </w:rPr>
            </w:pPr>
          </w:p>
        </w:tc>
        <w:tc>
          <w:tcPr>
            <w:tcW w:w="0" w:type="auto"/>
            <w:gridSpan w:val="3"/>
            <w:shd w:val="clear" w:color="auto" w:fill="auto"/>
            <w:vAlign w:val="center"/>
          </w:tcPr>
          <w:p w14:paraId="64A899A6" w14:textId="77777777" w:rsidR="008D6614" w:rsidRDefault="008D6614">
            <w:pPr>
              <w:rPr>
                <w:rFonts w:ascii="宋体"/>
                <w:vanish/>
              </w:rPr>
            </w:pPr>
          </w:p>
        </w:tc>
        <w:tc>
          <w:tcPr>
            <w:tcW w:w="0" w:type="auto"/>
            <w:gridSpan w:val="3"/>
            <w:shd w:val="clear" w:color="auto" w:fill="auto"/>
            <w:vAlign w:val="center"/>
          </w:tcPr>
          <w:p w14:paraId="64A899A7" w14:textId="77777777" w:rsidR="008D6614" w:rsidRDefault="008D6614">
            <w:pPr>
              <w:rPr>
                <w:rFonts w:ascii="宋体"/>
                <w:vanish/>
              </w:rPr>
            </w:pPr>
          </w:p>
        </w:tc>
        <w:tc>
          <w:tcPr>
            <w:tcW w:w="0" w:type="auto"/>
            <w:gridSpan w:val="3"/>
            <w:shd w:val="clear" w:color="auto" w:fill="auto"/>
            <w:vAlign w:val="center"/>
          </w:tcPr>
          <w:p w14:paraId="64A899A8" w14:textId="77777777" w:rsidR="008D6614" w:rsidRDefault="008D6614">
            <w:pPr>
              <w:rPr>
                <w:rFonts w:ascii="宋体"/>
                <w:vanish/>
              </w:rPr>
            </w:pPr>
          </w:p>
        </w:tc>
        <w:tc>
          <w:tcPr>
            <w:tcW w:w="0" w:type="auto"/>
            <w:gridSpan w:val="3"/>
            <w:shd w:val="clear" w:color="auto" w:fill="auto"/>
            <w:vAlign w:val="center"/>
          </w:tcPr>
          <w:p w14:paraId="64A899A9" w14:textId="77777777" w:rsidR="008D6614" w:rsidRDefault="008D6614">
            <w:pPr>
              <w:rPr>
                <w:rFonts w:ascii="宋体"/>
                <w:vanish/>
              </w:rPr>
            </w:pPr>
          </w:p>
        </w:tc>
        <w:tc>
          <w:tcPr>
            <w:tcW w:w="0" w:type="auto"/>
            <w:gridSpan w:val="3"/>
            <w:shd w:val="clear" w:color="auto" w:fill="auto"/>
            <w:vAlign w:val="center"/>
          </w:tcPr>
          <w:p w14:paraId="64A899AA" w14:textId="77777777" w:rsidR="008D6614" w:rsidRDefault="008D6614">
            <w:pPr>
              <w:rPr>
                <w:rFonts w:ascii="宋体"/>
                <w:vanish/>
              </w:rPr>
            </w:pPr>
          </w:p>
        </w:tc>
        <w:tc>
          <w:tcPr>
            <w:tcW w:w="0" w:type="auto"/>
            <w:gridSpan w:val="3"/>
            <w:shd w:val="clear" w:color="auto" w:fill="auto"/>
            <w:vAlign w:val="center"/>
          </w:tcPr>
          <w:p w14:paraId="64A899AB" w14:textId="77777777" w:rsidR="008D6614" w:rsidRDefault="008D6614">
            <w:pPr>
              <w:rPr>
                <w:rFonts w:ascii="宋体"/>
                <w:vanish/>
              </w:rPr>
            </w:pPr>
          </w:p>
        </w:tc>
        <w:tc>
          <w:tcPr>
            <w:tcW w:w="0" w:type="auto"/>
            <w:shd w:val="clear" w:color="auto" w:fill="auto"/>
            <w:vAlign w:val="center"/>
          </w:tcPr>
          <w:p w14:paraId="64A899AC" w14:textId="77777777" w:rsidR="008D6614" w:rsidRDefault="008D6614">
            <w:pPr>
              <w:rPr>
                <w:rFonts w:ascii="宋体"/>
              </w:rPr>
            </w:pPr>
          </w:p>
        </w:tc>
        <w:tc>
          <w:tcPr>
            <w:tcW w:w="0" w:type="auto"/>
            <w:shd w:val="clear" w:color="auto" w:fill="auto"/>
            <w:vAlign w:val="center"/>
          </w:tcPr>
          <w:p w14:paraId="64A899AD" w14:textId="77777777" w:rsidR="008D6614" w:rsidRDefault="008D6614">
            <w:pPr>
              <w:rPr>
                <w:rFonts w:ascii="宋体"/>
              </w:rPr>
            </w:pPr>
          </w:p>
        </w:tc>
        <w:tc>
          <w:tcPr>
            <w:tcW w:w="0" w:type="auto"/>
            <w:shd w:val="clear" w:color="auto" w:fill="auto"/>
            <w:vAlign w:val="center"/>
          </w:tcPr>
          <w:p w14:paraId="64A899AE" w14:textId="77777777" w:rsidR="008D6614" w:rsidRDefault="008D6614">
            <w:pPr>
              <w:rPr>
                <w:rFonts w:ascii="宋体"/>
              </w:rPr>
            </w:pPr>
          </w:p>
        </w:tc>
        <w:tc>
          <w:tcPr>
            <w:tcW w:w="0" w:type="auto"/>
            <w:shd w:val="clear" w:color="auto" w:fill="auto"/>
            <w:vAlign w:val="center"/>
          </w:tcPr>
          <w:p w14:paraId="64A899AF" w14:textId="77777777" w:rsidR="008D6614" w:rsidRDefault="008D6614">
            <w:pPr>
              <w:rPr>
                <w:rFonts w:ascii="宋体"/>
              </w:rPr>
            </w:pPr>
          </w:p>
        </w:tc>
        <w:tc>
          <w:tcPr>
            <w:tcW w:w="0" w:type="auto"/>
            <w:shd w:val="clear" w:color="auto" w:fill="auto"/>
            <w:vAlign w:val="center"/>
          </w:tcPr>
          <w:p w14:paraId="64A899B0" w14:textId="77777777" w:rsidR="008D6614" w:rsidRDefault="008D6614">
            <w:pPr>
              <w:rPr>
                <w:rFonts w:ascii="宋体"/>
              </w:rPr>
            </w:pPr>
          </w:p>
        </w:tc>
        <w:tc>
          <w:tcPr>
            <w:tcW w:w="0" w:type="auto"/>
            <w:shd w:val="clear" w:color="auto" w:fill="auto"/>
            <w:vAlign w:val="center"/>
          </w:tcPr>
          <w:p w14:paraId="64A899B1" w14:textId="77777777" w:rsidR="008D6614" w:rsidRDefault="008D6614">
            <w:pPr>
              <w:rPr>
                <w:rFonts w:ascii="宋体"/>
              </w:rPr>
            </w:pPr>
          </w:p>
        </w:tc>
        <w:tc>
          <w:tcPr>
            <w:tcW w:w="0" w:type="auto"/>
            <w:shd w:val="clear" w:color="auto" w:fill="auto"/>
            <w:vAlign w:val="center"/>
          </w:tcPr>
          <w:p w14:paraId="64A899B2" w14:textId="77777777" w:rsidR="008D6614" w:rsidRDefault="008D6614">
            <w:pPr>
              <w:rPr>
                <w:rFonts w:ascii="宋体"/>
              </w:rPr>
            </w:pPr>
          </w:p>
        </w:tc>
        <w:tc>
          <w:tcPr>
            <w:tcW w:w="0" w:type="auto"/>
            <w:shd w:val="clear" w:color="auto" w:fill="auto"/>
            <w:vAlign w:val="center"/>
          </w:tcPr>
          <w:p w14:paraId="64A899B3" w14:textId="77777777" w:rsidR="008D6614" w:rsidRDefault="008D6614">
            <w:pPr>
              <w:rPr>
                <w:rFonts w:ascii="宋体"/>
              </w:rPr>
            </w:pPr>
          </w:p>
        </w:tc>
        <w:tc>
          <w:tcPr>
            <w:tcW w:w="0" w:type="auto"/>
            <w:shd w:val="clear" w:color="auto" w:fill="auto"/>
            <w:vAlign w:val="center"/>
          </w:tcPr>
          <w:p w14:paraId="64A899B4" w14:textId="77777777" w:rsidR="008D6614" w:rsidRDefault="008D6614">
            <w:pPr>
              <w:rPr>
                <w:rFonts w:ascii="宋体"/>
              </w:rPr>
            </w:pPr>
          </w:p>
        </w:tc>
        <w:tc>
          <w:tcPr>
            <w:tcW w:w="0" w:type="auto"/>
            <w:shd w:val="clear" w:color="auto" w:fill="auto"/>
            <w:vAlign w:val="center"/>
          </w:tcPr>
          <w:p w14:paraId="64A899B5" w14:textId="77777777" w:rsidR="008D6614" w:rsidRDefault="008D6614">
            <w:pPr>
              <w:rPr>
                <w:rFonts w:ascii="宋体"/>
              </w:rPr>
            </w:pPr>
          </w:p>
        </w:tc>
        <w:tc>
          <w:tcPr>
            <w:tcW w:w="0" w:type="auto"/>
            <w:shd w:val="clear" w:color="auto" w:fill="auto"/>
            <w:vAlign w:val="center"/>
          </w:tcPr>
          <w:p w14:paraId="64A899B6" w14:textId="77777777" w:rsidR="008D6614" w:rsidRDefault="008D6614">
            <w:pPr>
              <w:rPr>
                <w:rFonts w:ascii="宋体"/>
              </w:rPr>
            </w:pPr>
          </w:p>
        </w:tc>
        <w:tc>
          <w:tcPr>
            <w:tcW w:w="0" w:type="auto"/>
            <w:shd w:val="clear" w:color="auto" w:fill="auto"/>
            <w:vAlign w:val="center"/>
          </w:tcPr>
          <w:p w14:paraId="64A899B7" w14:textId="77777777" w:rsidR="008D6614" w:rsidRDefault="008D6614">
            <w:pPr>
              <w:rPr>
                <w:rFonts w:ascii="宋体"/>
              </w:rPr>
            </w:pPr>
          </w:p>
        </w:tc>
        <w:tc>
          <w:tcPr>
            <w:tcW w:w="0" w:type="auto"/>
            <w:shd w:val="clear" w:color="auto" w:fill="auto"/>
            <w:vAlign w:val="center"/>
          </w:tcPr>
          <w:p w14:paraId="64A899B8" w14:textId="77777777" w:rsidR="008D6614" w:rsidRDefault="008D6614">
            <w:pPr>
              <w:rPr>
                <w:rFonts w:ascii="宋体"/>
              </w:rPr>
            </w:pPr>
          </w:p>
        </w:tc>
        <w:tc>
          <w:tcPr>
            <w:tcW w:w="0" w:type="auto"/>
            <w:shd w:val="clear" w:color="auto" w:fill="auto"/>
            <w:vAlign w:val="center"/>
          </w:tcPr>
          <w:p w14:paraId="64A899B9" w14:textId="77777777" w:rsidR="008D6614" w:rsidRDefault="008D6614">
            <w:pPr>
              <w:rPr>
                <w:rFonts w:ascii="宋体"/>
              </w:rPr>
            </w:pPr>
          </w:p>
        </w:tc>
        <w:tc>
          <w:tcPr>
            <w:tcW w:w="0" w:type="auto"/>
            <w:shd w:val="clear" w:color="auto" w:fill="auto"/>
            <w:vAlign w:val="center"/>
          </w:tcPr>
          <w:p w14:paraId="64A899BA" w14:textId="77777777" w:rsidR="008D6614" w:rsidRDefault="008D6614">
            <w:pPr>
              <w:rPr>
                <w:rFonts w:ascii="宋体"/>
              </w:rPr>
            </w:pPr>
          </w:p>
        </w:tc>
        <w:tc>
          <w:tcPr>
            <w:tcW w:w="0" w:type="auto"/>
            <w:shd w:val="clear" w:color="auto" w:fill="auto"/>
            <w:vAlign w:val="center"/>
          </w:tcPr>
          <w:p w14:paraId="64A899BB" w14:textId="77777777" w:rsidR="008D6614" w:rsidRDefault="008D6614">
            <w:pPr>
              <w:rPr>
                <w:rFonts w:ascii="宋体"/>
              </w:rPr>
            </w:pPr>
          </w:p>
        </w:tc>
        <w:tc>
          <w:tcPr>
            <w:tcW w:w="0" w:type="auto"/>
            <w:shd w:val="clear" w:color="auto" w:fill="auto"/>
            <w:vAlign w:val="center"/>
          </w:tcPr>
          <w:p w14:paraId="64A899BC" w14:textId="77777777" w:rsidR="008D6614" w:rsidRDefault="008D6614">
            <w:pPr>
              <w:rPr>
                <w:rFonts w:ascii="宋体"/>
              </w:rPr>
            </w:pPr>
          </w:p>
        </w:tc>
        <w:tc>
          <w:tcPr>
            <w:tcW w:w="0" w:type="auto"/>
            <w:shd w:val="clear" w:color="auto" w:fill="auto"/>
            <w:vAlign w:val="center"/>
          </w:tcPr>
          <w:p w14:paraId="64A899BD" w14:textId="77777777" w:rsidR="008D6614" w:rsidRDefault="008D6614">
            <w:pPr>
              <w:rPr>
                <w:rFonts w:ascii="宋体"/>
              </w:rPr>
            </w:pPr>
          </w:p>
        </w:tc>
      </w:tr>
      <w:tr w:rsidR="008D6614" w14:paraId="64A899E4" w14:textId="77777777">
        <w:tc>
          <w:tcPr>
            <w:tcW w:w="0" w:type="auto"/>
            <w:gridSpan w:val="3"/>
            <w:shd w:val="clear" w:color="auto" w:fill="FFFFFF"/>
            <w:tcMar>
              <w:left w:w="20" w:type="dxa"/>
              <w:right w:w="20" w:type="dxa"/>
            </w:tcMar>
            <w:vAlign w:val="bottom"/>
          </w:tcPr>
          <w:p w14:paraId="64A899BF"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9C0"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9C1" w14:textId="77777777" w:rsidR="008D6614" w:rsidRDefault="00866AF2">
            <w:pPr>
              <w:jc w:val="right"/>
              <w:textAlignment w:val="bottom"/>
            </w:pPr>
            <w:r>
              <w:rPr>
                <w:rFonts w:ascii="Arial" w:eastAsia="宋体" w:hAnsi="Arial" w:cs="Arial"/>
                <w:color w:val="000000"/>
                <w:sz w:val="18"/>
                <w:szCs w:val="18"/>
              </w:rPr>
              <w:t>765 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9C2"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9C3" w14:textId="77777777" w:rsidR="008D6614" w:rsidRDefault="008D6614">
            <w:pPr>
              <w:rPr>
                <w:rFonts w:ascii="宋体"/>
              </w:rPr>
            </w:pPr>
          </w:p>
        </w:tc>
        <w:tc>
          <w:tcPr>
            <w:tcW w:w="0" w:type="auto"/>
            <w:shd w:val="clear" w:color="auto" w:fill="FFFFFF"/>
            <w:tcMar>
              <w:right w:w="20" w:type="dxa"/>
            </w:tcMar>
            <w:vAlign w:val="bottom"/>
          </w:tcPr>
          <w:p w14:paraId="64A899C4" w14:textId="77777777" w:rsidR="008D6614" w:rsidRDefault="008D661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9C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9C6"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9C7"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9C8" w14:textId="77777777" w:rsidR="008D6614" w:rsidRDefault="008D6614">
            <w:pPr>
              <w:rPr>
                <w:rFonts w:ascii="宋体"/>
              </w:rPr>
            </w:pPr>
          </w:p>
        </w:tc>
        <w:tc>
          <w:tcPr>
            <w:tcW w:w="0" w:type="auto"/>
            <w:shd w:val="clear" w:color="auto" w:fill="FFFFFF"/>
            <w:tcMar>
              <w:right w:w="20" w:type="dxa"/>
            </w:tcMar>
            <w:vAlign w:val="bottom"/>
          </w:tcPr>
          <w:p w14:paraId="64A899C9" w14:textId="77777777" w:rsidR="008D6614" w:rsidRDefault="008D661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9C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9CB" w14:textId="77777777" w:rsidR="008D6614" w:rsidRDefault="00866AF2">
            <w:pPr>
              <w:jc w:val="right"/>
              <w:textAlignment w:val="bottom"/>
            </w:pPr>
            <w:r>
              <w:rPr>
                <w:rFonts w:ascii="Arial" w:eastAsia="宋体" w:hAnsi="Arial" w:cs="Arial"/>
                <w:color w:val="000000"/>
                <w:sz w:val="18"/>
                <w:szCs w:val="18"/>
              </w:rPr>
              <w:t>(21)</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9CC"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9CD" w14:textId="77777777" w:rsidR="008D6614" w:rsidRDefault="008D6614">
            <w:pPr>
              <w:rPr>
                <w:rFonts w:ascii="宋体"/>
              </w:rPr>
            </w:pPr>
          </w:p>
        </w:tc>
        <w:tc>
          <w:tcPr>
            <w:tcW w:w="0" w:type="auto"/>
            <w:shd w:val="clear" w:color="auto" w:fill="FFFFFF"/>
            <w:tcMar>
              <w:right w:w="20" w:type="dxa"/>
            </w:tcMar>
            <w:vAlign w:val="bottom"/>
          </w:tcPr>
          <w:p w14:paraId="64A899CE" w14:textId="77777777" w:rsidR="008D6614" w:rsidRDefault="008D661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9CF"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9D0" w14:textId="77777777" w:rsidR="008D6614" w:rsidRDefault="00866AF2">
            <w:pPr>
              <w:jc w:val="right"/>
              <w:textAlignment w:val="bottom"/>
            </w:pPr>
            <w:r>
              <w:rPr>
                <w:rFonts w:ascii="Arial" w:eastAsia="宋体" w:hAnsi="Arial" w:cs="Arial"/>
                <w:color w:val="000000"/>
                <w:sz w:val="18"/>
                <w:szCs w:val="18"/>
              </w:rPr>
              <w:t>744 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9D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9D2" w14:textId="77777777" w:rsidR="008D6614" w:rsidRDefault="008D6614">
            <w:pPr>
              <w:rPr>
                <w:rFonts w:ascii="宋体"/>
              </w:rPr>
            </w:pPr>
          </w:p>
        </w:tc>
        <w:tc>
          <w:tcPr>
            <w:tcW w:w="0" w:type="auto"/>
            <w:shd w:val="clear" w:color="auto" w:fill="auto"/>
            <w:vAlign w:val="center"/>
          </w:tcPr>
          <w:p w14:paraId="64A899D3" w14:textId="77777777" w:rsidR="008D6614" w:rsidRDefault="008D6614">
            <w:pPr>
              <w:rPr>
                <w:rFonts w:ascii="宋体"/>
              </w:rPr>
            </w:pPr>
          </w:p>
        </w:tc>
        <w:tc>
          <w:tcPr>
            <w:tcW w:w="0" w:type="auto"/>
            <w:shd w:val="clear" w:color="auto" w:fill="auto"/>
            <w:vAlign w:val="center"/>
          </w:tcPr>
          <w:p w14:paraId="64A899D4" w14:textId="77777777" w:rsidR="008D6614" w:rsidRDefault="008D6614">
            <w:pPr>
              <w:rPr>
                <w:rFonts w:ascii="宋体"/>
              </w:rPr>
            </w:pPr>
          </w:p>
        </w:tc>
        <w:tc>
          <w:tcPr>
            <w:tcW w:w="0" w:type="auto"/>
            <w:shd w:val="clear" w:color="auto" w:fill="auto"/>
            <w:vAlign w:val="center"/>
          </w:tcPr>
          <w:p w14:paraId="64A899D5" w14:textId="77777777" w:rsidR="008D6614" w:rsidRDefault="008D6614">
            <w:pPr>
              <w:rPr>
                <w:rFonts w:ascii="宋体"/>
              </w:rPr>
            </w:pPr>
          </w:p>
        </w:tc>
        <w:tc>
          <w:tcPr>
            <w:tcW w:w="0" w:type="auto"/>
            <w:shd w:val="clear" w:color="auto" w:fill="auto"/>
            <w:vAlign w:val="center"/>
          </w:tcPr>
          <w:p w14:paraId="64A899D6" w14:textId="77777777" w:rsidR="008D6614" w:rsidRDefault="008D6614">
            <w:pPr>
              <w:rPr>
                <w:rFonts w:ascii="宋体"/>
              </w:rPr>
            </w:pPr>
          </w:p>
        </w:tc>
        <w:tc>
          <w:tcPr>
            <w:tcW w:w="0" w:type="auto"/>
            <w:shd w:val="clear" w:color="auto" w:fill="auto"/>
            <w:vAlign w:val="center"/>
          </w:tcPr>
          <w:p w14:paraId="64A899D7" w14:textId="77777777" w:rsidR="008D6614" w:rsidRDefault="008D6614">
            <w:pPr>
              <w:rPr>
                <w:rFonts w:ascii="宋体"/>
              </w:rPr>
            </w:pPr>
          </w:p>
        </w:tc>
        <w:tc>
          <w:tcPr>
            <w:tcW w:w="0" w:type="auto"/>
            <w:shd w:val="clear" w:color="auto" w:fill="auto"/>
            <w:vAlign w:val="center"/>
          </w:tcPr>
          <w:p w14:paraId="64A899D8" w14:textId="77777777" w:rsidR="008D6614" w:rsidRDefault="008D6614">
            <w:pPr>
              <w:rPr>
                <w:rFonts w:ascii="宋体"/>
              </w:rPr>
            </w:pPr>
          </w:p>
        </w:tc>
        <w:tc>
          <w:tcPr>
            <w:tcW w:w="0" w:type="auto"/>
            <w:shd w:val="clear" w:color="auto" w:fill="auto"/>
            <w:vAlign w:val="center"/>
          </w:tcPr>
          <w:p w14:paraId="64A899D9" w14:textId="77777777" w:rsidR="008D6614" w:rsidRDefault="008D6614">
            <w:pPr>
              <w:rPr>
                <w:rFonts w:ascii="宋体"/>
              </w:rPr>
            </w:pPr>
          </w:p>
        </w:tc>
        <w:tc>
          <w:tcPr>
            <w:tcW w:w="0" w:type="auto"/>
            <w:shd w:val="clear" w:color="auto" w:fill="auto"/>
            <w:vAlign w:val="center"/>
          </w:tcPr>
          <w:p w14:paraId="64A899DA" w14:textId="77777777" w:rsidR="008D6614" w:rsidRDefault="008D6614">
            <w:pPr>
              <w:rPr>
                <w:rFonts w:ascii="宋体"/>
              </w:rPr>
            </w:pPr>
          </w:p>
        </w:tc>
        <w:tc>
          <w:tcPr>
            <w:tcW w:w="0" w:type="auto"/>
            <w:shd w:val="clear" w:color="auto" w:fill="auto"/>
            <w:vAlign w:val="center"/>
          </w:tcPr>
          <w:p w14:paraId="64A899DB" w14:textId="77777777" w:rsidR="008D6614" w:rsidRDefault="008D6614">
            <w:pPr>
              <w:rPr>
                <w:rFonts w:ascii="宋体"/>
              </w:rPr>
            </w:pPr>
          </w:p>
        </w:tc>
        <w:tc>
          <w:tcPr>
            <w:tcW w:w="0" w:type="auto"/>
            <w:shd w:val="clear" w:color="auto" w:fill="auto"/>
            <w:vAlign w:val="center"/>
          </w:tcPr>
          <w:p w14:paraId="64A899DC" w14:textId="77777777" w:rsidR="008D6614" w:rsidRDefault="008D6614">
            <w:pPr>
              <w:rPr>
                <w:rFonts w:ascii="宋体"/>
              </w:rPr>
            </w:pPr>
          </w:p>
        </w:tc>
        <w:tc>
          <w:tcPr>
            <w:tcW w:w="0" w:type="auto"/>
            <w:shd w:val="clear" w:color="auto" w:fill="auto"/>
            <w:vAlign w:val="center"/>
          </w:tcPr>
          <w:p w14:paraId="64A899DD" w14:textId="77777777" w:rsidR="008D6614" w:rsidRDefault="008D6614">
            <w:pPr>
              <w:rPr>
                <w:rFonts w:ascii="宋体"/>
              </w:rPr>
            </w:pPr>
          </w:p>
        </w:tc>
        <w:tc>
          <w:tcPr>
            <w:tcW w:w="0" w:type="auto"/>
            <w:shd w:val="clear" w:color="auto" w:fill="auto"/>
            <w:vAlign w:val="center"/>
          </w:tcPr>
          <w:p w14:paraId="64A899DE" w14:textId="77777777" w:rsidR="008D6614" w:rsidRDefault="008D6614">
            <w:pPr>
              <w:rPr>
                <w:rFonts w:ascii="宋体"/>
              </w:rPr>
            </w:pPr>
          </w:p>
        </w:tc>
        <w:tc>
          <w:tcPr>
            <w:tcW w:w="0" w:type="auto"/>
            <w:shd w:val="clear" w:color="auto" w:fill="auto"/>
            <w:vAlign w:val="center"/>
          </w:tcPr>
          <w:p w14:paraId="64A899DF" w14:textId="77777777" w:rsidR="008D6614" w:rsidRDefault="008D6614">
            <w:pPr>
              <w:rPr>
                <w:rFonts w:ascii="宋体"/>
              </w:rPr>
            </w:pPr>
          </w:p>
        </w:tc>
        <w:tc>
          <w:tcPr>
            <w:tcW w:w="0" w:type="auto"/>
            <w:shd w:val="clear" w:color="auto" w:fill="auto"/>
            <w:vAlign w:val="center"/>
          </w:tcPr>
          <w:p w14:paraId="64A899E0" w14:textId="77777777" w:rsidR="008D6614" w:rsidRDefault="008D6614">
            <w:pPr>
              <w:rPr>
                <w:rFonts w:ascii="宋体"/>
              </w:rPr>
            </w:pPr>
          </w:p>
        </w:tc>
        <w:tc>
          <w:tcPr>
            <w:tcW w:w="0" w:type="auto"/>
            <w:shd w:val="clear" w:color="auto" w:fill="auto"/>
            <w:vAlign w:val="center"/>
          </w:tcPr>
          <w:p w14:paraId="64A899E1" w14:textId="77777777" w:rsidR="008D6614" w:rsidRDefault="008D6614">
            <w:pPr>
              <w:rPr>
                <w:rFonts w:ascii="宋体"/>
              </w:rPr>
            </w:pPr>
          </w:p>
        </w:tc>
        <w:tc>
          <w:tcPr>
            <w:tcW w:w="0" w:type="auto"/>
            <w:shd w:val="clear" w:color="auto" w:fill="auto"/>
            <w:vAlign w:val="center"/>
          </w:tcPr>
          <w:p w14:paraId="64A899E2" w14:textId="77777777" w:rsidR="008D6614" w:rsidRDefault="008D6614">
            <w:pPr>
              <w:rPr>
                <w:rFonts w:ascii="宋体"/>
              </w:rPr>
            </w:pPr>
          </w:p>
        </w:tc>
        <w:tc>
          <w:tcPr>
            <w:tcW w:w="0" w:type="auto"/>
            <w:shd w:val="clear" w:color="auto" w:fill="auto"/>
            <w:vAlign w:val="center"/>
          </w:tcPr>
          <w:p w14:paraId="64A899E3" w14:textId="77777777" w:rsidR="008D6614" w:rsidRDefault="008D6614">
            <w:pPr>
              <w:rPr>
                <w:rFonts w:ascii="宋体"/>
              </w:rPr>
            </w:pPr>
          </w:p>
        </w:tc>
      </w:tr>
    </w:tbl>
    <w:p w14:paraId="64A899E5" w14:textId="77777777" w:rsidR="008D6614" w:rsidRDefault="00866AF2">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3401"/>
        <w:gridCol w:w="37"/>
        <w:gridCol w:w="137"/>
        <w:gridCol w:w="772"/>
        <w:gridCol w:w="86"/>
        <w:gridCol w:w="36"/>
        <w:gridCol w:w="36"/>
        <w:gridCol w:w="41"/>
        <w:gridCol w:w="137"/>
        <w:gridCol w:w="736"/>
        <w:gridCol w:w="86"/>
        <w:gridCol w:w="36"/>
        <w:gridCol w:w="36"/>
        <w:gridCol w:w="41"/>
        <w:gridCol w:w="137"/>
        <w:gridCol w:w="736"/>
        <w:gridCol w:w="86"/>
        <w:gridCol w:w="36"/>
        <w:gridCol w:w="36"/>
        <w:gridCol w:w="41"/>
        <w:gridCol w:w="137"/>
        <w:gridCol w:w="737"/>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8D6614" w14:paraId="64A899FE" w14:textId="77777777">
        <w:trPr>
          <w:gridAfter w:val="18"/>
        </w:trPr>
        <w:tc>
          <w:tcPr>
            <w:tcW w:w="50" w:type="pct"/>
            <w:shd w:val="clear" w:color="auto" w:fill="auto"/>
            <w:vAlign w:val="center"/>
          </w:tcPr>
          <w:p w14:paraId="64A899E6" w14:textId="77777777" w:rsidR="008D6614" w:rsidRDefault="008D6614">
            <w:pPr>
              <w:rPr>
                <w:rFonts w:ascii="宋体"/>
              </w:rPr>
            </w:pPr>
          </w:p>
        </w:tc>
        <w:tc>
          <w:tcPr>
            <w:tcW w:w="2246" w:type="pct"/>
            <w:shd w:val="clear" w:color="auto" w:fill="auto"/>
            <w:vAlign w:val="center"/>
          </w:tcPr>
          <w:p w14:paraId="64A899E7" w14:textId="77777777" w:rsidR="008D6614" w:rsidRDefault="008D6614">
            <w:pPr>
              <w:rPr>
                <w:rFonts w:ascii="宋体"/>
              </w:rPr>
            </w:pPr>
          </w:p>
        </w:tc>
        <w:tc>
          <w:tcPr>
            <w:tcW w:w="50" w:type="pct"/>
            <w:shd w:val="clear" w:color="auto" w:fill="auto"/>
            <w:vAlign w:val="center"/>
          </w:tcPr>
          <w:p w14:paraId="64A899E8" w14:textId="77777777" w:rsidR="008D6614" w:rsidRDefault="008D6614">
            <w:pPr>
              <w:rPr>
                <w:rFonts w:ascii="宋体"/>
              </w:rPr>
            </w:pPr>
          </w:p>
        </w:tc>
        <w:tc>
          <w:tcPr>
            <w:tcW w:w="50" w:type="pct"/>
            <w:shd w:val="clear" w:color="auto" w:fill="auto"/>
            <w:vAlign w:val="center"/>
          </w:tcPr>
          <w:p w14:paraId="64A899E9" w14:textId="77777777" w:rsidR="008D6614" w:rsidRDefault="008D6614">
            <w:pPr>
              <w:rPr>
                <w:rFonts w:ascii="宋体"/>
              </w:rPr>
            </w:pPr>
          </w:p>
        </w:tc>
        <w:tc>
          <w:tcPr>
            <w:tcW w:w="535" w:type="pct"/>
            <w:shd w:val="clear" w:color="auto" w:fill="auto"/>
            <w:vAlign w:val="center"/>
          </w:tcPr>
          <w:p w14:paraId="64A899EA" w14:textId="77777777" w:rsidR="008D6614" w:rsidRDefault="008D6614">
            <w:pPr>
              <w:rPr>
                <w:rFonts w:ascii="宋体"/>
              </w:rPr>
            </w:pPr>
          </w:p>
        </w:tc>
        <w:tc>
          <w:tcPr>
            <w:tcW w:w="50" w:type="pct"/>
            <w:shd w:val="clear" w:color="auto" w:fill="auto"/>
            <w:vAlign w:val="center"/>
          </w:tcPr>
          <w:p w14:paraId="64A899EB" w14:textId="77777777" w:rsidR="008D6614" w:rsidRDefault="008D6614">
            <w:pPr>
              <w:rPr>
                <w:rFonts w:ascii="宋体"/>
              </w:rPr>
            </w:pPr>
          </w:p>
        </w:tc>
        <w:tc>
          <w:tcPr>
            <w:tcW w:w="5" w:type="pct"/>
            <w:shd w:val="clear" w:color="auto" w:fill="auto"/>
            <w:vAlign w:val="center"/>
          </w:tcPr>
          <w:p w14:paraId="64A899EC" w14:textId="77777777" w:rsidR="008D6614" w:rsidRDefault="008D6614">
            <w:pPr>
              <w:rPr>
                <w:rFonts w:ascii="宋体"/>
              </w:rPr>
            </w:pPr>
          </w:p>
        </w:tc>
        <w:tc>
          <w:tcPr>
            <w:tcW w:w="26" w:type="pct"/>
            <w:shd w:val="clear" w:color="auto" w:fill="auto"/>
            <w:vAlign w:val="center"/>
          </w:tcPr>
          <w:p w14:paraId="64A899ED" w14:textId="77777777" w:rsidR="008D6614" w:rsidRDefault="008D6614">
            <w:pPr>
              <w:rPr>
                <w:rFonts w:ascii="宋体"/>
              </w:rPr>
            </w:pPr>
          </w:p>
        </w:tc>
        <w:tc>
          <w:tcPr>
            <w:tcW w:w="5" w:type="pct"/>
            <w:shd w:val="clear" w:color="auto" w:fill="auto"/>
            <w:vAlign w:val="center"/>
          </w:tcPr>
          <w:p w14:paraId="64A899EE" w14:textId="77777777" w:rsidR="008D6614" w:rsidRDefault="008D6614">
            <w:pPr>
              <w:rPr>
                <w:rFonts w:ascii="宋体"/>
              </w:rPr>
            </w:pPr>
          </w:p>
        </w:tc>
        <w:tc>
          <w:tcPr>
            <w:tcW w:w="50" w:type="pct"/>
            <w:shd w:val="clear" w:color="auto" w:fill="auto"/>
            <w:vAlign w:val="center"/>
          </w:tcPr>
          <w:p w14:paraId="64A899EF" w14:textId="77777777" w:rsidR="008D6614" w:rsidRDefault="008D6614">
            <w:pPr>
              <w:rPr>
                <w:rFonts w:ascii="宋体"/>
              </w:rPr>
            </w:pPr>
          </w:p>
        </w:tc>
        <w:tc>
          <w:tcPr>
            <w:tcW w:w="535" w:type="pct"/>
            <w:shd w:val="clear" w:color="auto" w:fill="auto"/>
            <w:vAlign w:val="center"/>
          </w:tcPr>
          <w:p w14:paraId="64A899F0" w14:textId="77777777" w:rsidR="008D6614" w:rsidRDefault="008D6614">
            <w:pPr>
              <w:rPr>
                <w:rFonts w:ascii="宋体"/>
              </w:rPr>
            </w:pPr>
          </w:p>
        </w:tc>
        <w:tc>
          <w:tcPr>
            <w:tcW w:w="50" w:type="pct"/>
            <w:shd w:val="clear" w:color="auto" w:fill="auto"/>
            <w:vAlign w:val="center"/>
          </w:tcPr>
          <w:p w14:paraId="64A899F1" w14:textId="77777777" w:rsidR="008D6614" w:rsidRDefault="008D6614">
            <w:pPr>
              <w:rPr>
                <w:rFonts w:ascii="宋体"/>
              </w:rPr>
            </w:pPr>
          </w:p>
        </w:tc>
        <w:tc>
          <w:tcPr>
            <w:tcW w:w="5" w:type="pct"/>
            <w:shd w:val="clear" w:color="auto" w:fill="auto"/>
            <w:vAlign w:val="center"/>
          </w:tcPr>
          <w:p w14:paraId="64A899F2" w14:textId="77777777" w:rsidR="008D6614" w:rsidRDefault="008D6614">
            <w:pPr>
              <w:rPr>
                <w:rFonts w:ascii="宋体"/>
              </w:rPr>
            </w:pPr>
          </w:p>
        </w:tc>
        <w:tc>
          <w:tcPr>
            <w:tcW w:w="26" w:type="pct"/>
            <w:shd w:val="clear" w:color="auto" w:fill="auto"/>
            <w:vAlign w:val="center"/>
          </w:tcPr>
          <w:p w14:paraId="64A899F3" w14:textId="77777777" w:rsidR="008D6614" w:rsidRDefault="008D6614">
            <w:pPr>
              <w:rPr>
                <w:rFonts w:ascii="宋体"/>
              </w:rPr>
            </w:pPr>
          </w:p>
        </w:tc>
        <w:tc>
          <w:tcPr>
            <w:tcW w:w="5" w:type="pct"/>
            <w:shd w:val="clear" w:color="auto" w:fill="auto"/>
            <w:vAlign w:val="center"/>
          </w:tcPr>
          <w:p w14:paraId="64A899F4" w14:textId="77777777" w:rsidR="008D6614" w:rsidRDefault="008D6614">
            <w:pPr>
              <w:rPr>
                <w:rFonts w:ascii="宋体"/>
              </w:rPr>
            </w:pPr>
          </w:p>
        </w:tc>
        <w:tc>
          <w:tcPr>
            <w:tcW w:w="50" w:type="pct"/>
            <w:shd w:val="clear" w:color="auto" w:fill="auto"/>
            <w:vAlign w:val="center"/>
          </w:tcPr>
          <w:p w14:paraId="64A899F5" w14:textId="77777777" w:rsidR="008D6614" w:rsidRDefault="008D6614">
            <w:pPr>
              <w:rPr>
                <w:rFonts w:ascii="宋体"/>
              </w:rPr>
            </w:pPr>
          </w:p>
        </w:tc>
        <w:tc>
          <w:tcPr>
            <w:tcW w:w="535" w:type="pct"/>
            <w:shd w:val="clear" w:color="auto" w:fill="auto"/>
            <w:vAlign w:val="center"/>
          </w:tcPr>
          <w:p w14:paraId="64A899F6" w14:textId="77777777" w:rsidR="008D6614" w:rsidRDefault="008D6614">
            <w:pPr>
              <w:rPr>
                <w:rFonts w:ascii="宋体"/>
              </w:rPr>
            </w:pPr>
          </w:p>
        </w:tc>
        <w:tc>
          <w:tcPr>
            <w:tcW w:w="50" w:type="pct"/>
            <w:shd w:val="clear" w:color="auto" w:fill="auto"/>
            <w:vAlign w:val="center"/>
          </w:tcPr>
          <w:p w14:paraId="64A899F7" w14:textId="77777777" w:rsidR="008D6614" w:rsidRDefault="008D6614">
            <w:pPr>
              <w:rPr>
                <w:rFonts w:ascii="宋体"/>
              </w:rPr>
            </w:pPr>
          </w:p>
        </w:tc>
        <w:tc>
          <w:tcPr>
            <w:tcW w:w="5" w:type="pct"/>
            <w:shd w:val="clear" w:color="auto" w:fill="auto"/>
            <w:vAlign w:val="center"/>
          </w:tcPr>
          <w:p w14:paraId="64A899F8" w14:textId="77777777" w:rsidR="008D6614" w:rsidRDefault="008D6614">
            <w:pPr>
              <w:rPr>
                <w:rFonts w:ascii="宋体"/>
              </w:rPr>
            </w:pPr>
          </w:p>
        </w:tc>
        <w:tc>
          <w:tcPr>
            <w:tcW w:w="26" w:type="pct"/>
            <w:shd w:val="clear" w:color="auto" w:fill="auto"/>
            <w:vAlign w:val="center"/>
          </w:tcPr>
          <w:p w14:paraId="64A899F9" w14:textId="77777777" w:rsidR="008D6614" w:rsidRDefault="008D6614">
            <w:pPr>
              <w:rPr>
                <w:rFonts w:ascii="宋体"/>
              </w:rPr>
            </w:pPr>
          </w:p>
        </w:tc>
        <w:tc>
          <w:tcPr>
            <w:tcW w:w="5" w:type="pct"/>
            <w:shd w:val="clear" w:color="auto" w:fill="auto"/>
            <w:vAlign w:val="center"/>
          </w:tcPr>
          <w:p w14:paraId="64A899FA" w14:textId="77777777" w:rsidR="008D6614" w:rsidRDefault="008D6614">
            <w:pPr>
              <w:rPr>
                <w:rFonts w:ascii="宋体"/>
              </w:rPr>
            </w:pPr>
          </w:p>
        </w:tc>
        <w:tc>
          <w:tcPr>
            <w:tcW w:w="50" w:type="pct"/>
            <w:shd w:val="clear" w:color="auto" w:fill="auto"/>
            <w:vAlign w:val="center"/>
          </w:tcPr>
          <w:p w14:paraId="64A899FB" w14:textId="77777777" w:rsidR="008D6614" w:rsidRDefault="008D6614">
            <w:pPr>
              <w:rPr>
                <w:rFonts w:ascii="宋体"/>
              </w:rPr>
            </w:pPr>
          </w:p>
        </w:tc>
        <w:tc>
          <w:tcPr>
            <w:tcW w:w="536" w:type="pct"/>
            <w:shd w:val="clear" w:color="auto" w:fill="auto"/>
            <w:vAlign w:val="center"/>
          </w:tcPr>
          <w:p w14:paraId="64A899FC" w14:textId="77777777" w:rsidR="008D6614" w:rsidRDefault="008D6614">
            <w:pPr>
              <w:rPr>
                <w:rFonts w:ascii="宋体"/>
              </w:rPr>
            </w:pPr>
          </w:p>
        </w:tc>
        <w:tc>
          <w:tcPr>
            <w:tcW w:w="50" w:type="pct"/>
            <w:shd w:val="clear" w:color="auto" w:fill="auto"/>
            <w:vAlign w:val="center"/>
          </w:tcPr>
          <w:p w14:paraId="64A899FD" w14:textId="77777777" w:rsidR="008D6614" w:rsidRDefault="008D6614">
            <w:pPr>
              <w:rPr>
                <w:rFonts w:ascii="宋体"/>
              </w:rPr>
            </w:pPr>
          </w:p>
        </w:tc>
      </w:tr>
      <w:tr w:rsidR="008D6614" w14:paraId="64A89A07" w14:textId="77777777">
        <w:tc>
          <w:tcPr>
            <w:tcW w:w="0" w:type="auto"/>
            <w:gridSpan w:val="3"/>
            <w:shd w:val="clear" w:color="auto" w:fill="auto"/>
            <w:tcMar>
              <w:top w:w="40" w:type="dxa"/>
              <w:left w:w="20" w:type="dxa"/>
              <w:bottom w:w="40" w:type="dxa"/>
              <w:right w:w="20" w:type="dxa"/>
            </w:tcMar>
            <w:vAlign w:val="bottom"/>
          </w:tcPr>
          <w:p w14:paraId="64A899FF" w14:textId="77777777" w:rsidR="008D6614" w:rsidRDefault="00866AF2">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4A89A00" w14:textId="77777777" w:rsidR="008D6614" w:rsidRDefault="00866AF2">
            <w:pPr>
              <w:jc w:val="center"/>
              <w:textAlignment w:val="bottom"/>
            </w:pPr>
            <w:r>
              <w:rPr>
                <w:rFonts w:ascii="Arial" w:eastAsia="宋体" w:hAnsi="Arial" w:cs="Arial"/>
                <w:b/>
                <w:bCs/>
                <w:color w:val="000000"/>
                <w:sz w:val="16"/>
                <w:szCs w:val="16"/>
              </w:rPr>
              <w:t>December 31, 2019</w:t>
            </w:r>
          </w:p>
        </w:tc>
        <w:tc>
          <w:tcPr>
            <w:tcW w:w="0" w:type="auto"/>
            <w:gridSpan w:val="3"/>
            <w:shd w:val="clear" w:color="auto" w:fill="auto"/>
            <w:vAlign w:val="center"/>
          </w:tcPr>
          <w:p w14:paraId="64A89A01" w14:textId="77777777" w:rsidR="008D6614" w:rsidRDefault="008D6614">
            <w:pPr>
              <w:rPr>
                <w:rFonts w:ascii="宋体"/>
                <w:vanish/>
              </w:rPr>
            </w:pPr>
          </w:p>
        </w:tc>
        <w:tc>
          <w:tcPr>
            <w:tcW w:w="0" w:type="auto"/>
            <w:gridSpan w:val="3"/>
            <w:shd w:val="clear" w:color="auto" w:fill="auto"/>
            <w:vAlign w:val="center"/>
          </w:tcPr>
          <w:p w14:paraId="64A89A02" w14:textId="77777777" w:rsidR="008D6614" w:rsidRDefault="008D6614">
            <w:pPr>
              <w:rPr>
                <w:rFonts w:ascii="宋体"/>
                <w:vanish/>
              </w:rPr>
            </w:pPr>
          </w:p>
        </w:tc>
        <w:tc>
          <w:tcPr>
            <w:tcW w:w="0" w:type="auto"/>
            <w:gridSpan w:val="3"/>
            <w:shd w:val="clear" w:color="auto" w:fill="auto"/>
            <w:vAlign w:val="center"/>
          </w:tcPr>
          <w:p w14:paraId="64A89A03" w14:textId="77777777" w:rsidR="008D6614" w:rsidRDefault="008D6614">
            <w:pPr>
              <w:rPr>
                <w:rFonts w:ascii="宋体"/>
                <w:vanish/>
              </w:rPr>
            </w:pPr>
          </w:p>
        </w:tc>
        <w:tc>
          <w:tcPr>
            <w:tcW w:w="0" w:type="auto"/>
            <w:gridSpan w:val="3"/>
            <w:shd w:val="clear" w:color="auto" w:fill="auto"/>
            <w:vAlign w:val="center"/>
          </w:tcPr>
          <w:p w14:paraId="64A89A04" w14:textId="77777777" w:rsidR="008D6614" w:rsidRDefault="008D6614">
            <w:pPr>
              <w:rPr>
                <w:rFonts w:ascii="宋体"/>
                <w:vanish/>
              </w:rPr>
            </w:pPr>
          </w:p>
        </w:tc>
        <w:tc>
          <w:tcPr>
            <w:tcW w:w="0" w:type="auto"/>
            <w:gridSpan w:val="3"/>
            <w:shd w:val="clear" w:color="auto" w:fill="auto"/>
            <w:vAlign w:val="center"/>
          </w:tcPr>
          <w:p w14:paraId="64A89A05" w14:textId="77777777" w:rsidR="008D6614" w:rsidRDefault="008D6614">
            <w:pPr>
              <w:rPr>
                <w:rFonts w:ascii="宋体"/>
                <w:vanish/>
              </w:rPr>
            </w:pPr>
          </w:p>
        </w:tc>
        <w:tc>
          <w:tcPr>
            <w:tcW w:w="0" w:type="auto"/>
            <w:gridSpan w:val="3"/>
            <w:shd w:val="clear" w:color="auto" w:fill="auto"/>
            <w:vAlign w:val="center"/>
          </w:tcPr>
          <w:p w14:paraId="64A89A06" w14:textId="77777777" w:rsidR="008D6614" w:rsidRDefault="008D6614">
            <w:pPr>
              <w:rPr>
                <w:rFonts w:ascii="宋体"/>
                <w:vanish/>
              </w:rPr>
            </w:pPr>
          </w:p>
        </w:tc>
      </w:tr>
      <w:tr w:rsidR="008D6614" w14:paraId="64A89A22" w14:textId="77777777">
        <w:tc>
          <w:tcPr>
            <w:tcW w:w="0" w:type="auto"/>
            <w:gridSpan w:val="3"/>
            <w:shd w:val="clear" w:color="auto" w:fill="auto"/>
            <w:tcMar>
              <w:top w:w="40" w:type="dxa"/>
              <w:left w:w="20" w:type="dxa"/>
              <w:bottom w:w="40" w:type="dxa"/>
              <w:right w:w="20" w:type="dxa"/>
            </w:tcMar>
            <w:vAlign w:val="bottom"/>
          </w:tcPr>
          <w:p w14:paraId="64A89A08" w14:textId="77777777" w:rsidR="008D6614" w:rsidRDefault="00866AF2">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A09" w14:textId="77777777" w:rsidR="008D6614" w:rsidRDefault="00866AF2">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Amortized</w:t>
            </w:r>
            <w:r>
              <w:rPr>
                <w:rFonts w:ascii="Arial" w:eastAsia="宋体" w:hAnsi="Arial" w:cs="Arial"/>
                <w:b/>
                <w:bCs/>
                <w:color w:val="000000"/>
                <w:sz w:val="16"/>
                <w:szCs w:val="16"/>
              </w:rPr>
              <w:br/>
              <w:t>Cost</w:t>
            </w:r>
          </w:p>
        </w:tc>
        <w:tc>
          <w:tcPr>
            <w:tcW w:w="0" w:type="auto"/>
            <w:gridSpan w:val="3"/>
            <w:tcBorders>
              <w:top w:val="single" w:sz="8" w:space="0" w:color="000000"/>
            </w:tcBorders>
            <w:shd w:val="clear" w:color="auto" w:fill="auto"/>
            <w:tcMar>
              <w:left w:w="20" w:type="dxa"/>
              <w:right w:w="20" w:type="dxa"/>
            </w:tcMar>
            <w:vAlign w:val="bottom"/>
          </w:tcPr>
          <w:p w14:paraId="64A89A0A"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A0B" w14:textId="77777777" w:rsidR="008D6614" w:rsidRDefault="00866AF2">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Gains</w:t>
            </w:r>
          </w:p>
        </w:tc>
        <w:tc>
          <w:tcPr>
            <w:tcW w:w="0" w:type="auto"/>
            <w:gridSpan w:val="3"/>
            <w:tcBorders>
              <w:top w:val="single" w:sz="8" w:space="0" w:color="000000"/>
            </w:tcBorders>
            <w:shd w:val="clear" w:color="auto" w:fill="auto"/>
            <w:tcMar>
              <w:left w:w="20" w:type="dxa"/>
              <w:right w:w="20" w:type="dxa"/>
            </w:tcMar>
            <w:vAlign w:val="bottom"/>
          </w:tcPr>
          <w:p w14:paraId="64A89A0C"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A0D" w14:textId="77777777" w:rsidR="008D6614" w:rsidRDefault="00866AF2">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Losses</w:t>
            </w:r>
          </w:p>
        </w:tc>
        <w:tc>
          <w:tcPr>
            <w:tcW w:w="0" w:type="auto"/>
            <w:gridSpan w:val="3"/>
            <w:tcBorders>
              <w:top w:val="single" w:sz="8" w:space="0" w:color="000000"/>
            </w:tcBorders>
            <w:shd w:val="clear" w:color="auto" w:fill="auto"/>
            <w:tcMar>
              <w:left w:w="20" w:type="dxa"/>
              <w:right w:w="20" w:type="dxa"/>
            </w:tcMar>
            <w:vAlign w:val="bottom"/>
          </w:tcPr>
          <w:p w14:paraId="64A89A0E"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A0F" w14:textId="77777777" w:rsidR="008D6614" w:rsidRDefault="00866AF2">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shd w:val="clear" w:color="auto" w:fill="auto"/>
            <w:vAlign w:val="center"/>
          </w:tcPr>
          <w:p w14:paraId="64A89A10" w14:textId="77777777" w:rsidR="008D6614" w:rsidRDefault="008D6614">
            <w:pPr>
              <w:rPr>
                <w:rFonts w:ascii="宋体"/>
              </w:rPr>
            </w:pPr>
          </w:p>
        </w:tc>
        <w:tc>
          <w:tcPr>
            <w:tcW w:w="0" w:type="auto"/>
            <w:shd w:val="clear" w:color="auto" w:fill="auto"/>
            <w:vAlign w:val="center"/>
          </w:tcPr>
          <w:p w14:paraId="64A89A11" w14:textId="77777777" w:rsidR="008D6614" w:rsidRDefault="008D6614">
            <w:pPr>
              <w:rPr>
                <w:rFonts w:ascii="宋体"/>
              </w:rPr>
            </w:pPr>
          </w:p>
        </w:tc>
        <w:tc>
          <w:tcPr>
            <w:tcW w:w="0" w:type="auto"/>
            <w:shd w:val="clear" w:color="auto" w:fill="auto"/>
            <w:vAlign w:val="center"/>
          </w:tcPr>
          <w:p w14:paraId="64A89A12" w14:textId="77777777" w:rsidR="008D6614" w:rsidRDefault="008D6614">
            <w:pPr>
              <w:rPr>
                <w:rFonts w:ascii="宋体"/>
              </w:rPr>
            </w:pPr>
          </w:p>
        </w:tc>
        <w:tc>
          <w:tcPr>
            <w:tcW w:w="0" w:type="auto"/>
            <w:shd w:val="clear" w:color="auto" w:fill="auto"/>
            <w:vAlign w:val="center"/>
          </w:tcPr>
          <w:p w14:paraId="64A89A13" w14:textId="77777777" w:rsidR="008D6614" w:rsidRDefault="008D6614">
            <w:pPr>
              <w:rPr>
                <w:rFonts w:ascii="宋体"/>
              </w:rPr>
            </w:pPr>
          </w:p>
        </w:tc>
        <w:tc>
          <w:tcPr>
            <w:tcW w:w="0" w:type="auto"/>
            <w:shd w:val="clear" w:color="auto" w:fill="auto"/>
            <w:vAlign w:val="center"/>
          </w:tcPr>
          <w:p w14:paraId="64A89A14" w14:textId="77777777" w:rsidR="008D6614" w:rsidRDefault="008D6614">
            <w:pPr>
              <w:rPr>
                <w:rFonts w:ascii="宋体"/>
              </w:rPr>
            </w:pPr>
          </w:p>
        </w:tc>
        <w:tc>
          <w:tcPr>
            <w:tcW w:w="0" w:type="auto"/>
            <w:shd w:val="clear" w:color="auto" w:fill="auto"/>
            <w:vAlign w:val="center"/>
          </w:tcPr>
          <w:p w14:paraId="64A89A15" w14:textId="77777777" w:rsidR="008D6614" w:rsidRDefault="008D6614">
            <w:pPr>
              <w:rPr>
                <w:rFonts w:ascii="宋体"/>
              </w:rPr>
            </w:pPr>
          </w:p>
        </w:tc>
        <w:tc>
          <w:tcPr>
            <w:tcW w:w="0" w:type="auto"/>
            <w:shd w:val="clear" w:color="auto" w:fill="auto"/>
            <w:vAlign w:val="center"/>
          </w:tcPr>
          <w:p w14:paraId="64A89A16" w14:textId="77777777" w:rsidR="008D6614" w:rsidRDefault="008D6614">
            <w:pPr>
              <w:rPr>
                <w:rFonts w:ascii="宋体"/>
              </w:rPr>
            </w:pPr>
          </w:p>
        </w:tc>
        <w:tc>
          <w:tcPr>
            <w:tcW w:w="0" w:type="auto"/>
            <w:shd w:val="clear" w:color="auto" w:fill="auto"/>
            <w:vAlign w:val="center"/>
          </w:tcPr>
          <w:p w14:paraId="64A89A17" w14:textId="77777777" w:rsidR="008D6614" w:rsidRDefault="008D6614">
            <w:pPr>
              <w:rPr>
                <w:rFonts w:ascii="宋体"/>
              </w:rPr>
            </w:pPr>
          </w:p>
        </w:tc>
        <w:tc>
          <w:tcPr>
            <w:tcW w:w="0" w:type="auto"/>
            <w:shd w:val="clear" w:color="auto" w:fill="auto"/>
            <w:vAlign w:val="center"/>
          </w:tcPr>
          <w:p w14:paraId="64A89A18" w14:textId="77777777" w:rsidR="008D6614" w:rsidRDefault="008D6614">
            <w:pPr>
              <w:rPr>
                <w:rFonts w:ascii="宋体"/>
              </w:rPr>
            </w:pPr>
          </w:p>
        </w:tc>
        <w:tc>
          <w:tcPr>
            <w:tcW w:w="0" w:type="auto"/>
            <w:shd w:val="clear" w:color="auto" w:fill="auto"/>
            <w:vAlign w:val="center"/>
          </w:tcPr>
          <w:p w14:paraId="64A89A19" w14:textId="77777777" w:rsidR="008D6614" w:rsidRDefault="008D6614">
            <w:pPr>
              <w:rPr>
                <w:rFonts w:ascii="宋体"/>
              </w:rPr>
            </w:pPr>
          </w:p>
        </w:tc>
        <w:tc>
          <w:tcPr>
            <w:tcW w:w="0" w:type="auto"/>
            <w:shd w:val="clear" w:color="auto" w:fill="auto"/>
            <w:vAlign w:val="center"/>
          </w:tcPr>
          <w:p w14:paraId="64A89A1A" w14:textId="77777777" w:rsidR="008D6614" w:rsidRDefault="008D6614">
            <w:pPr>
              <w:rPr>
                <w:rFonts w:ascii="宋体"/>
              </w:rPr>
            </w:pPr>
          </w:p>
        </w:tc>
        <w:tc>
          <w:tcPr>
            <w:tcW w:w="0" w:type="auto"/>
            <w:shd w:val="clear" w:color="auto" w:fill="auto"/>
            <w:vAlign w:val="center"/>
          </w:tcPr>
          <w:p w14:paraId="64A89A1B" w14:textId="77777777" w:rsidR="008D6614" w:rsidRDefault="008D6614">
            <w:pPr>
              <w:rPr>
                <w:rFonts w:ascii="宋体"/>
              </w:rPr>
            </w:pPr>
          </w:p>
        </w:tc>
        <w:tc>
          <w:tcPr>
            <w:tcW w:w="0" w:type="auto"/>
            <w:shd w:val="clear" w:color="auto" w:fill="auto"/>
            <w:vAlign w:val="center"/>
          </w:tcPr>
          <w:p w14:paraId="64A89A1C" w14:textId="77777777" w:rsidR="008D6614" w:rsidRDefault="008D6614">
            <w:pPr>
              <w:rPr>
                <w:rFonts w:ascii="宋体"/>
              </w:rPr>
            </w:pPr>
          </w:p>
        </w:tc>
        <w:tc>
          <w:tcPr>
            <w:tcW w:w="0" w:type="auto"/>
            <w:shd w:val="clear" w:color="auto" w:fill="auto"/>
            <w:vAlign w:val="center"/>
          </w:tcPr>
          <w:p w14:paraId="64A89A1D" w14:textId="77777777" w:rsidR="008D6614" w:rsidRDefault="008D6614">
            <w:pPr>
              <w:rPr>
                <w:rFonts w:ascii="宋体"/>
              </w:rPr>
            </w:pPr>
          </w:p>
        </w:tc>
        <w:tc>
          <w:tcPr>
            <w:tcW w:w="0" w:type="auto"/>
            <w:shd w:val="clear" w:color="auto" w:fill="auto"/>
            <w:vAlign w:val="center"/>
          </w:tcPr>
          <w:p w14:paraId="64A89A1E" w14:textId="77777777" w:rsidR="008D6614" w:rsidRDefault="008D6614">
            <w:pPr>
              <w:rPr>
                <w:rFonts w:ascii="宋体"/>
              </w:rPr>
            </w:pPr>
          </w:p>
        </w:tc>
        <w:tc>
          <w:tcPr>
            <w:tcW w:w="0" w:type="auto"/>
            <w:shd w:val="clear" w:color="auto" w:fill="auto"/>
            <w:vAlign w:val="center"/>
          </w:tcPr>
          <w:p w14:paraId="64A89A1F" w14:textId="77777777" w:rsidR="008D6614" w:rsidRDefault="008D6614">
            <w:pPr>
              <w:rPr>
                <w:rFonts w:ascii="宋体"/>
              </w:rPr>
            </w:pPr>
          </w:p>
        </w:tc>
        <w:tc>
          <w:tcPr>
            <w:tcW w:w="0" w:type="auto"/>
            <w:shd w:val="clear" w:color="auto" w:fill="auto"/>
            <w:vAlign w:val="center"/>
          </w:tcPr>
          <w:p w14:paraId="64A89A20" w14:textId="77777777" w:rsidR="008D6614" w:rsidRDefault="008D6614">
            <w:pPr>
              <w:rPr>
                <w:rFonts w:ascii="宋体"/>
              </w:rPr>
            </w:pPr>
          </w:p>
        </w:tc>
        <w:tc>
          <w:tcPr>
            <w:tcW w:w="0" w:type="auto"/>
            <w:shd w:val="clear" w:color="auto" w:fill="auto"/>
            <w:vAlign w:val="center"/>
          </w:tcPr>
          <w:p w14:paraId="64A89A21" w14:textId="77777777" w:rsidR="008D6614" w:rsidRDefault="008D6614">
            <w:pPr>
              <w:rPr>
                <w:rFonts w:ascii="宋体"/>
              </w:rPr>
            </w:pPr>
          </w:p>
        </w:tc>
      </w:tr>
      <w:tr w:rsidR="008D6614" w14:paraId="64A89A3D" w14:textId="77777777">
        <w:tc>
          <w:tcPr>
            <w:tcW w:w="0" w:type="auto"/>
            <w:gridSpan w:val="3"/>
            <w:shd w:val="clear" w:color="auto" w:fill="E2E2E2"/>
            <w:tcMar>
              <w:top w:w="40" w:type="dxa"/>
              <w:left w:w="20" w:type="dxa"/>
              <w:bottom w:w="40" w:type="dxa"/>
              <w:right w:w="20" w:type="dxa"/>
            </w:tcMar>
            <w:vAlign w:val="bottom"/>
          </w:tcPr>
          <w:p w14:paraId="64A89A23" w14:textId="77777777" w:rsidR="008D6614" w:rsidRDefault="00866AF2">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left w:w="20" w:type="dxa"/>
              <w:right w:w="20" w:type="dxa"/>
            </w:tcMar>
            <w:vAlign w:val="bottom"/>
          </w:tcPr>
          <w:p w14:paraId="64A89A2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A25"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A2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A27"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A2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A29"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A2A" w14:textId="77777777" w:rsidR="008D6614" w:rsidRDefault="008D6614">
            <w:pPr>
              <w:rPr>
                <w:rFonts w:ascii="宋体"/>
              </w:rPr>
            </w:pPr>
          </w:p>
        </w:tc>
        <w:tc>
          <w:tcPr>
            <w:tcW w:w="0" w:type="auto"/>
            <w:shd w:val="clear" w:color="auto" w:fill="auto"/>
            <w:vAlign w:val="center"/>
          </w:tcPr>
          <w:p w14:paraId="64A89A2B" w14:textId="77777777" w:rsidR="008D6614" w:rsidRDefault="008D6614">
            <w:pPr>
              <w:rPr>
                <w:rFonts w:ascii="宋体"/>
              </w:rPr>
            </w:pPr>
          </w:p>
        </w:tc>
        <w:tc>
          <w:tcPr>
            <w:tcW w:w="0" w:type="auto"/>
            <w:shd w:val="clear" w:color="auto" w:fill="auto"/>
            <w:vAlign w:val="center"/>
          </w:tcPr>
          <w:p w14:paraId="64A89A2C" w14:textId="77777777" w:rsidR="008D6614" w:rsidRDefault="008D6614">
            <w:pPr>
              <w:rPr>
                <w:rFonts w:ascii="宋体"/>
              </w:rPr>
            </w:pPr>
          </w:p>
        </w:tc>
        <w:tc>
          <w:tcPr>
            <w:tcW w:w="0" w:type="auto"/>
            <w:shd w:val="clear" w:color="auto" w:fill="auto"/>
            <w:vAlign w:val="center"/>
          </w:tcPr>
          <w:p w14:paraId="64A89A2D" w14:textId="77777777" w:rsidR="008D6614" w:rsidRDefault="008D6614">
            <w:pPr>
              <w:rPr>
                <w:rFonts w:ascii="宋体"/>
              </w:rPr>
            </w:pPr>
          </w:p>
        </w:tc>
        <w:tc>
          <w:tcPr>
            <w:tcW w:w="0" w:type="auto"/>
            <w:shd w:val="clear" w:color="auto" w:fill="auto"/>
            <w:vAlign w:val="center"/>
          </w:tcPr>
          <w:p w14:paraId="64A89A2E" w14:textId="77777777" w:rsidR="008D6614" w:rsidRDefault="008D6614">
            <w:pPr>
              <w:rPr>
                <w:rFonts w:ascii="宋体"/>
              </w:rPr>
            </w:pPr>
          </w:p>
        </w:tc>
        <w:tc>
          <w:tcPr>
            <w:tcW w:w="0" w:type="auto"/>
            <w:shd w:val="clear" w:color="auto" w:fill="auto"/>
            <w:vAlign w:val="center"/>
          </w:tcPr>
          <w:p w14:paraId="64A89A2F" w14:textId="77777777" w:rsidR="008D6614" w:rsidRDefault="008D6614">
            <w:pPr>
              <w:rPr>
                <w:rFonts w:ascii="宋体"/>
              </w:rPr>
            </w:pPr>
          </w:p>
        </w:tc>
        <w:tc>
          <w:tcPr>
            <w:tcW w:w="0" w:type="auto"/>
            <w:shd w:val="clear" w:color="auto" w:fill="auto"/>
            <w:vAlign w:val="center"/>
          </w:tcPr>
          <w:p w14:paraId="64A89A30" w14:textId="77777777" w:rsidR="008D6614" w:rsidRDefault="008D6614">
            <w:pPr>
              <w:rPr>
                <w:rFonts w:ascii="宋体"/>
              </w:rPr>
            </w:pPr>
          </w:p>
        </w:tc>
        <w:tc>
          <w:tcPr>
            <w:tcW w:w="0" w:type="auto"/>
            <w:shd w:val="clear" w:color="auto" w:fill="auto"/>
            <w:vAlign w:val="center"/>
          </w:tcPr>
          <w:p w14:paraId="64A89A31" w14:textId="77777777" w:rsidR="008D6614" w:rsidRDefault="008D6614">
            <w:pPr>
              <w:rPr>
                <w:rFonts w:ascii="宋体"/>
              </w:rPr>
            </w:pPr>
          </w:p>
        </w:tc>
        <w:tc>
          <w:tcPr>
            <w:tcW w:w="0" w:type="auto"/>
            <w:shd w:val="clear" w:color="auto" w:fill="auto"/>
            <w:vAlign w:val="center"/>
          </w:tcPr>
          <w:p w14:paraId="64A89A32" w14:textId="77777777" w:rsidR="008D6614" w:rsidRDefault="008D6614">
            <w:pPr>
              <w:rPr>
                <w:rFonts w:ascii="宋体"/>
              </w:rPr>
            </w:pPr>
          </w:p>
        </w:tc>
        <w:tc>
          <w:tcPr>
            <w:tcW w:w="0" w:type="auto"/>
            <w:shd w:val="clear" w:color="auto" w:fill="auto"/>
            <w:vAlign w:val="center"/>
          </w:tcPr>
          <w:p w14:paraId="64A89A33" w14:textId="77777777" w:rsidR="008D6614" w:rsidRDefault="008D6614">
            <w:pPr>
              <w:rPr>
                <w:rFonts w:ascii="宋体"/>
              </w:rPr>
            </w:pPr>
          </w:p>
        </w:tc>
        <w:tc>
          <w:tcPr>
            <w:tcW w:w="0" w:type="auto"/>
            <w:shd w:val="clear" w:color="auto" w:fill="auto"/>
            <w:vAlign w:val="center"/>
          </w:tcPr>
          <w:p w14:paraId="64A89A34" w14:textId="77777777" w:rsidR="008D6614" w:rsidRDefault="008D6614">
            <w:pPr>
              <w:rPr>
                <w:rFonts w:ascii="宋体"/>
              </w:rPr>
            </w:pPr>
          </w:p>
        </w:tc>
        <w:tc>
          <w:tcPr>
            <w:tcW w:w="0" w:type="auto"/>
            <w:shd w:val="clear" w:color="auto" w:fill="auto"/>
            <w:vAlign w:val="center"/>
          </w:tcPr>
          <w:p w14:paraId="64A89A35" w14:textId="77777777" w:rsidR="008D6614" w:rsidRDefault="008D6614">
            <w:pPr>
              <w:rPr>
                <w:rFonts w:ascii="宋体"/>
              </w:rPr>
            </w:pPr>
          </w:p>
        </w:tc>
        <w:tc>
          <w:tcPr>
            <w:tcW w:w="0" w:type="auto"/>
            <w:shd w:val="clear" w:color="auto" w:fill="auto"/>
            <w:vAlign w:val="center"/>
          </w:tcPr>
          <w:p w14:paraId="64A89A36" w14:textId="77777777" w:rsidR="008D6614" w:rsidRDefault="008D6614">
            <w:pPr>
              <w:rPr>
                <w:rFonts w:ascii="宋体"/>
              </w:rPr>
            </w:pPr>
          </w:p>
        </w:tc>
        <w:tc>
          <w:tcPr>
            <w:tcW w:w="0" w:type="auto"/>
            <w:shd w:val="clear" w:color="auto" w:fill="auto"/>
            <w:vAlign w:val="center"/>
          </w:tcPr>
          <w:p w14:paraId="64A89A37" w14:textId="77777777" w:rsidR="008D6614" w:rsidRDefault="008D6614">
            <w:pPr>
              <w:rPr>
                <w:rFonts w:ascii="宋体"/>
              </w:rPr>
            </w:pPr>
          </w:p>
        </w:tc>
        <w:tc>
          <w:tcPr>
            <w:tcW w:w="0" w:type="auto"/>
            <w:shd w:val="clear" w:color="auto" w:fill="auto"/>
            <w:vAlign w:val="center"/>
          </w:tcPr>
          <w:p w14:paraId="64A89A38" w14:textId="77777777" w:rsidR="008D6614" w:rsidRDefault="008D6614">
            <w:pPr>
              <w:rPr>
                <w:rFonts w:ascii="宋体"/>
              </w:rPr>
            </w:pPr>
          </w:p>
        </w:tc>
        <w:tc>
          <w:tcPr>
            <w:tcW w:w="0" w:type="auto"/>
            <w:shd w:val="clear" w:color="auto" w:fill="auto"/>
            <w:vAlign w:val="center"/>
          </w:tcPr>
          <w:p w14:paraId="64A89A39" w14:textId="77777777" w:rsidR="008D6614" w:rsidRDefault="008D6614">
            <w:pPr>
              <w:rPr>
                <w:rFonts w:ascii="宋体"/>
              </w:rPr>
            </w:pPr>
          </w:p>
        </w:tc>
        <w:tc>
          <w:tcPr>
            <w:tcW w:w="0" w:type="auto"/>
            <w:shd w:val="clear" w:color="auto" w:fill="auto"/>
            <w:vAlign w:val="center"/>
          </w:tcPr>
          <w:p w14:paraId="64A89A3A" w14:textId="77777777" w:rsidR="008D6614" w:rsidRDefault="008D6614">
            <w:pPr>
              <w:rPr>
                <w:rFonts w:ascii="宋体"/>
              </w:rPr>
            </w:pPr>
          </w:p>
        </w:tc>
        <w:tc>
          <w:tcPr>
            <w:tcW w:w="0" w:type="auto"/>
            <w:shd w:val="clear" w:color="auto" w:fill="auto"/>
            <w:vAlign w:val="center"/>
          </w:tcPr>
          <w:p w14:paraId="64A89A3B" w14:textId="77777777" w:rsidR="008D6614" w:rsidRDefault="008D6614">
            <w:pPr>
              <w:rPr>
                <w:rFonts w:ascii="宋体"/>
              </w:rPr>
            </w:pPr>
          </w:p>
        </w:tc>
        <w:tc>
          <w:tcPr>
            <w:tcW w:w="0" w:type="auto"/>
            <w:shd w:val="clear" w:color="auto" w:fill="auto"/>
            <w:vAlign w:val="center"/>
          </w:tcPr>
          <w:p w14:paraId="64A89A3C" w14:textId="77777777" w:rsidR="008D6614" w:rsidRDefault="008D6614">
            <w:pPr>
              <w:rPr>
                <w:rFonts w:ascii="宋体"/>
              </w:rPr>
            </w:pPr>
          </w:p>
        </w:tc>
      </w:tr>
      <w:tr w:rsidR="008D6614" w14:paraId="64A89A63" w14:textId="77777777">
        <w:tc>
          <w:tcPr>
            <w:tcW w:w="0" w:type="auto"/>
            <w:gridSpan w:val="3"/>
            <w:shd w:val="clear" w:color="auto" w:fill="FFFFFF"/>
            <w:tcMar>
              <w:top w:w="40" w:type="dxa"/>
              <w:left w:w="225" w:type="dxa"/>
              <w:bottom w:w="40" w:type="dxa"/>
              <w:right w:w="20" w:type="dxa"/>
            </w:tcMar>
            <w:vAlign w:val="bottom"/>
          </w:tcPr>
          <w:p w14:paraId="64A89A3E" w14:textId="77777777" w:rsidR="008D6614" w:rsidRDefault="00866AF2">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tcMar>
            <w:vAlign w:val="bottom"/>
          </w:tcPr>
          <w:p w14:paraId="64A89A3F"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A40" w14:textId="77777777" w:rsidR="008D6614" w:rsidRDefault="00866AF2">
            <w:pPr>
              <w:jc w:val="right"/>
              <w:textAlignment w:val="bottom"/>
            </w:pPr>
            <w:r>
              <w:rPr>
                <w:rFonts w:ascii="Arial" w:eastAsia="宋体" w:hAnsi="Arial" w:cs="Arial"/>
                <w:color w:val="000000"/>
                <w:sz w:val="18"/>
                <w:szCs w:val="18"/>
              </w:rPr>
              <w:t>21 </w:t>
            </w:r>
          </w:p>
        </w:tc>
        <w:tc>
          <w:tcPr>
            <w:tcW w:w="0" w:type="auto"/>
            <w:shd w:val="clear" w:color="auto" w:fill="FFFFFF"/>
            <w:tcMar>
              <w:top w:w="40" w:type="dxa"/>
              <w:bottom w:w="40" w:type="dxa"/>
              <w:right w:w="20" w:type="dxa"/>
            </w:tcMar>
            <w:vAlign w:val="bottom"/>
          </w:tcPr>
          <w:p w14:paraId="64A89A41"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A42" w14:textId="77777777" w:rsidR="008D6614" w:rsidRDefault="008D6614">
            <w:pPr>
              <w:rPr>
                <w:rFonts w:ascii="宋体"/>
              </w:rPr>
            </w:pPr>
          </w:p>
        </w:tc>
        <w:tc>
          <w:tcPr>
            <w:tcW w:w="0" w:type="auto"/>
            <w:shd w:val="clear" w:color="auto" w:fill="FFFFFF"/>
            <w:tcMar>
              <w:right w:w="20" w:type="dxa"/>
            </w:tcMar>
            <w:vAlign w:val="bottom"/>
          </w:tcPr>
          <w:p w14:paraId="64A89A43" w14:textId="77777777" w:rsidR="008D6614" w:rsidRDefault="008D6614">
            <w:pPr>
              <w:jc w:val="right"/>
              <w:rPr>
                <w:rFonts w:ascii="宋体"/>
              </w:rPr>
            </w:pPr>
          </w:p>
        </w:tc>
        <w:tc>
          <w:tcPr>
            <w:tcW w:w="0" w:type="auto"/>
            <w:shd w:val="clear" w:color="auto" w:fill="FFFFFF"/>
            <w:tcMar>
              <w:top w:w="40" w:type="dxa"/>
              <w:left w:w="20" w:type="dxa"/>
              <w:bottom w:w="40" w:type="dxa"/>
            </w:tcMar>
            <w:vAlign w:val="bottom"/>
          </w:tcPr>
          <w:p w14:paraId="64A89A44"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A4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A46"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A47" w14:textId="77777777" w:rsidR="008D6614" w:rsidRDefault="008D6614">
            <w:pPr>
              <w:rPr>
                <w:rFonts w:ascii="宋体"/>
              </w:rPr>
            </w:pPr>
          </w:p>
        </w:tc>
        <w:tc>
          <w:tcPr>
            <w:tcW w:w="0" w:type="auto"/>
            <w:shd w:val="clear" w:color="auto" w:fill="FFFFFF"/>
            <w:tcMar>
              <w:right w:w="20" w:type="dxa"/>
            </w:tcMar>
            <w:vAlign w:val="bottom"/>
          </w:tcPr>
          <w:p w14:paraId="64A89A48" w14:textId="77777777" w:rsidR="008D6614" w:rsidRDefault="008D6614">
            <w:pPr>
              <w:jc w:val="right"/>
              <w:rPr>
                <w:rFonts w:ascii="宋体"/>
              </w:rPr>
            </w:pPr>
          </w:p>
        </w:tc>
        <w:tc>
          <w:tcPr>
            <w:tcW w:w="0" w:type="auto"/>
            <w:shd w:val="clear" w:color="auto" w:fill="FFFFFF"/>
            <w:tcMar>
              <w:top w:w="40" w:type="dxa"/>
              <w:left w:w="20" w:type="dxa"/>
              <w:bottom w:w="40" w:type="dxa"/>
            </w:tcMar>
            <w:vAlign w:val="bottom"/>
          </w:tcPr>
          <w:p w14:paraId="64A89A49"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A4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A4B"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A4C" w14:textId="77777777" w:rsidR="008D6614" w:rsidRDefault="008D6614">
            <w:pPr>
              <w:rPr>
                <w:rFonts w:ascii="宋体"/>
              </w:rPr>
            </w:pPr>
          </w:p>
        </w:tc>
        <w:tc>
          <w:tcPr>
            <w:tcW w:w="0" w:type="auto"/>
            <w:shd w:val="clear" w:color="auto" w:fill="FFFFFF"/>
            <w:tcMar>
              <w:right w:w="20" w:type="dxa"/>
            </w:tcMar>
            <w:vAlign w:val="bottom"/>
          </w:tcPr>
          <w:p w14:paraId="64A89A4D" w14:textId="77777777" w:rsidR="008D6614" w:rsidRDefault="008D6614">
            <w:pPr>
              <w:jc w:val="right"/>
              <w:rPr>
                <w:rFonts w:ascii="宋体"/>
              </w:rPr>
            </w:pPr>
          </w:p>
        </w:tc>
        <w:tc>
          <w:tcPr>
            <w:tcW w:w="0" w:type="auto"/>
            <w:shd w:val="clear" w:color="auto" w:fill="FFFFFF"/>
            <w:tcMar>
              <w:top w:w="40" w:type="dxa"/>
              <w:left w:w="20" w:type="dxa"/>
              <w:bottom w:w="40" w:type="dxa"/>
            </w:tcMar>
            <w:vAlign w:val="bottom"/>
          </w:tcPr>
          <w:p w14:paraId="64A89A4E"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A4F" w14:textId="77777777" w:rsidR="008D6614" w:rsidRDefault="00866AF2">
            <w:pPr>
              <w:jc w:val="right"/>
              <w:textAlignment w:val="bottom"/>
            </w:pPr>
            <w:r>
              <w:rPr>
                <w:rFonts w:ascii="Arial" w:eastAsia="宋体" w:hAnsi="Arial" w:cs="Arial"/>
                <w:color w:val="000000"/>
                <w:sz w:val="18"/>
                <w:szCs w:val="18"/>
              </w:rPr>
              <w:t>21 </w:t>
            </w:r>
          </w:p>
        </w:tc>
        <w:tc>
          <w:tcPr>
            <w:tcW w:w="0" w:type="auto"/>
            <w:shd w:val="clear" w:color="auto" w:fill="FFFFFF"/>
            <w:tcMar>
              <w:top w:w="40" w:type="dxa"/>
              <w:bottom w:w="40" w:type="dxa"/>
              <w:right w:w="20" w:type="dxa"/>
            </w:tcMar>
            <w:vAlign w:val="bottom"/>
          </w:tcPr>
          <w:p w14:paraId="64A89A5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A51" w14:textId="77777777" w:rsidR="008D6614" w:rsidRDefault="008D6614">
            <w:pPr>
              <w:rPr>
                <w:rFonts w:ascii="宋体"/>
              </w:rPr>
            </w:pPr>
          </w:p>
        </w:tc>
        <w:tc>
          <w:tcPr>
            <w:tcW w:w="0" w:type="auto"/>
            <w:shd w:val="clear" w:color="auto" w:fill="auto"/>
            <w:vAlign w:val="center"/>
          </w:tcPr>
          <w:p w14:paraId="64A89A52" w14:textId="77777777" w:rsidR="008D6614" w:rsidRDefault="008D6614">
            <w:pPr>
              <w:rPr>
                <w:rFonts w:ascii="宋体"/>
              </w:rPr>
            </w:pPr>
          </w:p>
        </w:tc>
        <w:tc>
          <w:tcPr>
            <w:tcW w:w="0" w:type="auto"/>
            <w:shd w:val="clear" w:color="auto" w:fill="auto"/>
            <w:vAlign w:val="center"/>
          </w:tcPr>
          <w:p w14:paraId="64A89A53" w14:textId="77777777" w:rsidR="008D6614" w:rsidRDefault="008D6614">
            <w:pPr>
              <w:rPr>
                <w:rFonts w:ascii="宋体"/>
              </w:rPr>
            </w:pPr>
          </w:p>
        </w:tc>
        <w:tc>
          <w:tcPr>
            <w:tcW w:w="0" w:type="auto"/>
            <w:shd w:val="clear" w:color="auto" w:fill="auto"/>
            <w:vAlign w:val="center"/>
          </w:tcPr>
          <w:p w14:paraId="64A89A54" w14:textId="77777777" w:rsidR="008D6614" w:rsidRDefault="008D6614">
            <w:pPr>
              <w:rPr>
                <w:rFonts w:ascii="宋体"/>
              </w:rPr>
            </w:pPr>
          </w:p>
        </w:tc>
        <w:tc>
          <w:tcPr>
            <w:tcW w:w="0" w:type="auto"/>
            <w:shd w:val="clear" w:color="auto" w:fill="auto"/>
            <w:vAlign w:val="center"/>
          </w:tcPr>
          <w:p w14:paraId="64A89A55" w14:textId="77777777" w:rsidR="008D6614" w:rsidRDefault="008D6614">
            <w:pPr>
              <w:rPr>
                <w:rFonts w:ascii="宋体"/>
              </w:rPr>
            </w:pPr>
          </w:p>
        </w:tc>
        <w:tc>
          <w:tcPr>
            <w:tcW w:w="0" w:type="auto"/>
            <w:shd w:val="clear" w:color="auto" w:fill="auto"/>
            <w:vAlign w:val="center"/>
          </w:tcPr>
          <w:p w14:paraId="64A89A56" w14:textId="77777777" w:rsidR="008D6614" w:rsidRDefault="008D6614">
            <w:pPr>
              <w:rPr>
                <w:rFonts w:ascii="宋体"/>
              </w:rPr>
            </w:pPr>
          </w:p>
        </w:tc>
        <w:tc>
          <w:tcPr>
            <w:tcW w:w="0" w:type="auto"/>
            <w:shd w:val="clear" w:color="auto" w:fill="auto"/>
            <w:vAlign w:val="center"/>
          </w:tcPr>
          <w:p w14:paraId="64A89A57" w14:textId="77777777" w:rsidR="008D6614" w:rsidRDefault="008D6614">
            <w:pPr>
              <w:rPr>
                <w:rFonts w:ascii="宋体"/>
              </w:rPr>
            </w:pPr>
          </w:p>
        </w:tc>
        <w:tc>
          <w:tcPr>
            <w:tcW w:w="0" w:type="auto"/>
            <w:shd w:val="clear" w:color="auto" w:fill="auto"/>
            <w:vAlign w:val="center"/>
          </w:tcPr>
          <w:p w14:paraId="64A89A58" w14:textId="77777777" w:rsidR="008D6614" w:rsidRDefault="008D6614">
            <w:pPr>
              <w:rPr>
                <w:rFonts w:ascii="宋体"/>
              </w:rPr>
            </w:pPr>
          </w:p>
        </w:tc>
        <w:tc>
          <w:tcPr>
            <w:tcW w:w="0" w:type="auto"/>
            <w:shd w:val="clear" w:color="auto" w:fill="auto"/>
            <w:vAlign w:val="center"/>
          </w:tcPr>
          <w:p w14:paraId="64A89A59" w14:textId="77777777" w:rsidR="008D6614" w:rsidRDefault="008D6614">
            <w:pPr>
              <w:rPr>
                <w:rFonts w:ascii="宋体"/>
              </w:rPr>
            </w:pPr>
          </w:p>
        </w:tc>
        <w:tc>
          <w:tcPr>
            <w:tcW w:w="0" w:type="auto"/>
            <w:shd w:val="clear" w:color="auto" w:fill="auto"/>
            <w:vAlign w:val="center"/>
          </w:tcPr>
          <w:p w14:paraId="64A89A5A" w14:textId="77777777" w:rsidR="008D6614" w:rsidRDefault="008D6614">
            <w:pPr>
              <w:rPr>
                <w:rFonts w:ascii="宋体"/>
              </w:rPr>
            </w:pPr>
          </w:p>
        </w:tc>
        <w:tc>
          <w:tcPr>
            <w:tcW w:w="0" w:type="auto"/>
            <w:shd w:val="clear" w:color="auto" w:fill="auto"/>
            <w:vAlign w:val="center"/>
          </w:tcPr>
          <w:p w14:paraId="64A89A5B" w14:textId="77777777" w:rsidR="008D6614" w:rsidRDefault="008D6614">
            <w:pPr>
              <w:rPr>
                <w:rFonts w:ascii="宋体"/>
              </w:rPr>
            </w:pPr>
          </w:p>
        </w:tc>
        <w:tc>
          <w:tcPr>
            <w:tcW w:w="0" w:type="auto"/>
            <w:shd w:val="clear" w:color="auto" w:fill="auto"/>
            <w:vAlign w:val="center"/>
          </w:tcPr>
          <w:p w14:paraId="64A89A5C" w14:textId="77777777" w:rsidR="008D6614" w:rsidRDefault="008D6614">
            <w:pPr>
              <w:rPr>
                <w:rFonts w:ascii="宋体"/>
              </w:rPr>
            </w:pPr>
          </w:p>
        </w:tc>
        <w:tc>
          <w:tcPr>
            <w:tcW w:w="0" w:type="auto"/>
            <w:shd w:val="clear" w:color="auto" w:fill="auto"/>
            <w:vAlign w:val="center"/>
          </w:tcPr>
          <w:p w14:paraId="64A89A5D" w14:textId="77777777" w:rsidR="008D6614" w:rsidRDefault="008D6614">
            <w:pPr>
              <w:rPr>
                <w:rFonts w:ascii="宋体"/>
              </w:rPr>
            </w:pPr>
          </w:p>
        </w:tc>
        <w:tc>
          <w:tcPr>
            <w:tcW w:w="0" w:type="auto"/>
            <w:shd w:val="clear" w:color="auto" w:fill="auto"/>
            <w:vAlign w:val="center"/>
          </w:tcPr>
          <w:p w14:paraId="64A89A5E" w14:textId="77777777" w:rsidR="008D6614" w:rsidRDefault="008D6614">
            <w:pPr>
              <w:rPr>
                <w:rFonts w:ascii="宋体"/>
              </w:rPr>
            </w:pPr>
          </w:p>
        </w:tc>
        <w:tc>
          <w:tcPr>
            <w:tcW w:w="0" w:type="auto"/>
            <w:shd w:val="clear" w:color="auto" w:fill="auto"/>
            <w:vAlign w:val="center"/>
          </w:tcPr>
          <w:p w14:paraId="64A89A5F" w14:textId="77777777" w:rsidR="008D6614" w:rsidRDefault="008D6614">
            <w:pPr>
              <w:rPr>
                <w:rFonts w:ascii="宋体"/>
              </w:rPr>
            </w:pPr>
          </w:p>
        </w:tc>
        <w:tc>
          <w:tcPr>
            <w:tcW w:w="0" w:type="auto"/>
            <w:shd w:val="clear" w:color="auto" w:fill="auto"/>
            <w:vAlign w:val="center"/>
          </w:tcPr>
          <w:p w14:paraId="64A89A60" w14:textId="77777777" w:rsidR="008D6614" w:rsidRDefault="008D6614">
            <w:pPr>
              <w:rPr>
                <w:rFonts w:ascii="宋体"/>
              </w:rPr>
            </w:pPr>
          </w:p>
        </w:tc>
        <w:tc>
          <w:tcPr>
            <w:tcW w:w="0" w:type="auto"/>
            <w:shd w:val="clear" w:color="auto" w:fill="auto"/>
            <w:vAlign w:val="center"/>
          </w:tcPr>
          <w:p w14:paraId="64A89A61" w14:textId="77777777" w:rsidR="008D6614" w:rsidRDefault="008D6614">
            <w:pPr>
              <w:rPr>
                <w:rFonts w:ascii="宋体"/>
              </w:rPr>
            </w:pPr>
          </w:p>
        </w:tc>
        <w:tc>
          <w:tcPr>
            <w:tcW w:w="0" w:type="auto"/>
            <w:shd w:val="clear" w:color="auto" w:fill="auto"/>
            <w:vAlign w:val="center"/>
          </w:tcPr>
          <w:p w14:paraId="64A89A62" w14:textId="77777777" w:rsidR="008D6614" w:rsidRDefault="008D6614">
            <w:pPr>
              <w:rPr>
                <w:rFonts w:ascii="宋体"/>
              </w:rPr>
            </w:pPr>
          </w:p>
        </w:tc>
      </w:tr>
      <w:tr w:rsidR="008D6614" w14:paraId="64A89A85" w14:textId="77777777">
        <w:tc>
          <w:tcPr>
            <w:tcW w:w="0" w:type="auto"/>
            <w:gridSpan w:val="3"/>
            <w:shd w:val="clear" w:color="auto" w:fill="E2E2E2"/>
            <w:tcMar>
              <w:top w:w="40" w:type="dxa"/>
              <w:left w:w="225" w:type="dxa"/>
              <w:bottom w:w="40" w:type="dxa"/>
              <w:right w:w="20" w:type="dxa"/>
            </w:tcMar>
            <w:vAlign w:val="bottom"/>
          </w:tcPr>
          <w:p w14:paraId="64A89A64" w14:textId="77777777" w:rsidR="008D6614" w:rsidRDefault="00866AF2">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A89A65" w14:textId="77777777" w:rsidR="008D6614" w:rsidRDefault="00866AF2">
            <w:pPr>
              <w:jc w:val="right"/>
              <w:textAlignment w:val="bottom"/>
            </w:pPr>
            <w:r>
              <w:rPr>
                <w:rFonts w:ascii="Arial" w:eastAsia="宋体" w:hAnsi="Arial" w:cs="Arial"/>
                <w:color w:val="000000"/>
                <w:sz w:val="18"/>
                <w:szCs w:val="18"/>
              </w:rPr>
              <w:t>1,653 </w:t>
            </w:r>
          </w:p>
        </w:tc>
        <w:tc>
          <w:tcPr>
            <w:tcW w:w="0" w:type="auto"/>
            <w:shd w:val="clear" w:color="auto" w:fill="E2E2E2"/>
            <w:tcMar>
              <w:top w:w="40" w:type="dxa"/>
              <w:bottom w:w="40" w:type="dxa"/>
              <w:right w:w="20" w:type="dxa"/>
            </w:tcMar>
            <w:vAlign w:val="bottom"/>
          </w:tcPr>
          <w:p w14:paraId="64A89A66"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A67" w14:textId="77777777" w:rsidR="008D6614" w:rsidRDefault="008D6614">
            <w:pPr>
              <w:rPr>
                <w:rFonts w:ascii="宋体"/>
              </w:rPr>
            </w:pPr>
          </w:p>
        </w:tc>
        <w:tc>
          <w:tcPr>
            <w:tcW w:w="0" w:type="auto"/>
            <w:shd w:val="clear" w:color="auto" w:fill="E2E2E2"/>
            <w:tcMar>
              <w:right w:w="20" w:type="dxa"/>
            </w:tcMar>
            <w:vAlign w:val="bottom"/>
          </w:tcPr>
          <w:p w14:paraId="64A89A68"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A69" w14:textId="77777777" w:rsidR="008D6614" w:rsidRDefault="00866AF2">
            <w:pPr>
              <w:jc w:val="right"/>
              <w:textAlignment w:val="bottom"/>
            </w:pPr>
            <w:r>
              <w:rPr>
                <w:rFonts w:ascii="Arial" w:eastAsia="宋体" w:hAnsi="Arial" w:cs="Arial"/>
                <w:color w:val="000000"/>
                <w:sz w:val="18"/>
                <w:szCs w:val="18"/>
              </w:rPr>
              <w:t>1 </w:t>
            </w:r>
          </w:p>
        </w:tc>
        <w:tc>
          <w:tcPr>
            <w:tcW w:w="0" w:type="auto"/>
            <w:shd w:val="clear" w:color="auto" w:fill="E2E2E2"/>
            <w:tcMar>
              <w:top w:w="40" w:type="dxa"/>
              <w:bottom w:w="40" w:type="dxa"/>
              <w:right w:w="20" w:type="dxa"/>
            </w:tcMar>
            <w:vAlign w:val="bottom"/>
          </w:tcPr>
          <w:p w14:paraId="64A89A6A"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A6B" w14:textId="77777777" w:rsidR="008D6614" w:rsidRDefault="008D6614">
            <w:pPr>
              <w:rPr>
                <w:rFonts w:ascii="宋体"/>
              </w:rPr>
            </w:pPr>
          </w:p>
        </w:tc>
        <w:tc>
          <w:tcPr>
            <w:tcW w:w="0" w:type="auto"/>
            <w:shd w:val="clear" w:color="auto" w:fill="E2E2E2"/>
            <w:tcMar>
              <w:right w:w="20" w:type="dxa"/>
            </w:tcMar>
            <w:vAlign w:val="bottom"/>
          </w:tcPr>
          <w:p w14:paraId="64A89A6C"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A6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9A6E"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A6F" w14:textId="77777777" w:rsidR="008D6614" w:rsidRDefault="008D6614">
            <w:pPr>
              <w:rPr>
                <w:rFonts w:ascii="宋体"/>
              </w:rPr>
            </w:pPr>
          </w:p>
        </w:tc>
        <w:tc>
          <w:tcPr>
            <w:tcW w:w="0" w:type="auto"/>
            <w:shd w:val="clear" w:color="auto" w:fill="E2E2E2"/>
            <w:tcMar>
              <w:right w:w="20" w:type="dxa"/>
            </w:tcMar>
            <w:vAlign w:val="bottom"/>
          </w:tcPr>
          <w:p w14:paraId="64A89A70"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A71" w14:textId="77777777" w:rsidR="008D6614" w:rsidRDefault="00866AF2">
            <w:pPr>
              <w:jc w:val="right"/>
              <w:textAlignment w:val="bottom"/>
            </w:pPr>
            <w:r>
              <w:rPr>
                <w:rFonts w:ascii="Arial" w:eastAsia="宋体" w:hAnsi="Arial" w:cs="Arial"/>
                <w:color w:val="000000"/>
                <w:sz w:val="18"/>
                <w:szCs w:val="18"/>
              </w:rPr>
              <w:t>1,654 </w:t>
            </w:r>
          </w:p>
        </w:tc>
        <w:tc>
          <w:tcPr>
            <w:tcW w:w="0" w:type="auto"/>
            <w:shd w:val="clear" w:color="auto" w:fill="E2E2E2"/>
            <w:tcMar>
              <w:top w:w="40" w:type="dxa"/>
              <w:bottom w:w="40" w:type="dxa"/>
              <w:right w:w="20" w:type="dxa"/>
            </w:tcMar>
            <w:vAlign w:val="bottom"/>
          </w:tcPr>
          <w:p w14:paraId="64A89A7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A73" w14:textId="77777777" w:rsidR="008D6614" w:rsidRDefault="008D6614">
            <w:pPr>
              <w:rPr>
                <w:rFonts w:ascii="宋体"/>
              </w:rPr>
            </w:pPr>
          </w:p>
        </w:tc>
        <w:tc>
          <w:tcPr>
            <w:tcW w:w="0" w:type="auto"/>
            <w:shd w:val="clear" w:color="auto" w:fill="auto"/>
            <w:vAlign w:val="center"/>
          </w:tcPr>
          <w:p w14:paraId="64A89A74" w14:textId="77777777" w:rsidR="008D6614" w:rsidRDefault="008D6614">
            <w:pPr>
              <w:rPr>
                <w:rFonts w:ascii="宋体"/>
              </w:rPr>
            </w:pPr>
          </w:p>
        </w:tc>
        <w:tc>
          <w:tcPr>
            <w:tcW w:w="0" w:type="auto"/>
            <w:shd w:val="clear" w:color="auto" w:fill="auto"/>
            <w:vAlign w:val="center"/>
          </w:tcPr>
          <w:p w14:paraId="64A89A75" w14:textId="77777777" w:rsidR="008D6614" w:rsidRDefault="008D6614">
            <w:pPr>
              <w:rPr>
                <w:rFonts w:ascii="宋体"/>
              </w:rPr>
            </w:pPr>
          </w:p>
        </w:tc>
        <w:tc>
          <w:tcPr>
            <w:tcW w:w="0" w:type="auto"/>
            <w:shd w:val="clear" w:color="auto" w:fill="auto"/>
            <w:vAlign w:val="center"/>
          </w:tcPr>
          <w:p w14:paraId="64A89A76" w14:textId="77777777" w:rsidR="008D6614" w:rsidRDefault="008D6614">
            <w:pPr>
              <w:rPr>
                <w:rFonts w:ascii="宋体"/>
              </w:rPr>
            </w:pPr>
          </w:p>
        </w:tc>
        <w:tc>
          <w:tcPr>
            <w:tcW w:w="0" w:type="auto"/>
            <w:shd w:val="clear" w:color="auto" w:fill="auto"/>
            <w:vAlign w:val="center"/>
          </w:tcPr>
          <w:p w14:paraId="64A89A77" w14:textId="77777777" w:rsidR="008D6614" w:rsidRDefault="008D6614">
            <w:pPr>
              <w:rPr>
                <w:rFonts w:ascii="宋体"/>
              </w:rPr>
            </w:pPr>
          </w:p>
        </w:tc>
        <w:tc>
          <w:tcPr>
            <w:tcW w:w="0" w:type="auto"/>
            <w:shd w:val="clear" w:color="auto" w:fill="auto"/>
            <w:vAlign w:val="center"/>
          </w:tcPr>
          <w:p w14:paraId="64A89A78" w14:textId="77777777" w:rsidR="008D6614" w:rsidRDefault="008D6614">
            <w:pPr>
              <w:rPr>
                <w:rFonts w:ascii="宋体"/>
              </w:rPr>
            </w:pPr>
          </w:p>
        </w:tc>
        <w:tc>
          <w:tcPr>
            <w:tcW w:w="0" w:type="auto"/>
            <w:shd w:val="clear" w:color="auto" w:fill="auto"/>
            <w:vAlign w:val="center"/>
          </w:tcPr>
          <w:p w14:paraId="64A89A79" w14:textId="77777777" w:rsidR="008D6614" w:rsidRDefault="008D6614">
            <w:pPr>
              <w:rPr>
                <w:rFonts w:ascii="宋体"/>
              </w:rPr>
            </w:pPr>
          </w:p>
        </w:tc>
        <w:tc>
          <w:tcPr>
            <w:tcW w:w="0" w:type="auto"/>
            <w:shd w:val="clear" w:color="auto" w:fill="auto"/>
            <w:vAlign w:val="center"/>
          </w:tcPr>
          <w:p w14:paraId="64A89A7A" w14:textId="77777777" w:rsidR="008D6614" w:rsidRDefault="008D6614">
            <w:pPr>
              <w:rPr>
                <w:rFonts w:ascii="宋体"/>
              </w:rPr>
            </w:pPr>
          </w:p>
        </w:tc>
        <w:tc>
          <w:tcPr>
            <w:tcW w:w="0" w:type="auto"/>
            <w:shd w:val="clear" w:color="auto" w:fill="auto"/>
            <w:vAlign w:val="center"/>
          </w:tcPr>
          <w:p w14:paraId="64A89A7B" w14:textId="77777777" w:rsidR="008D6614" w:rsidRDefault="008D6614">
            <w:pPr>
              <w:rPr>
                <w:rFonts w:ascii="宋体"/>
              </w:rPr>
            </w:pPr>
          </w:p>
        </w:tc>
        <w:tc>
          <w:tcPr>
            <w:tcW w:w="0" w:type="auto"/>
            <w:shd w:val="clear" w:color="auto" w:fill="auto"/>
            <w:vAlign w:val="center"/>
          </w:tcPr>
          <w:p w14:paraId="64A89A7C" w14:textId="77777777" w:rsidR="008D6614" w:rsidRDefault="008D6614">
            <w:pPr>
              <w:rPr>
                <w:rFonts w:ascii="宋体"/>
              </w:rPr>
            </w:pPr>
          </w:p>
        </w:tc>
        <w:tc>
          <w:tcPr>
            <w:tcW w:w="0" w:type="auto"/>
            <w:shd w:val="clear" w:color="auto" w:fill="auto"/>
            <w:vAlign w:val="center"/>
          </w:tcPr>
          <w:p w14:paraId="64A89A7D" w14:textId="77777777" w:rsidR="008D6614" w:rsidRDefault="008D6614">
            <w:pPr>
              <w:rPr>
                <w:rFonts w:ascii="宋体"/>
              </w:rPr>
            </w:pPr>
          </w:p>
        </w:tc>
        <w:tc>
          <w:tcPr>
            <w:tcW w:w="0" w:type="auto"/>
            <w:shd w:val="clear" w:color="auto" w:fill="auto"/>
            <w:vAlign w:val="center"/>
          </w:tcPr>
          <w:p w14:paraId="64A89A7E" w14:textId="77777777" w:rsidR="008D6614" w:rsidRDefault="008D6614">
            <w:pPr>
              <w:rPr>
                <w:rFonts w:ascii="宋体"/>
              </w:rPr>
            </w:pPr>
          </w:p>
        </w:tc>
        <w:tc>
          <w:tcPr>
            <w:tcW w:w="0" w:type="auto"/>
            <w:shd w:val="clear" w:color="auto" w:fill="auto"/>
            <w:vAlign w:val="center"/>
          </w:tcPr>
          <w:p w14:paraId="64A89A7F" w14:textId="77777777" w:rsidR="008D6614" w:rsidRDefault="008D6614">
            <w:pPr>
              <w:rPr>
                <w:rFonts w:ascii="宋体"/>
              </w:rPr>
            </w:pPr>
          </w:p>
        </w:tc>
        <w:tc>
          <w:tcPr>
            <w:tcW w:w="0" w:type="auto"/>
            <w:shd w:val="clear" w:color="auto" w:fill="auto"/>
            <w:vAlign w:val="center"/>
          </w:tcPr>
          <w:p w14:paraId="64A89A80" w14:textId="77777777" w:rsidR="008D6614" w:rsidRDefault="008D6614">
            <w:pPr>
              <w:rPr>
                <w:rFonts w:ascii="宋体"/>
              </w:rPr>
            </w:pPr>
          </w:p>
        </w:tc>
        <w:tc>
          <w:tcPr>
            <w:tcW w:w="0" w:type="auto"/>
            <w:shd w:val="clear" w:color="auto" w:fill="auto"/>
            <w:vAlign w:val="center"/>
          </w:tcPr>
          <w:p w14:paraId="64A89A81" w14:textId="77777777" w:rsidR="008D6614" w:rsidRDefault="008D6614">
            <w:pPr>
              <w:rPr>
                <w:rFonts w:ascii="宋体"/>
              </w:rPr>
            </w:pPr>
          </w:p>
        </w:tc>
        <w:tc>
          <w:tcPr>
            <w:tcW w:w="0" w:type="auto"/>
            <w:shd w:val="clear" w:color="auto" w:fill="auto"/>
            <w:vAlign w:val="center"/>
          </w:tcPr>
          <w:p w14:paraId="64A89A82" w14:textId="77777777" w:rsidR="008D6614" w:rsidRDefault="008D6614">
            <w:pPr>
              <w:rPr>
                <w:rFonts w:ascii="宋体"/>
              </w:rPr>
            </w:pPr>
          </w:p>
        </w:tc>
        <w:tc>
          <w:tcPr>
            <w:tcW w:w="0" w:type="auto"/>
            <w:shd w:val="clear" w:color="auto" w:fill="auto"/>
            <w:vAlign w:val="center"/>
          </w:tcPr>
          <w:p w14:paraId="64A89A83" w14:textId="77777777" w:rsidR="008D6614" w:rsidRDefault="008D6614">
            <w:pPr>
              <w:rPr>
                <w:rFonts w:ascii="宋体"/>
              </w:rPr>
            </w:pPr>
          </w:p>
        </w:tc>
        <w:tc>
          <w:tcPr>
            <w:tcW w:w="0" w:type="auto"/>
            <w:shd w:val="clear" w:color="auto" w:fill="auto"/>
            <w:vAlign w:val="center"/>
          </w:tcPr>
          <w:p w14:paraId="64A89A84" w14:textId="77777777" w:rsidR="008D6614" w:rsidRDefault="008D6614">
            <w:pPr>
              <w:rPr>
                <w:rFonts w:ascii="宋体"/>
              </w:rPr>
            </w:pPr>
          </w:p>
        </w:tc>
      </w:tr>
      <w:tr w:rsidR="008D6614" w14:paraId="64A89AA7" w14:textId="77777777">
        <w:tc>
          <w:tcPr>
            <w:tcW w:w="0" w:type="auto"/>
            <w:gridSpan w:val="3"/>
            <w:shd w:val="clear" w:color="auto" w:fill="FFFFFF"/>
            <w:tcMar>
              <w:top w:w="40" w:type="dxa"/>
              <w:left w:w="225" w:type="dxa"/>
              <w:bottom w:w="40" w:type="dxa"/>
              <w:right w:w="20" w:type="dxa"/>
            </w:tcMar>
            <w:vAlign w:val="bottom"/>
          </w:tcPr>
          <w:p w14:paraId="64A89A86" w14:textId="77777777" w:rsidR="008D6614" w:rsidRDefault="00866AF2">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4A89A87" w14:textId="77777777" w:rsidR="008D6614" w:rsidRDefault="00866AF2">
            <w:pPr>
              <w:jc w:val="right"/>
              <w:textAlignment w:val="bottom"/>
            </w:pPr>
            <w:r>
              <w:rPr>
                <w:rFonts w:ascii="Arial" w:eastAsia="宋体" w:hAnsi="Arial" w:cs="Arial"/>
                <w:color w:val="000000"/>
                <w:sz w:val="18"/>
                <w:szCs w:val="18"/>
              </w:rPr>
              <w:t>175 </w:t>
            </w:r>
          </w:p>
        </w:tc>
        <w:tc>
          <w:tcPr>
            <w:tcW w:w="0" w:type="auto"/>
            <w:shd w:val="clear" w:color="auto" w:fill="FFFFFF"/>
            <w:tcMar>
              <w:top w:w="40" w:type="dxa"/>
              <w:bottom w:w="40" w:type="dxa"/>
              <w:right w:w="20" w:type="dxa"/>
            </w:tcMar>
            <w:vAlign w:val="bottom"/>
          </w:tcPr>
          <w:p w14:paraId="64A89A88"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A89" w14:textId="77777777" w:rsidR="008D6614" w:rsidRDefault="008D6614">
            <w:pPr>
              <w:rPr>
                <w:rFonts w:ascii="宋体"/>
              </w:rPr>
            </w:pPr>
          </w:p>
        </w:tc>
        <w:tc>
          <w:tcPr>
            <w:tcW w:w="0" w:type="auto"/>
            <w:shd w:val="clear" w:color="auto" w:fill="FFFFFF"/>
            <w:tcMar>
              <w:right w:w="20" w:type="dxa"/>
            </w:tcMar>
            <w:vAlign w:val="bottom"/>
          </w:tcPr>
          <w:p w14:paraId="64A89A8A"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9A8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A8C"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A8D" w14:textId="77777777" w:rsidR="008D6614" w:rsidRDefault="008D6614">
            <w:pPr>
              <w:rPr>
                <w:rFonts w:ascii="宋体"/>
              </w:rPr>
            </w:pPr>
          </w:p>
        </w:tc>
        <w:tc>
          <w:tcPr>
            <w:tcW w:w="0" w:type="auto"/>
            <w:shd w:val="clear" w:color="auto" w:fill="FFFFFF"/>
            <w:tcMar>
              <w:right w:w="20" w:type="dxa"/>
            </w:tcMar>
            <w:vAlign w:val="bottom"/>
          </w:tcPr>
          <w:p w14:paraId="64A89A8E"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9A8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A90"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A91" w14:textId="77777777" w:rsidR="008D6614" w:rsidRDefault="008D6614">
            <w:pPr>
              <w:rPr>
                <w:rFonts w:ascii="宋体"/>
              </w:rPr>
            </w:pPr>
          </w:p>
        </w:tc>
        <w:tc>
          <w:tcPr>
            <w:tcW w:w="0" w:type="auto"/>
            <w:shd w:val="clear" w:color="auto" w:fill="FFFFFF"/>
            <w:tcMar>
              <w:right w:w="20" w:type="dxa"/>
            </w:tcMar>
            <w:vAlign w:val="bottom"/>
          </w:tcPr>
          <w:p w14:paraId="64A89A92" w14:textId="77777777" w:rsidR="008D6614" w:rsidRDefault="008D6614">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A89A93" w14:textId="77777777" w:rsidR="008D6614" w:rsidRDefault="00866AF2">
            <w:pPr>
              <w:jc w:val="right"/>
              <w:textAlignment w:val="bottom"/>
            </w:pPr>
            <w:r>
              <w:rPr>
                <w:rFonts w:ascii="Arial" w:eastAsia="宋体" w:hAnsi="Arial" w:cs="Arial"/>
                <w:color w:val="000000"/>
                <w:sz w:val="18"/>
                <w:szCs w:val="18"/>
              </w:rPr>
              <w:t>175 </w:t>
            </w:r>
          </w:p>
        </w:tc>
        <w:tc>
          <w:tcPr>
            <w:tcW w:w="0" w:type="auto"/>
            <w:shd w:val="clear" w:color="auto" w:fill="FFFFFF"/>
            <w:tcMar>
              <w:top w:w="40" w:type="dxa"/>
              <w:bottom w:w="40" w:type="dxa"/>
              <w:right w:w="20" w:type="dxa"/>
            </w:tcMar>
            <w:vAlign w:val="bottom"/>
          </w:tcPr>
          <w:p w14:paraId="64A89A9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A95" w14:textId="77777777" w:rsidR="008D6614" w:rsidRDefault="008D6614">
            <w:pPr>
              <w:rPr>
                <w:rFonts w:ascii="宋体"/>
              </w:rPr>
            </w:pPr>
          </w:p>
        </w:tc>
        <w:tc>
          <w:tcPr>
            <w:tcW w:w="0" w:type="auto"/>
            <w:shd w:val="clear" w:color="auto" w:fill="auto"/>
            <w:vAlign w:val="center"/>
          </w:tcPr>
          <w:p w14:paraId="64A89A96" w14:textId="77777777" w:rsidR="008D6614" w:rsidRDefault="008D6614">
            <w:pPr>
              <w:rPr>
                <w:rFonts w:ascii="宋体"/>
              </w:rPr>
            </w:pPr>
          </w:p>
        </w:tc>
        <w:tc>
          <w:tcPr>
            <w:tcW w:w="0" w:type="auto"/>
            <w:shd w:val="clear" w:color="auto" w:fill="auto"/>
            <w:vAlign w:val="center"/>
          </w:tcPr>
          <w:p w14:paraId="64A89A97" w14:textId="77777777" w:rsidR="008D6614" w:rsidRDefault="008D6614">
            <w:pPr>
              <w:rPr>
                <w:rFonts w:ascii="宋体"/>
              </w:rPr>
            </w:pPr>
          </w:p>
        </w:tc>
        <w:tc>
          <w:tcPr>
            <w:tcW w:w="0" w:type="auto"/>
            <w:shd w:val="clear" w:color="auto" w:fill="auto"/>
            <w:vAlign w:val="center"/>
          </w:tcPr>
          <w:p w14:paraId="64A89A98" w14:textId="77777777" w:rsidR="008D6614" w:rsidRDefault="008D6614">
            <w:pPr>
              <w:rPr>
                <w:rFonts w:ascii="宋体"/>
              </w:rPr>
            </w:pPr>
          </w:p>
        </w:tc>
        <w:tc>
          <w:tcPr>
            <w:tcW w:w="0" w:type="auto"/>
            <w:shd w:val="clear" w:color="auto" w:fill="auto"/>
            <w:vAlign w:val="center"/>
          </w:tcPr>
          <w:p w14:paraId="64A89A99" w14:textId="77777777" w:rsidR="008D6614" w:rsidRDefault="008D6614">
            <w:pPr>
              <w:rPr>
                <w:rFonts w:ascii="宋体"/>
              </w:rPr>
            </w:pPr>
          </w:p>
        </w:tc>
        <w:tc>
          <w:tcPr>
            <w:tcW w:w="0" w:type="auto"/>
            <w:shd w:val="clear" w:color="auto" w:fill="auto"/>
            <w:vAlign w:val="center"/>
          </w:tcPr>
          <w:p w14:paraId="64A89A9A" w14:textId="77777777" w:rsidR="008D6614" w:rsidRDefault="008D6614">
            <w:pPr>
              <w:rPr>
                <w:rFonts w:ascii="宋体"/>
              </w:rPr>
            </w:pPr>
          </w:p>
        </w:tc>
        <w:tc>
          <w:tcPr>
            <w:tcW w:w="0" w:type="auto"/>
            <w:shd w:val="clear" w:color="auto" w:fill="auto"/>
            <w:vAlign w:val="center"/>
          </w:tcPr>
          <w:p w14:paraId="64A89A9B" w14:textId="77777777" w:rsidR="008D6614" w:rsidRDefault="008D6614">
            <w:pPr>
              <w:rPr>
                <w:rFonts w:ascii="宋体"/>
              </w:rPr>
            </w:pPr>
          </w:p>
        </w:tc>
        <w:tc>
          <w:tcPr>
            <w:tcW w:w="0" w:type="auto"/>
            <w:shd w:val="clear" w:color="auto" w:fill="auto"/>
            <w:vAlign w:val="center"/>
          </w:tcPr>
          <w:p w14:paraId="64A89A9C" w14:textId="77777777" w:rsidR="008D6614" w:rsidRDefault="008D6614">
            <w:pPr>
              <w:rPr>
                <w:rFonts w:ascii="宋体"/>
              </w:rPr>
            </w:pPr>
          </w:p>
        </w:tc>
        <w:tc>
          <w:tcPr>
            <w:tcW w:w="0" w:type="auto"/>
            <w:shd w:val="clear" w:color="auto" w:fill="auto"/>
            <w:vAlign w:val="center"/>
          </w:tcPr>
          <w:p w14:paraId="64A89A9D" w14:textId="77777777" w:rsidR="008D6614" w:rsidRDefault="008D6614">
            <w:pPr>
              <w:rPr>
                <w:rFonts w:ascii="宋体"/>
              </w:rPr>
            </w:pPr>
          </w:p>
        </w:tc>
        <w:tc>
          <w:tcPr>
            <w:tcW w:w="0" w:type="auto"/>
            <w:shd w:val="clear" w:color="auto" w:fill="auto"/>
            <w:vAlign w:val="center"/>
          </w:tcPr>
          <w:p w14:paraId="64A89A9E" w14:textId="77777777" w:rsidR="008D6614" w:rsidRDefault="008D6614">
            <w:pPr>
              <w:rPr>
                <w:rFonts w:ascii="宋体"/>
              </w:rPr>
            </w:pPr>
          </w:p>
        </w:tc>
        <w:tc>
          <w:tcPr>
            <w:tcW w:w="0" w:type="auto"/>
            <w:shd w:val="clear" w:color="auto" w:fill="auto"/>
            <w:vAlign w:val="center"/>
          </w:tcPr>
          <w:p w14:paraId="64A89A9F" w14:textId="77777777" w:rsidR="008D6614" w:rsidRDefault="008D6614">
            <w:pPr>
              <w:rPr>
                <w:rFonts w:ascii="宋体"/>
              </w:rPr>
            </w:pPr>
          </w:p>
        </w:tc>
        <w:tc>
          <w:tcPr>
            <w:tcW w:w="0" w:type="auto"/>
            <w:shd w:val="clear" w:color="auto" w:fill="auto"/>
            <w:vAlign w:val="center"/>
          </w:tcPr>
          <w:p w14:paraId="64A89AA0" w14:textId="77777777" w:rsidR="008D6614" w:rsidRDefault="008D6614">
            <w:pPr>
              <w:rPr>
                <w:rFonts w:ascii="宋体"/>
              </w:rPr>
            </w:pPr>
          </w:p>
        </w:tc>
        <w:tc>
          <w:tcPr>
            <w:tcW w:w="0" w:type="auto"/>
            <w:shd w:val="clear" w:color="auto" w:fill="auto"/>
            <w:vAlign w:val="center"/>
          </w:tcPr>
          <w:p w14:paraId="64A89AA1" w14:textId="77777777" w:rsidR="008D6614" w:rsidRDefault="008D6614">
            <w:pPr>
              <w:rPr>
                <w:rFonts w:ascii="宋体"/>
              </w:rPr>
            </w:pPr>
          </w:p>
        </w:tc>
        <w:tc>
          <w:tcPr>
            <w:tcW w:w="0" w:type="auto"/>
            <w:shd w:val="clear" w:color="auto" w:fill="auto"/>
            <w:vAlign w:val="center"/>
          </w:tcPr>
          <w:p w14:paraId="64A89AA2" w14:textId="77777777" w:rsidR="008D6614" w:rsidRDefault="008D6614">
            <w:pPr>
              <w:rPr>
                <w:rFonts w:ascii="宋体"/>
              </w:rPr>
            </w:pPr>
          </w:p>
        </w:tc>
        <w:tc>
          <w:tcPr>
            <w:tcW w:w="0" w:type="auto"/>
            <w:shd w:val="clear" w:color="auto" w:fill="auto"/>
            <w:vAlign w:val="center"/>
          </w:tcPr>
          <w:p w14:paraId="64A89AA3" w14:textId="77777777" w:rsidR="008D6614" w:rsidRDefault="008D6614">
            <w:pPr>
              <w:rPr>
                <w:rFonts w:ascii="宋体"/>
              </w:rPr>
            </w:pPr>
          </w:p>
        </w:tc>
        <w:tc>
          <w:tcPr>
            <w:tcW w:w="0" w:type="auto"/>
            <w:shd w:val="clear" w:color="auto" w:fill="auto"/>
            <w:vAlign w:val="center"/>
          </w:tcPr>
          <w:p w14:paraId="64A89AA4" w14:textId="77777777" w:rsidR="008D6614" w:rsidRDefault="008D6614">
            <w:pPr>
              <w:rPr>
                <w:rFonts w:ascii="宋体"/>
              </w:rPr>
            </w:pPr>
          </w:p>
        </w:tc>
        <w:tc>
          <w:tcPr>
            <w:tcW w:w="0" w:type="auto"/>
            <w:shd w:val="clear" w:color="auto" w:fill="auto"/>
            <w:vAlign w:val="center"/>
          </w:tcPr>
          <w:p w14:paraId="64A89AA5" w14:textId="77777777" w:rsidR="008D6614" w:rsidRDefault="008D6614">
            <w:pPr>
              <w:rPr>
                <w:rFonts w:ascii="宋体"/>
              </w:rPr>
            </w:pPr>
          </w:p>
        </w:tc>
        <w:tc>
          <w:tcPr>
            <w:tcW w:w="0" w:type="auto"/>
            <w:shd w:val="clear" w:color="auto" w:fill="auto"/>
            <w:vAlign w:val="center"/>
          </w:tcPr>
          <w:p w14:paraId="64A89AA6" w14:textId="77777777" w:rsidR="008D6614" w:rsidRDefault="008D6614">
            <w:pPr>
              <w:rPr>
                <w:rFonts w:ascii="宋体"/>
              </w:rPr>
            </w:pPr>
          </w:p>
        </w:tc>
      </w:tr>
      <w:tr w:rsidR="008D6614" w14:paraId="64A89AC2" w14:textId="77777777">
        <w:trPr>
          <w:hidden/>
        </w:trPr>
        <w:tc>
          <w:tcPr>
            <w:tcW w:w="0" w:type="auto"/>
            <w:gridSpan w:val="3"/>
            <w:shd w:val="clear" w:color="auto" w:fill="auto"/>
            <w:vAlign w:val="center"/>
          </w:tcPr>
          <w:p w14:paraId="64A89AA8" w14:textId="77777777" w:rsidR="008D6614" w:rsidRDefault="008D6614">
            <w:pPr>
              <w:rPr>
                <w:rFonts w:ascii="宋体"/>
                <w:vanish/>
              </w:rPr>
            </w:pPr>
          </w:p>
        </w:tc>
        <w:tc>
          <w:tcPr>
            <w:tcW w:w="0" w:type="auto"/>
            <w:gridSpan w:val="3"/>
            <w:shd w:val="clear" w:color="auto" w:fill="auto"/>
            <w:vAlign w:val="center"/>
          </w:tcPr>
          <w:p w14:paraId="64A89AA9" w14:textId="77777777" w:rsidR="008D6614" w:rsidRDefault="008D6614">
            <w:pPr>
              <w:rPr>
                <w:rFonts w:ascii="宋体"/>
                <w:vanish/>
              </w:rPr>
            </w:pPr>
          </w:p>
        </w:tc>
        <w:tc>
          <w:tcPr>
            <w:tcW w:w="0" w:type="auto"/>
            <w:gridSpan w:val="3"/>
            <w:shd w:val="clear" w:color="auto" w:fill="auto"/>
            <w:vAlign w:val="center"/>
          </w:tcPr>
          <w:p w14:paraId="64A89AAA" w14:textId="77777777" w:rsidR="008D6614" w:rsidRDefault="008D6614">
            <w:pPr>
              <w:rPr>
                <w:rFonts w:ascii="宋体"/>
                <w:vanish/>
              </w:rPr>
            </w:pPr>
          </w:p>
        </w:tc>
        <w:tc>
          <w:tcPr>
            <w:tcW w:w="0" w:type="auto"/>
            <w:gridSpan w:val="3"/>
            <w:shd w:val="clear" w:color="auto" w:fill="auto"/>
            <w:vAlign w:val="center"/>
          </w:tcPr>
          <w:p w14:paraId="64A89AAB" w14:textId="77777777" w:rsidR="008D6614" w:rsidRDefault="008D6614">
            <w:pPr>
              <w:rPr>
                <w:rFonts w:ascii="宋体"/>
                <w:vanish/>
              </w:rPr>
            </w:pPr>
          </w:p>
        </w:tc>
        <w:tc>
          <w:tcPr>
            <w:tcW w:w="0" w:type="auto"/>
            <w:gridSpan w:val="3"/>
            <w:shd w:val="clear" w:color="auto" w:fill="auto"/>
            <w:vAlign w:val="center"/>
          </w:tcPr>
          <w:p w14:paraId="64A89AAC" w14:textId="77777777" w:rsidR="008D6614" w:rsidRDefault="008D6614">
            <w:pPr>
              <w:rPr>
                <w:rFonts w:ascii="宋体"/>
                <w:vanish/>
              </w:rPr>
            </w:pPr>
          </w:p>
        </w:tc>
        <w:tc>
          <w:tcPr>
            <w:tcW w:w="0" w:type="auto"/>
            <w:gridSpan w:val="3"/>
            <w:shd w:val="clear" w:color="auto" w:fill="auto"/>
            <w:vAlign w:val="center"/>
          </w:tcPr>
          <w:p w14:paraId="64A89AAD" w14:textId="77777777" w:rsidR="008D6614" w:rsidRDefault="008D6614">
            <w:pPr>
              <w:rPr>
                <w:rFonts w:ascii="宋体"/>
                <w:vanish/>
              </w:rPr>
            </w:pPr>
          </w:p>
        </w:tc>
        <w:tc>
          <w:tcPr>
            <w:tcW w:w="0" w:type="auto"/>
            <w:gridSpan w:val="3"/>
            <w:shd w:val="clear" w:color="auto" w:fill="auto"/>
            <w:vAlign w:val="center"/>
          </w:tcPr>
          <w:p w14:paraId="64A89AAE" w14:textId="77777777" w:rsidR="008D6614" w:rsidRDefault="008D6614">
            <w:pPr>
              <w:rPr>
                <w:rFonts w:ascii="宋体"/>
                <w:vanish/>
              </w:rPr>
            </w:pPr>
          </w:p>
        </w:tc>
        <w:tc>
          <w:tcPr>
            <w:tcW w:w="0" w:type="auto"/>
            <w:gridSpan w:val="3"/>
            <w:shd w:val="clear" w:color="auto" w:fill="auto"/>
            <w:vAlign w:val="center"/>
          </w:tcPr>
          <w:p w14:paraId="64A89AAF" w14:textId="77777777" w:rsidR="008D6614" w:rsidRDefault="008D6614">
            <w:pPr>
              <w:rPr>
                <w:rFonts w:ascii="宋体"/>
                <w:vanish/>
              </w:rPr>
            </w:pPr>
          </w:p>
        </w:tc>
        <w:tc>
          <w:tcPr>
            <w:tcW w:w="0" w:type="auto"/>
            <w:shd w:val="clear" w:color="auto" w:fill="auto"/>
            <w:vAlign w:val="center"/>
          </w:tcPr>
          <w:p w14:paraId="64A89AB0" w14:textId="77777777" w:rsidR="008D6614" w:rsidRDefault="008D6614">
            <w:pPr>
              <w:rPr>
                <w:rFonts w:ascii="宋体"/>
              </w:rPr>
            </w:pPr>
          </w:p>
        </w:tc>
        <w:tc>
          <w:tcPr>
            <w:tcW w:w="0" w:type="auto"/>
            <w:shd w:val="clear" w:color="auto" w:fill="auto"/>
            <w:vAlign w:val="center"/>
          </w:tcPr>
          <w:p w14:paraId="64A89AB1" w14:textId="77777777" w:rsidR="008D6614" w:rsidRDefault="008D6614">
            <w:pPr>
              <w:rPr>
                <w:rFonts w:ascii="宋体"/>
              </w:rPr>
            </w:pPr>
          </w:p>
        </w:tc>
        <w:tc>
          <w:tcPr>
            <w:tcW w:w="0" w:type="auto"/>
            <w:shd w:val="clear" w:color="auto" w:fill="auto"/>
            <w:vAlign w:val="center"/>
          </w:tcPr>
          <w:p w14:paraId="64A89AB2" w14:textId="77777777" w:rsidR="008D6614" w:rsidRDefault="008D6614">
            <w:pPr>
              <w:rPr>
                <w:rFonts w:ascii="宋体"/>
              </w:rPr>
            </w:pPr>
          </w:p>
        </w:tc>
        <w:tc>
          <w:tcPr>
            <w:tcW w:w="0" w:type="auto"/>
            <w:shd w:val="clear" w:color="auto" w:fill="auto"/>
            <w:vAlign w:val="center"/>
          </w:tcPr>
          <w:p w14:paraId="64A89AB3" w14:textId="77777777" w:rsidR="008D6614" w:rsidRDefault="008D6614">
            <w:pPr>
              <w:rPr>
                <w:rFonts w:ascii="宋体"/>
              </w:rPr>
            </w:pPr>
          </w:p>
        </w:tc>
        <w:tc>
          <w:tcPr>
            <w:tcW w:w="0" w:type="auto"/>
            <w:shd w:val="clear" w:color="auto" w:fill="auto"/>
            <w:vAlign w:val="center"/>
          </w:tcPr>
          <w:p w14:paraId="64A89AB4" w14:textId="77777777" w:rsidR="008D6614" w:rsidRDefault="008D6614">
            <w:pPr>
              <w:rPr>
                <w:rFonts w:ascii="宋体"/>
              </w:rPr>
            </w:pPr>
          </w:p>
        </w:tc>
        <w:tc>
          <w:tcPr>
            <w:tcW w:w="0" w:type="auto"/>
            <w:shd w:val="clear" w:color="auto" w:fill="auto"/>
            <w:vAlign w:val="center"/>
          </w:tcPr>
          <w:p w14:paraId="64A89AB5" w14:textId="77777777" w:rsidR="008D6614" w:rsidRDefault="008D6614">
            <w:pPr>
              <w:rPr>
                <w:rFonts w:ascii="宋体"/>
              </w:rPr>
            </w:pPr>
          </w:p>
        </w:tc>
        <w:tc>
          <w:tcPr>
            <w:tcW w:w="0" w:type="auto"/>
            <w:shd w:val="clear" w:color="auto" w:fill="auto"/>
            <w:vAlign w:val="center"/>
          </w:tcPr>
          <w:p w14:paraId="64A89AB6" w14:textId="77777777" w:rsidR="008D6614" w:rsidRDefault="008D6614">
            <w:pPr>
              <w:rPr>
                <w:rFonts w:ascii="宋体"/>
              </w:rPr>
            </w:pPr>
          </w:p>
        </w:tc>
        <w:tc>
          <w:tcPr>
            <w:tcW w:w="0" w:type="auto"/>
            <w:shd w:val="clear" w:color="auto" w:fill="auto"/>
            <w:vAlign w:val="center"/>
          </w:tcPr>
          <w:p w14:paraId="64A89AB7" w14:textId="77777777" w:rsidR="008D6614" w:rsidRDefault="008D6614">
            <w:pPr>
              <w:rPr>
                <w:rFonts w:ascii="宋体"/>
              </w:rPr>
            </w:pPr>
          </w:p>
        </w:tc>
        <w:tc>
          <w:tcPr>
            <w:tcW w:w="0" w:type="auto"/>
            <w:shd w:val="clear" w:color="auto" w:fill="auto"/>
            <w:vAlign w:val="center"/>
          </w:tcPr>
          <w:p w14:paraId="64A89AB8" w14:textId="77777777" w:rsidR="008D6614" w:rsidRDefault="008D6614">
            <w:pPr>
              <w:rPr>
                <w:rFonts w:ascii="宋体"/>
              </w:rPr>
            </w:pPr>
          </w:p>
        </w:tc>
        <w:tc>
          <w:tcPr>
            <w:tcW w:w="0" w:type="auto"/>
            <w:shd w:val="clear" w:color="auto" w:fill="auto"/>
            <w:vAlign w:val="center"/>
          </w:tcPr>
          <w:p w14:paraId="64A89AB9" w14:textId="77777777" w:rsidR="008D6614" w:rsidRDefault="008D6614">
            <w:pPr>
              <w:rPr>
                <w:rFonts w:ascii="宋体"/>
              </w:rPr>
            </w:pPr>
          </w:p>
        </w:tc>
        <w:tc>
          <w:tcPr>
            <w:tcW w:w="0" w:type="auto"/>
            <w:shd w:val="clear" w:color="auto" w:fill="auto"/>
            <w:vAlign w:val="center"/>
          </w:tcPr>
          <w:p w14:paraId="64A89ABA" w14:textId="77777777" w:rsidR="008D6614" w:rsidRDefault="008D6614">
            <w:pPr>
              <w:rPr>
                <w:rFonts w:ascii="宋体"/>
              </w:rPr>
            </w:pPr>
          </w:p>
        </w:tc>
        <w:tc>
          <w:tcPr>
            <w:tcW w:w="0" w:type="auto"/>
            <w:shd w:val="clear" w:color="auto" w:fill="auto"/>
            <w:vAlign w:val="center"/>
          </w:tcPr>
          <w:p w14:paraId="64A89ABB" w14:textId="77777777" w:rsidR="008D6614" w:rsidRDefault="008D6614">
            <w:pPr>
              <w:rPr>
                <w:rFonts w:ascii="宋体"/>
              </w:rPr>
            </w:pPr>
          </w:p>
        </w:tc>
        <w:tc>
          <w:tcPr>
            <w:tcW w:w="0" w:type="auto"/>
            <w:shd w:val="clear" w:color="auto" w:fill="auto"/>
            <w:vAlign w:val="center"/>
          </w:tcPr>
          <w:p w14:paraId="64A89ABC" w14:textId="77777777" w:rsidR="008D6614" w:rsidRDefault="008D6614">
            <w:pPr>
              <w:rPr>
                <w:rFonts w:ascii="宋体"/>
              </w:rPr>
            </w:pPr>
          </w:p>
        </w:tc>
        <w:tc>
          <w:tcPr>
            <w:tcW w:w="0" w:type="auto"/>
            <w:shd w:val="clear" w:color="auto" w:fill="auto"/>
            <w:vAlign w:val="center"/>
          </w:tcPr>
          <w:p w14:paraId="64A89ABD" w14:textId="77777777" w:rsidR="008D6614" w:rsidRDefault="008D6614">
            <w:pPr>
              <w:rPr>
                <w:rFonts w:ascii="宋体"/>
              </w:rPr>
            </w:pPr>
          </w:p>
        </w:tc>
        <w:tc>
          <w:tcPr>
            <w:tcW w:w="0" w:type="auto"/>
            <w:shd w:val="clear" w:color="auto" w:fill="auto"/>
            <w:vAlign w:val="center"/>
          </w:tcPr>
          <w:p w14:paraId="64A89ABE" w14:textId="77777777" w:rsidR="008D6614" w:rsidRDefault="008D6614">
            <w:pPr>
              <w:rPr>
                <w:rFonts w:ascii="宋体"/>
              </w:rPr>
            </w:pPr>
          </w:p>
        </w:tc>
        <w:tc>
          <w:tcPr>
            <w:tcW w:w="0" w:type="auto"/>
            <w:shd w:val="clear" w:color="auto" w:fill="auto"/>
            <w:vAlign w:val="center"/>
          </w:tcPr>
          <w:p w14:paraId="64A89ABF" w14:textId="77777777" w:rsidR="008D6614" w:rsidRDefault="008D6614">
            <w:pPr>
              <w:rPr>
                <w:rFonts w:ascii="宋体"/>
              </w:rPr>
            </w:pPr>
          </w:p>
        </w:tc>
        <w:tc>
          <w:tcPr>
            <w:tcW w:w="0" w:type="auto"/>
            <w:shd w:val="clear" w:color="auto" w:fill="auto"/>
            <w:vAlign w:val="center"/>
          </w:tcPr>
          <w:p w14:paraId="64A89AC0" w14:textId="77777777" w:rsidR="008D6614" w:rsidRDefault="008D6614">
            <w:pPr>
              <w:rPr>
                <w:rFonts w:ascii="宋体"/>
              </w:rPr>
            </w:pPr>
          </w:p>
        </w:tc>
        <w:tc>
          <w:tcPr>
            <w:tcW w:w="0" w:type="auto"/>
            <w:shd w:val="clear" w:color="auto" w:fill="auto"/>
            <w:vAlign w:val="center"/>
          </w:tcPr>
          <w:p w14:paraId="64A89AC1" w14:textId="77777777" w:rsidR="008D6614" w:rsidRDefault="008D6614">
            <w:pPr>
              <w:rPr>
                <w:rFonts w:ascii="宋体"/>
              </w:rPr>
            </w:pPr>
          </w:p>
        </w:tc>
      </w:tr>
      <w:tr w:rsidR="008D6614" w14:paraId="64A89ADD" w14:textId="77777777">
        <w:trPr>
          <w:hidden/>
        </w:trPr>
        <w:tc>
          <w:tcPr>
            <w:tcW w:w="0" w:type="auto"/>
            <w:gridSpan w:val="3"/>
            <w:shd w:val="clear" w:color="auto" w:fill="auto"/>
            <w:vAlign w:val="center"/>
          </w:tcPr>
          <w:p w14:paraId="64A89AC3" w14:textId="77777777" w:rsidR="008D6614" w:rsidRDefault="008D6614">
            <w:pPr>
              <w:rPr>
                <w:rFonts w:ascii="宋体"/>
                <w:vanish/>
              </w:rPr>
            </w:pPr>
          </w:p>
        </w:tc>
        <w:tc>
          <w:tcPr>
            <w:tcW w:w="0" w:type="auto"/>
            <w:gridSpan w:val="3"/>
            <w:shd w:val="clear" w:color="auto" w:fill="auto"/>
            <w:vAlign w:val="center"/>
          </w:tcPr>
          <w:p w14:paraId="64A89AC4" w14:textId="77777777" w:rsidR="008D6614" w:rsidRDefault="008D6614">
            <w:pPr>
              <w:rPr>
                <w:rFonts w:ascii="宋体"/>
                <w:vanish/>
              </w:rPr>
            </w:pPr>
          </w:p>
        </w:tc>
        <w:tc>
          <w:tcPr>
            <w:tcW w:w="0" w:type="auto"/>
            <w:gridSpan w:val="3"/>
            <w:shd w:val="clear" w:color="auto" w:fill="auto"/>
            <w:vAlign w:val="center"/>
          </w:tcPr>
          <w:p w14:paraId="64A89AC5" w14:textId="77777777" w:rsidR="008D6614" w:rsidRDefault="008D6614">
            <w:pPr>
              <w:rPr>
                <w:rFonts w:ascii="宋体"/>
                <w:vanish/>
              </w:rPr>
            </w:pPr>
          </w:p>
        </w:tc>
        <w:tc>
          <w:tcPr>
            <w:tcW w:w="0" w:type="auto"/>
            <w:gridSpan w:val="3"/>
            <w:shd w:val="clear" w:color="auto" w:fill="auto"/>
            <w:vAlign w:val="center"/>
          </w:tcPr>
          <w:p w14:paraId="64A89AC6" w14:textId="77777777" w:rsidR="008D6614" w:rsidRDefault="008D6614">
            <w:pPr>
              <w:rPr>
                <w:rFonts w:ascii="宋体"/>
                <w:vanish/>
              </w:rPr>
            </w:pPr>
          </w:p>
        </w:tc>
        <w:tc>
          <w:tcPr>
            <w:tcW w:w="0" w:type="auto"/>
            <w:gridSpan w:val="3"/>
            <w:shd w:val="clear" w:color="auto" w:fill="auto"/>
            <w:vAlign w:val="center"/>
          </w:tcPr>
          <w:p w14:paraId="64A89AC7" w14:textId="77777777" w:rsidR="008D6614" w:rsidRDefault="008D6614">
            <w:pPr>
              <w:rPr>
                <w:rFonts w:ascii="宋体"/>
                <w:vanish/>
              </w:rPr>
            </w:pPr>
          </w:p>
        </w:tc>
        <w:tc>
          <w:tcPr>
            <w:tcW w:w="0" w:type="auto"/>
            <w:gridSpan w:val="3"/>
            <w:shd w:val="clear" w:color="auto" w:fill="auto"/>
            <w:vAlign w:val="center"/>
          </w:tcPr>
          <w:p w14:paraId="64A89AC8" w14:textId="77777777" w:rsidR="008D6614" w:rsidRDefault="008D6614">
            <w:pPr>
              <w:rPr>
                <w:rFonts w:ascii="宋体"/>
                <w:vanish/>
              </w:rPr>
            </w:pPr>
          </w:p>
        </w:tc>
        <w:tc>
          <w:tcPr>
            <w:tcW w:w="0" w:type="auto"/>
            <w:gridSpan w:val="3"/>
            <w:shd w:val="clear" w:color="auto" w:fill="auto"/>
            <w:vAlign w:val="center"/>
          </w:tcPr>
          <w:p w14:paraId="64A89AC9" w14:textId="77777777" w:rsidR="008D6614" w:rsidRDefault="008D6614">
            <w:pPr>
              <w:rPr>
                <w:rFonts w:ascii="宋体"/>
                <w:vanish/>
              </w:rPr>
            </w:pPr>
          </w:p>
        </w:tc>
        <w:tc>
          <w:tcPr>
            <w:tcW w:w="0" w:type="auto"/>
            <w:gridSpan w:val="3"/>
            <w:shd w:val="clear" w:color="auto" w:fill="auto"/>
            <w:vAlign w:val="center"/>
          </w:tcPr>
          <w:p w14:paraId="64A89ACA" w14:textId="77777777" w:rsidR="008D6614" w:rsidRDefault="008D6614">
            <w:pPr>
              <w:rPr>
                <w:rFonts w:ascii="宋体"/>
                <w:vanish/>
              </w:rPr>
            </w:pPr>
          </w:p>
        </w:tc>
        <w:tc>
          <w:tcPr>
            <w:tcW w:w="0" w:type="auto"/>
            <w:shd w:val="clear" w:color="auto" w:fill="auto"/>
            <w:vAlign w:val="center"/>
          </w:tcPr>
          <w:p w14:paraId="64A89ACB" w14:textId="77777777" w:rsidR="008D6614" w:rsidRDefault="008D6614">
            <w:pPr>
              <w:rPr>
                <w:rFonts w:ascii="宋体"/>
              </w:rPr>
            </w:pPr>
          </w:p>
        </w:tc>
        <w:tc>
          <w:tcPr>
            <w:tcW w:w="0" w:type="auto"/>
            <w:shd w:val="clear" w:color="auto" w:fill="auto"/>
            <w:vAlign w:val="center"/>
          </w:tcPr>
          <w:p w14:paraId="64A89ACC" w14:textId="77777777" w:rsidR="008D6614" w:rsidRDefault="008D6614">
            <w:pPr>
              <w:rPr>
                <w:rFonts w:ascii="宋体"/>
              </w:rPr>
            </w:pPr>
          </w:p>
        </w:tc>
        <w:tc>
          <w:tcPr>
            <w:tcW w:w="0" w:type="auto"/>
            <w:shd w:val="clear" w:color="auto" w:fill="auto"/>
            <w:vAlign w:val="center"/>
          </w:tcPr>
          <w:p w14:paraId="64A89ACD" w14:textId="77777777" w:rsidR="008D6614" w:rsidRDefault="008D6614">
            <w:pPr>
              <w:rPr>
                <w:rFonts w:ascii="宋体"/>
              </w:rPr>
            </w:pPr>
          </w:p>
        </w:tc>
        <w:tc>
          <w:tcPr>
            <w:tcW w:w="0" w:type="auto"/>
            <w:shd w:val="clear" w:color="auto" w:fill="auto"/>
            <w:vAlign w:val="center"/>
          </w:tcPr>
          <w:p w14:paraId="64A89ACE" w14:textId="77777777" w:rsidR="008D6614" w:rsidRDefault="008D6614">
            <w:pPr>
              <w:rPr>
                <w:rFonts w:ascii="宋体"/>
              </w:rPr>
            </w:pPr>
          </w:p>
        </w:tc>
        <w:tc>
          <w:tcPr>
            <w:tcW w:w="0" w:type="auto"/>
            <w:shd w:val="clear" w:color="auto" w:fill="auto"/>
            <w:vAlign w:val="center"/>
          </w:tcPr>
          <w:p w14:paraId="64A89ACF" w14:textId="77777777" w:rsidR="008D6614" w:rsidRDefault="008D6614">
            <w:pPr>
              <w:rPr>
                <w:rFonts w:ascii="宋体"/>
              </w:rPr>
            </w:pPr>
          </w:p>
        </w:tc>
        <w:tc>
          <w:tcPr>
            <w:tcW w:w="0" w:type="auto"/>
            <w:shd w:val="clear" w:color="auto" w:fill="auto"/>
            <w:vAlign w:val="center"/>
          </w:tcPr>
          <w:p w14:paraId="64A89AD0" w14:textId="77777777" w:rsidR="008D6614" w:rsidRDefault="008D6614">
            <w:pPr>
              <w:rPr>
                <w:rFonts w:ascii="宋体"/>
              </w:rPr>
            </w:pPr>
          </w:p>
        </w:tc>
        <w:tc>
          <w:tcPr>
            <w:tcW w:w="0" w:type="auto"/>
            <w:shd w:val="clear" w:color="auto" w:fill="auto"/>
            <w:vAlign w:val="center"/>
          </w:tcPr>
          <w:p w14:paraId="64A89AD1" w14:textId="77777777" w:rsidR="008D6614" w:rsidRDefault="008D6614">
            <w:pPr>
              <w:rPr>
                <w:rFonts w:ascii="宋体"/>
              </w:rPr>
            </w:pPr>
          </w:p>
        </w:tc>
        <w:tc>
          <w:tcPr>
            <w:tcW w:w="0" w:type="auto"/>
            <w:shd w:val="clear" w:color="auto" w:fill="auto"/>
            <w:vAlign w:val="center"/>
          </w:tcPr>
          <w:p w14:paraId="64A89AD2" w14:textId="77777777" w:rsidR="008D6614" w:rsidRDefault="008D6614">
            <w:pPr>
              <w:rPr>
                <w:rFonts w:ascii="宋体"/>
              </w:rPr>
            </w:pPr>
          </w:p>
        </w:tc>
        <w:tc>
          <w:tcPr>
            <w:tcW w:w="0" w:type="auto"/>
            <w:shd w:val="clear" w:color="auto" w:fill="auto"/>
            <w:vAlign w:val="center"/>
          </w:tcPr>
          <w:p w14:paraId="64A89AD3" w14:textId="77777777" w:rsidR="008D6614" w:rsidRDefault="008D6614">
            <w:pPr>
              <w:rPr>
                <w:rFonts w:ascii="宋体"/>
              </w:rPr>
            </w:pPr>
          </w:p>
        </w:tc>
        <w:tc>
          <w:tcPr>
            <w:tcW w:w="0" w:type="auto"/>
            <w:shd w:val="clear" w:color="auto" w:fill="auto"/>
            <w:vAlign w:val="center"/>
          </w:tcPr>
          <w:p w14:paraId="64A89AD4" w14:textId="77777777" w:rsidR="008D6614" w:rsidRDefault="008D6614">
            <w:pPr>
              <w:rPr>
                <w:rFonts w:ascii="宋体"/>
              </w:rPr>
            </w:pPr>
          </w:p>
        </w:tc>
        <w:tc>
          <w:tcPr>
            <w:tcW w:w="0" w:type="auto"/>
            <w:shd w:val="clear" w:color="auto" w:fill="auto"/>
            <w:vAlign w:val="center"/>
          </w:tcPr>
          <w:p w14:paraId="64A89AD5" w14:textId="77777777" w:rsidR="008D6614" w:rsidRDefault="008D6614">
            <w:pPr>
              <w:rPr>
                <w:rFonts w:ascii="宋体"/>
              </w:rPr>
            </w:pPr>
          </w:p>
        </w:tc>
        <w:tc>
          <w:tcPr>
            <w:tcW w:w="0" w:type="auto"/>
            <w:shd w:val="clear" w:color="auto" w:fill="auto"/>
            <w:vAlign w:val="center"/>
          </w:tcPr>
          <w:p w14:paraId="64A89AD6" w14:textId="77777777" w:rsidR="008D6614" w:rsidRDefault="008D6614">
            <w:pPr>
              <w:rPr>
                <w:rFonts w:ascii="宋体"/>
              </w:rPr>
            </w:pPr>
          </w:p>
        </w:tc>
        <w:tc>
          <w:tcPr>
            <w:tcW w:w="0" w:type="auto"/>
            <w:shd w:val="clear" w:color="auto" w:fill="auto"/>
            <w:vAlign w:val="center"/>
          </w:tcPr>
          <w:p w14:paraId="64A89AD7" w14:textId="77777777" w:rsidR="008D6614" w:rsidRDefault="008D6614">
            <w:pPr>
              <w:rPr>
                <w:rFonts w:ascii="宋体"/>
              </w:rPr>
            </w:pPr>
          </w:p>
        </w:tc>
        <w:tc>
          <w:tcPr>
            <w:tcW w:w="0" w:type="auto"/>
            <w:shd w:val="clear" w:color="auto" w:fill="auto"/>
            <w:vAlign w:val="center"/>
          </w:tcPr>
          <w:p w14:paraId="64A89AD8" w14:textId="77777777" w:rsidR="008D6614" w:rsidRDefault="008D6614">
            <w:pPr>
              <w:rPr>
                <w:rFonts w:ascii="宋体"/>
              </w:rPr>
            </w:pPr>
          </w:p>
        </w:tc>
        <w:tc>
          <w:tcPr>
            <w:tcW w:w="0" w:type="auto"/>
            <w:shd w:val="clear" w:color="auto" w:fill="auto"/>
            <w:vAlign w:val="center"/>
          </w:tcPr>
          <w:p w14:paraId="64A89AD9" w14:textId="77777777" w:rsidR="008D6614" w:rsidRDefault="008D6614">
            <w:pPr>
              <w:rPr>
                <w:rFonts w:ascii="宋体"/>
              </w:rPr>
            </w:pPr>
          </w:p>
        </w:tc>
        <w:tc>
          <w:tcPr>
            <w:tcW w:w="0" w:type="auto"/>
            <w:shd w:val="clear" w:color="auto" w:fill="auto"/>
            <w:vAlign w:val="center"/>
          </w:tcPr>
          <w:p w14:paraId="64A89ADA" w14:textId="77777777" w:rsidR="008D6614" w:rsidRDefault="008D6614">
            <w:pPr>
              <w:rPr>
                <w:rFonts w:ascii="宋体"/>
              </w:rPr>
            </w:pPr>
          </w:p>
        </w:tc>
        <w:tc>
          <w:tcPr>
            <w:tcW w:w="0" w:type="auto"/>
            <w:shd w:val="clear" w:color="auto" w:fill="auto"/>
            <w:vAlign w:val="center"/>
          </w:tcPr>
          <w:p w14:paraId="64A89ADB" w14:textId="77777777" w:rsidR="008D6614" w:rsidRDefault="008D6614">
            <w:pPr>
              <w:rPr>
                <w:rFonts w:ascii="宋体"/>
              </w:rPr>
            </w:pPr>
          </w:p>
        </w:tc>
        <w:tc>
          <w:tcPr>
            <w:tcW w:w="0" w:type="auto"/>
            <w:shd w:val="clear" w:color="auto" w:fill="auto"/>
            <w:vAlign w:val="center"/>
          </w:tcPr>
          <w:p w14:paraId="64A89ADC" w14:textId="77777777" w:rsidR="008D6614" w:rsidRDefault="008D6614">
            <w:pPr>
              <w:rPr>
                <w:rFonts w:ascii="宋体"/>
              </w:rPr>
            </w:pPr>
          </w:p>
        </w:tc>
      </w:tr>
      <w:tr w:rsidR="008D6614" w14:paraId="64A89B00" w14:textId="77777777">
        <w:tc>
          <w:tcPr>
            <w:tcW w:w="0" w:type="auto"/>
            <w:gridSpan w:val="3"/>
            <w:shd w:val="clear" w:color="auto" w:fill="E2E2E2"/>
            <w:tcMar>
              <w:left w:w="20" w:type="dxa"/>
              <w:right w:w="20" w:type="dxa"/>
            </w:tcMar>
            <w:vAlign w:val="bottom"/>
          </w:tcPr>
          <w:p w14:paraId="64A89ADE"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ADF"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AE0" w14:textId="77777777" w:rsidR="008D6614" w:rsidRDefault="00866AF2">
            <w:pPr>
              <w:jc w:val="right"/>
              <w:textAlignment w:val="bottom"/>
            </w:pPr>
            <w:r>
              <w:rPr>
                <w:rFonts w:ascii="Arial" w:eastAsia="宋体" w:hAnsi="Arial" w:cs="Arial"/>
                <w:color w:val="000000"/>
                <w:sz w:val="18"/>
                <w:szCs w:val="18"/>
              </w:rPr>
              <w:t>1,849 </w:t>
            </w:r>
          </w:p>
        </w:tc>
        <w:tc>
          <w:tcPr>
            <w:tcW w:w="0" w:type="auto"/>
            <w:tcBorders>
              <w:top w:val="single" w:sz="8" w:space="0" w:color="000000"/>
            </w:tcBorders>
            <w:shd w:val="clear" w:color="auto" w:fill="E2E2E2"/>
            <w:tcMar>
              <w:top w:w="40" w:type="dxa"/>
              <w:bottom w:w="40" w:type="dxa"/>
              <w:right w:w="20" w:type="dxa"/>
            </w:tcMar>
            <w:vAlign w:val="bottom"/>
          </w:tcPr>
          <w:p w14:paraId="64A89AE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AE2"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AE3"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AE4" w14:textId="77777777" w:rsidR="008D6614" w:rsidRDefault="00866AF2">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bottom w:w="40" w:type="dxa"/>
              <w:right w:w="20" w:type="dxa"/>
            </w:tcMar>
            <w:vAlign w:val="bottom"/>
          </w:tcPr>
          <w:p w14:paraId="64A89AE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AE6"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AE7"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AE8"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64A89AE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AEA"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AEB"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AEC" w14:textId="77777777" w:rsidR="008D6614" w:rsidRDefault="00866AF2">
            <w:pPr>
              <w:jc w:val="right"/>
              <w:textAlignment w:val="bottom"/>
            </w:pPr>
            <w:r>
              <w:rPr>
                <w:rFonts w:ascii="Arial" w:eastAsia="宋体" w:hAnsi="Arial" w:cs="Arial"/>
                <w:color w:val="000000"/>
                <w:sz w:val="18"/>
                <w:szCs w:val="18"/>
              </w:rPr>
              <w:t>1,850 </w:t>
            </w:r>
          </w:p>
        </w:tc>
        <w:tc>
          <w:tcPr>
            <w:tcW w:w="0" w:type="auto"/>
            <w:tcBorders>
              <w:top w:val="single" w:sz="8" w:space="0" w:color="000000"/>
            </w:tcBorders>
            <w:shd w:val="clear" w:color="auto" w:fill="E2E2E2"/>
            <w:tcMar>
              <w:top w:w="40" w:type="dxa"/>
              <w:bottom w:w="40" w:type="dxa"/>
              <w:right w:w="20" w:type="dxa"/>
            </w:tcMar>
            <w:vAlign w:val="bottom"/>
          </w:tcPr>
          <w:p w14:paraId="64A89AE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AEE" w14:textId="77777777" w:rsidR="008D6614" w:rsidRDefault="008D6614">
            <w:pPr>
              <w:rPr>
                <w:rFonts w:ascii="宋体"/>
              </w:rPr>
            </w:pPr>
          </w:p>
        </w:tc>
        <w:tc>
          <w:tcPr>
            <w:tcW w:w="0" w:type="auto"/>
            <w:shd w:val="clear" w:color="auto" w:fill="auto"/>
            <w:vAlign w:val="center"/>
          </w:tcPr>
          <w:p w14:paraId="64A89AEF" w14:textId="77777777" w:rsidR="008D6614" w:rsidRDefault="008D6614">
            <w:pPr>
              <w:rPr>
                <w:rFonts w:ascii="宋体"/>
              </w:rPr>
            </w:pPr>
          </w:p>
        </w:tc>
        <w:tc>
          <w:tcPr>
            <w:tcW w:w="0" w:type="auto"/>
            <w:shd w:val="clear" w:color="auto" w:fill="auto"/>
            <w:vAlign w:val="center"/>
          </w:tcPr>
          <w:p w14:paraId="64A89AF0" w14:textId="77777777" w:rsidR="008D6614" w:rsidRDefault="008D6614">
            <w:pPr>
              <w:rPr>
                <w:rFonts w:ascii="宋体"/>
              </w:rPr>
            </w:pPr>
          </w:p>
        </w:tc>
        <w:tc>
          <w:tcPr>
            <w:tcW w:w="0" w:type="auto"/>
            <w:shd w:val="clear" w:color="auto" w:fill="auto"/>
            <w:vAlign w:val="center"/>
          </w:tcPr>
          <w:p w14:paraId="64A89AF1" w14:textId="77777777" w:rsidR="008D6614" w:rsidRDefault="008D6614">
            <w:pPr>
              <w:rPr>
                <w:rFonts w:ascii="宋体"/>
              </w:rPr>
            </w:pPr>
          </w:p>
        </w:tc>
        <w:tc>
          <w:tcPr>
            <w:tcW w:w="0" w:type="auto"/>
            <w:shd w:val="clear" w:color="auto" w:fill="auto"/>
            <w:vAlign w:val="center"/>
          </w:tcPr>
          <w:p w14:paraId="64A89AF2" w14:textId="77777777" w:rsidR="008D6614" w:rsidRDefault="008D6614">
            <w:pPr>
              <w:rPr>
                <w:rFonts w:ascii="宋体"/>
              </w:rPr>
            </w:pPr>
          </w:p>
        </w:tc>
        <w:tc>
          <w:tcPr>
            <w:tcW w:w="0" w:type="auto"/>
            <w:shd w:val="clear" w:color="auto" w:fill="auto"/>
            <w:vAlign w:val="center"/>
          </w:tcPr>
          <w:p w14:paraId="64A89AF3" w14:textId="77777777" w:rsidR="008D6614" w:rsidRDefault="008D6614">
            <w:pPr>
              <w:rPr>
                <w:rFonts w:ascii="宋体"/>
              </w:rPr>
            </w:pPr>
          </w:p>
        </w:tc>
        <w:tc>
          <w:tcPr>
            <w:tcW w:w="0" w:type="auto"/>
            <w:shd w:val="clear" w:color="auto" w:fill="auto"/>
            <w:vAlign w:val="center"/>
          </w:tcPr>
          <w:p w14:paraId="64A89AF4" w14:textId="77777777" w:rsidR="008D6614" w:rsidRDefault="008D6614">
            <w:pPr>
              <w:rPr>
                <w:rFonts w:ascii="宋体"/>
              </w:rPr>
            </w:pPr>
          </w:p>
        </w:tc>
        <w:tc>
          <w:tcPr>
            <w:tcW w:w="0" w:type="auto"/>
            <w:shd w:val="clear" w:color="auto" w:fill="auto"/>
            <w:vAlign w:val="center"/>
          </w:tcPr>
          <w:p w14:paraId="64A89AF5" w14:textId="77777777" w:rsidR="008D6614" w:rsidRDefault="008D6614">
            <w:pPr>
              <w:rPr>
                <w:rFonts w:ascii="宋体"/>
              </w:rPr>
            </w:pPr>
          </w:p>
        </w:tc>
        <w:tc>
          <w:tcPr>
            <w:tcW w:w="0" w:type="auto"/>
            <w:shd w:val="clear" w:color="auto" w:fill="auto"/>
            <w:vAlign w:val="center"/>
          </w:tcPr>
          <w:p w14:paraId="64A89AF6" w14:textId="77777777" w:rsidR="008D6614" w:rsidRDefault="008D6614">
            <w:pPr>
              <w:rPr>
                <w:rFonts w:ascii="宋体"/>
              </w:rPr>
            </w:pPr>
          </w:p>
        </w:tc>
        <w:tc>
          <w:tcPr>
            <w:tcW w:w="0" w:type="auto"/>
            <w:shd w:val="clear" w:color="auto" w:fill="auto"/>
            <w:vAlign w:val="center"/>
          </w:tcPr>
          <w:p w14:paraId="64A89AF7" w14:textId="77777777" w:rsidR="008D6614" w:rsidRDefault="008D6614">
            <w:pPr>
              <w:rPr>
                <w:rFonts w:ascii="宋体"/>
              </w:rPr>
            </w:pPr>
          </w:p>
        </w:tc>
        <w:tc>
          <w:tcPr>
            <w:tcW w:w="0" w:type="auto"/>
            <w:shd w:val="clear" w:color="auto" w:fill="auto"/>
            <w:vAlign w:val="center"/>
          </w:tcPr>
          <w:p w14:paraId="64A89AF8" w14:textId="77777777" w:rsidR="008D6614" w:rsidRDefault="008D6614">
            <w:pPr>
              <w:rPr>
                <w:rFonts w:ascii="宋体"/>
              </w:rPr>
            </w:pPr>
          </w:p>
        </w:tc>
        <w:tc>
          <w:tcPr>
            <w:tcW w:w="0" w:type="auto"/>
            <w:shd w:val="clear" w:color="auto" w:fill="auto"/>
            <w:vAlign w:val="center"/>
          </w:tcPr>
          <w:p w14:paraId="64A89AF9" w14:textId="77777777" w:rsidR="008D6614" w:rsidRDefault="008D6614">
            <w:pPr>
              <w:rPr>
                <w:rFonts w:ascii="宋体"/>
              </w:rPr>
            </w:pPr>
          </w:p>
        </w:tc>
        <w:tc>
          <w:tcPr>
            <w:tcW w:w="0" w:type="auto"/>
            <w:shd w:val="clear" w:color="auto" w:fill="auto"/>
            <w:vAlign w:val="center"/>
          </w:tcPr>
          <w:p w14:paraId="64A89AFA" w14:textId="77777777" w:rsidR="008D6614" w:rsidRDefault="008D6614">
            <w:pPr>
              <w:rPr>
                <w:rFonts w:ascii="宋体"/>
              </w:rPr>
            </w:pPr>
          </w:p>
        </w:tc>
        <w:tc>
          <w:tcPr>
            <w:tcW w:w="0" w:type="auto"/>
            <w:shd w:val="clear" w:color="auto" w:fill="auto"/>
            <w:vAlign w:val="center"/>
          </w:tcPr>
          <w:p w14:paraId="64A89AFB" w14:textId="77777777" w:rsidR="008D6614" w:rsidRDefault="008D6614">
            <w:pPr>
              <w:rPr>
                <w:rFonts w:ascii="宋体"/>
              </w:rPr>
            </w:pPr>
          </w:p>
        </w:tc>
        <w:tc>
          <w:tcPr>
            <w:tcW w:w="0" w:type="auto"/>
            <w:shd w:val="clear" w:color="auto" w:fill="auto"/>
            <w:vAlign w:val="center"/>
          </w:tcPr>
          <w:p w14:paraId="64A89AFC" w14:textId="77777777" w:rsidR="008D6614" w:rsidRDefault="008D6614">
            <w:pPr>
              <w:rPr>
                <w:rFonts w:ascii="宋体"/>
              </w:rPr>
            </w:pPr>
          </w:p>
        </w:tc>
        <w:tc>
          <w:tcPr>
            <w:tcW w:w="0" w:type="auto"/>
            <w:shd w:val="clear" w:color="auto" w:fill="auto"/>
            <w:vAlign w:val="center"/>
          </w:tcPr>
          <w:p w14:paraId="64A89AFD" w14:textId="77777777" w:rsidR="008D6614" w:rsidRDefault="008D6614">
            <w:pPr>
              <w:rPr>
                <w:rFonts w:ascii="宋体"/>
              </w:rPr>
            </w:pPr>
          </w:p>
        </w:tc>
        <w:tc>
          <w:tcPr>
            <w:tcW w:w="0" w:type="auto"/>
            <w:shd w:val="clear" w:color="auto" w:fill="auto"/>
            <w:vAlign w:val="center"/>
          </w:tcPr>
          <w:p w14:paraId="64A89AFE" w14:textId="77777777" w:rsidR="008D6614" w:rsidRDefault="008D6614">
            <w:pPr>
              <w:rPr>
                <w:rFonts w:ascii="宋体"/>
              </w:rPr>
            </w:pPr>
          </w:p>
        </w:tc>
        <w:tc>
          <w:tcPr>
            <w:tcW w:w="0" w:type="auto"/>
            <w:shd w:val="clear" w:color="auto" w:fill="auto"/>
            <w:vAlign w:val="center"/>
          </w:tcPr>
          <w:p w14:paraId="64A89AFF" w14:textId="77777777" w:rsidR="008D6614" w:rsidRDefault="008D6614">
            <w:pPr>
              <w:rPr>
                <w:rFonts w:ascii="宋体"/>
              </w:rPr>
            </w:pPr>
          </w:p>
        </w:tc>
      </w:tr>
      <w:tr w:rsidR="008D6614" w14:paraId="64A89B1E" w14:textId="77777777">
        <w:tc>
          <w:tcPr>
            <w:tcW w:w="0" w:type="auto"/>
            <w:gridSpan w:val="3"/>
            <w:shd w:val="clear" w:color="auto" w:fill="FFFFFF"/>
            <w:tcMar>
              <w:top w:w="40" w:type="dxa"/>
              <w:left w:w="20" w:type="dxa"/>
              <w:bottom w:w="40" w:type="dxa"/>
              <w:right w:w="20" w:type="dxa"/>
            </w:tcMar>
            <w:vAlign w:val="bottom"/>
          </w:tcPr>
          <w:p w14:paraId="64A89B01" w14:textId="77777777" w:rsidR="008D6614" w:rsidRDefault="00866AF2">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left w:w="20" w:type="dxa"/>
              <w:right w:w="20" w:type="dxa"/>
            </w:tcMar>
            <w:vAlign w:val="bottom"/>
          </w:tcPr>
          <w:p w14:paraId="64A89B02"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9B03" w14:textId="77777777" w:rsidR="008D6614" w:rsidRDefault="008D6614">
            <w:pPr>
              <w:rPr>
                <w:rFonts w:ascii="宋体"/>
              </w:rPr>
            </w:pPr>
          </w:p>
        </w:tc>
        <w:tc>
          <w:tcPr>
            <w:tcW w:w="0" w:type="auto"/>
            <w:shd w:val="clear" w:color="auto" w:fill="FFFFFF"/>
            <w:tcMar>
              <w:right w:w="20" w:type="dxa"/>
            </w:tcMar>
            <w:vAlign w:val="bottom"/>
          </w:tcPr>
          <w:p w14:paraId="64A89B04" w14:textId="77777777" w:rsidR="008D6614" w:rsidRDefault="008D6614">
            <w:pPr>
              <w:jc w:val="right"/>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9B05"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9B06" w14:textId="77777777" w:rsidR="008D6614" w:rsidRDefault="008D6614">
            <w:pPr>
              <w:rPr>
                <w:rFonts w:ascii="宋体"/>
              </w:rPr>
            </w:pPr>
          </w:p>
        </w:tc>
        <w:tc>
          <w:tcPr>
            <w:tcW w:w="0" w:type="auto"/>
            <w:shd w:val="clear" w:color="auto" w:fill="FFFFFF"/>
            <w:tcMar>
              <w:right w:w="20" w:type="dxa"/>
            </w:tcMar>
            <w:vAlign w:val="bottom"/>
          </w:tcPr>
          <w:p w14:paraId="64A89B07" w14:textId="77777777" w:rsidR="008D6614" w:rsidRDefault="008D6614">
            <w:pPr>
              <w:jc w:val="right"/>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9B08"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9B09" w14:textId="77777777" w:rsidR="008D6614" w:rsidRDefault="008D6614">
            <w:pPr>
              <w:rPr>
                <w:rFonts w:ascii="宋体"/>
              </w:rPr>
            </w:pPr>
          </w:p>
        </w:tc>
        <w:tc>
          <w:tcPr>
            <w:tcW w:w="0" w:type="auto"/>
            <w:shd w:val="clear" w:color="auto" w:fill="FFFFFF"/>
            <w:tcMar>
              <w:right w:w="20" w:type="dxa"/>
            </w:tcMar>
            <w:vAlign w:val="bottom"/>
          </w:tcPr>
          <w:p w14:paraId="64A89B0A" w14:textId="77777777" w:rsidR="008D6614" w:rsidRDefault="008D6614">
            <w:pPr>
              <w:jc w:val="right"/>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9B0B" w14:textId="77777777" w:rsidR="008D6614" w:rsidRDefault="008D6614">
            <w:pPr>
              <w:rPr>
                <w:rFonts w:ascii="宋体"/>
              </w:rPr>
            </w:pPr>
          </w:p>
        </w:tc>
        <w:tc>
          <w:tcPr>
            <w:tcW w:w="0" w:type="auto"/>
            <w:shd w:val="clear" w:color="auto" w:fill="auto"/>
            <w:vAlign w:val="center"/>
          </w:tcPr>
          <w:p w14:paraId="64A89B0C" w14:textId="77777777" w:rsidR="008D6614" w:rsidRDefault="008D6614">
            <w:pPr>
              <w:rPr>
                <w:rFonts w:ascii="宋体"/>
              </w:rPr>
            </w:pPr>
          </w:p>
        </w:tc>
        <w:tc>
          <w:tcPr>
            <w:tcW w:w="0" w:type="auto"/>
            <w:shd w:val="clear" w:color="auto" w:fill="auto"/>
            <w:vAlign w:val="center"/>
          </w:tcPr>
          <w:p w14:paraId="64A89B0D" w14:textId="77777777" w:rsidR="008D6614" w:rsidRDefault="008D6614">
            <w:pPr>
              <w:rPr>
                <w:rFonts w:ascii="宋体"/>
              </w:rPr>
            </w:pPr>
          </w:p>
        </w:tc>
        <w:tc>
          <w:tcPr>
            <w:tcW w:w="0" w:type="auto"/>
            <w:shd w:val="clear" w:color="auto" w:fill="auto"/>
            <w:vAlign w:val="center"/>
          </w:tcPr>
          <w:p w14:paraId="64A89B0E" w14:textId="77777777" w:rsidR="008D6614" w:rsidRDefault="008D6614">
            <w:pPr>
              <w:rPr>
                <w:rFonts w:ascii="宋体"/>
              </w:rPr>
            </w:pPr>
          </w:p>
        </w:tc>
        <w:tc>
          <w:tcPr>
            <w:tcW w:w="0" w:type="auto"/>
            <w:shd w:val="clear" w:color="auto" w:fill="auto"/>
            <w:vAlign w:val="center"/>
          </w:tcPr>
          <w:p w14:paraId="64A89B0F" w14:textId="77777777" w:rsidR="008D6614" w:rsidRDefault="008D6614">
            <w:pPr>
              <w:rPr>
                <w:rFonts w:ascii="宋体"/>
              </w:rPr>
            </w:pPr>
          </w:p>
        </w:tc>
        <w:tc>
          <w:tcPr>
            <w:tcW w:w="0" w:type="auto"/>
            <w:shd w:val="clear" w:color="auto" w:fill="auto"/>
            <w:vAlign w:val="center"/>
          </w:tcPr>
          <w:p w14:paraId="64A89B10" w14:textId="77777777" w:rsidR="008D6614" w:rsidRDefault="008D6614">
            <w:pPr>
              <w:rPr>
                <w:rFonts w:ascii="宋体"/>
              </w:rPr>
            </w:pPr>
          </w:p>
        </w:tc>
        <w:tc>
          <w:tcPr>
            <w:tcW w:w="0" w:type="auto"/>
            <w:shd w:val="clear" w:color="auto" w:fill="auto"/>
            <w:vAlign w:val="center"/>
          </w:tcPr>
          <w:p w14:paraId="64A89B11" w14:textId="77777777" w:rsidR="008D6614" w:rsidRDefault="008D6614">
            <w:pPr>
              <w:rPr>
                <w:rFonts w:ascii="宋体"/>
              </w:rPr>
            </w:pPr>
          </w:p>
        </w:tc>
        <w:tc>
          <w:tcPr>
            <w:tcW w:w="0" w:type="auto"/>
            <w:shd w:val="clear" w:color="auto" w:fill="auto"/>
            <w:vAlign w:val="center"/>
          </w:tcPr>
          <w:p w14:paraId="64A89B12" w14:textId="77777777" w:rsidR="008D6614" w:rsidRDefault="008D6614">
            <w:pPr>
              <w:rPr>
                <w:rFonts w:ascii="宋体"/>
              </w:rPr>
            </w:pPr>
          </w:p>
        </w:tc>
        <w:tc>
          <w:tcPr>
            <w:tcW w:w="0" w:type="auto"/>
            <w:shd w:val="clear" w:color="auto" w:fill="auto"/>
            <w:vAlign w:val="center"/>
          </w:tcPr>
          <w:p w14:paraId="64A89B13" w14:textId="77777777" w:rsidR="008D6614" w:rsidRDefault="008D6614">
            <w:pPr>
              <w:rPr>
                <w:rFonts w:ascii="宋体"/>
              </w:rPr>
            </w:pPr>
          </w:p>
        </w:tc>
        <w:tc>
          <w:tcPr>
            <w:tcW w:w="0" w:type="auto"/>
            <w:shd w:val="clear" w:color="auto" w:fill="auto"/>
            <w:vAlign w:val="center"/>
          </w:tcPr>
          <w:p w14:paraId="64A89B14" w14:textId="77777777" w:rsidR="008D6614" w:rsidRDefault="008D6614">
            <w:pPr>
              <w:rPr>
                <w:rFonts w:ascii="宋体"/>
              </w:rPr>
            </w:pPr>
          </w:p>
        </w:tc>
        <w:tc>
          <w:tcPr>
            <w:tcW w:w="0" w:type="auto"/>
            <w:shd w:val="clear" w:color="auto" w:fill="auto"/>
            <w:vAlign w:val="center"/>
          </w:tcPr>
          <w:p w14:paraId="64A89B15" w14:textId="77777777" w:rsidR="008D6614" w:rsidRDefault="008D6614">
            <w:pPr>
              <w:rPr>
                <w:rFonts w:ascii="宋体"/>
              </w:rPr>
            </w:pPr>
          </w:p>
        </w:tc>
        <w:tc>
          <w:tcPr>
            <w:tcW w:w="0" w:type="auto"/>
            <w:shd w:val="clear" w:color="auto" w:fill="auto"/>
            <w:vAlign w:val="center"/>
          </w:tcPr>
          <w:p w14:paraId="64A89B16" w14:textId="77777777" w:rsidR="008D6614" w:rsidRDefault="008D6614">
            <w:pPr>
              <w:rPr>
                <w:rFonts w:ascii="宋体"/>
              </w:rPr>
            </w:pPr>
          </w:p>
        </w:tc>
        <w:tc>
          <w:tcPr>
            <w:tcW w:w="0" w:type="auto"/>
            <w:shd w:val="clear" w:color="auto" w:fill="auto"/>
            <w:vAlign w:val="center"/>
          </w:tcPr>
          <w:p w14:paraId="64A89B17" w14:textId="77777777" w:rsidR="008D6614" w:rsidRDefault="008D6614">
            <w:pPr>
              <w:rPr>
                <w:rFonts w:ascii="宋体"/>
              </w:rPr>
            </w:pPr>
          </w:p>
        </w:tc>
        <w:tc>
          <w:tcPr>
            <w:tcW w:w="0" w:type="auto"/>
            <w:shd w:val="clear" w:color="auto" w:fill="auto"/>
            <w:vAlign w:val="center"/>
          </w:tcPr>
          <w:p w14:paraId="64A89B18" w14:textId="77777777" w:rsidR="008D6614" w:rsidRDefault="008D6614">
            <w:pPr>
              <w:rPr>
                <w:rFonts w:ascii="宋体"/>
              </w:rPr>
            </w:pPr>
          </w:p>
        </w:tc>
        <w:tc>
          <w:tcPr>
            <w:tcW w:w="0" w:type="auto"/>
            <w:shd w:val="clear" w:color="auto" w:fill="auto"/>
            <w:vAlign w:val="center"/>
          </w:tcPr>
          <w:p w14:paraId="64A89B19" w14:textId="77777777" w:rsidR="008D6614" w:rsidRDefault="008D6614">
            <w:pPr>
              <w:rPr>
                <w:rFonts w:ascii="宋体"/>
              </w:rPr>
            </w:pPr>
          </w:p>
        </w:tc>
        <w:tc>
          <w:tcPr>
            <w:tcW w:w="0" w:type="auto"/>
            <w:shd w:val="clear" w:color="auto" w:fill="auto"/>
            <w:vAlign w:val="center"/>
          </w:tcPr>
          <w:p w14:paraId="64A89B1A" w14:textId="77777777" w:rsidR="008D6614" w:rsidRDefault="008D6614">
            <w:pPr>
              <w:rPr>
                <w:rFonts w:ascii="宋体"/>
              </w:rPr>
            </w:pPr>
          </w:p>
        </w:tc>
        <w:tc>
          <w:tcPr>
            <w:tcW w:w="0" w:type="auto"/>
            <w:shd w:val="clear" w:color="auto" w:fill="auto"/>
            <w:vAlign w:val="center"/>
          </w:tcPr>
          <w:p w14:paraId="64A89B1B" w14:textId="77777777" w:rsidR="008D6614" w:rsidRDefault="008D6614">
            <w:pPr>
              <w:rPr>
                <w:rFonts w:ascii="宋体"/>
              </w:rPr>
            </w:pPr>
          </w:p>
        </w:tc>
        <w:tc>
          <w:tcPr>
            <w:tcW w:w="0" w:type="auto"/>
            <w:shd w:val="clear" w:color="auto" w:fill="auto"/>
            <w:vAlign w:val="center"/>
          </w:tcPr>
          <w:p w14:paraId="64A89B1C" w14:textId="77777777" w:rsidR="008D6614" w:rsidRDefault="008D6614">
            <w:pPr>
              <w:rPr>
                <w:rFonts w:ascii="宋体"/>
              </w:rPr>
            </w:pPr>
          </w:p>
        </w:tc>
        <w:tc>
          <w:tcPr>
            <w:tcW w:w="0" w:type="auto"/>
            <w:shd w:val="clear" w:color="auto" w:fill="auto"/>
            <w:vAlign w:val="center"/>
          </w:tcPr>
          <w:p w14:paraId="64A89B1D" w14:textId="77777777" w:rsidR="008D6614" w:rsidRDefault="008D6614">
            <w:pPr>
              <w:rPr>
                <w:rFonts w:ascii="宋体"/>
              </w:rPr>
            </w:pPr>
          </w:p>
        </w:tc>
      </w:tr>
      <w:tr w:rsidR="008D6614" w14:paraId="64A89B40" w14:textId="77777777">
        <w:tc>
          <w:tcPr>
            <w:tcW w:w="0" w:type="auto"/>
            <w:gridSpan w:val="3"/>
            <w:shd w:val="clear" w:color="auto" w:fill="E2E2E2"/>
            <w:tcMar>
              <w:top w:w="40" w:type="dxa"/>
              <w:left w:w="225" w:type="dxa"/>
              <w:bottom w:w="40" w:type="dxa"/>
              <w:right w:w="20" w:type="dxa"/>
            </w:tcMar>
            <w:vAlign w:val="bottom"/>
          </w:tcPr>
          <w:p w14:paraId="64A89B1F" w14:textId="77777777" w:rsidR="008D6614" w:rsidRDefault="00866AF2">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A89B20" w14:textId="77777777" w:rsidR="008D6614" w:rsidRDefault="00866AF2">
            <w:pPr>
              <w:jc w:val="right"/>
              <w:textAlignment w:val="bottom"/>
            </w:pPr>
            <w:r>
              <w:rPr>
                <w:rFonts w:ascii="Arial" w:eastAsia="宋体" w:hAnsi="Arial" w:cs="Arial"/>
                <w:color w:val="000000"/>
                <w:sz w:val="18"/>
                <w:szCs w:val="18"/>
              </w:rPr>
              <w:t>957 </w:t>
            </w:r>
          </w:p>
        </w:tc>
        <w:tc>
          <w:tcPr>
            <w:tcW w:w="0" w:type="auto"/>
            <w:shd w:val="clear" w:color="auto" w:fill="E2E2E2"/>
            <w:tcMar>
              <w:top w:w="40" w:type="dxa"/>
              <w:bottom w:w="40" w:type="dxa"/>
              <w:right w:w="20" w:type="dxa"/>
            </w:tcMar>
            <w:vAlign w:val="bottom"/>
          </w:tcPr>
          <w:p w14:paraId="64A89B21"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B22" w14:textId="77777777" w:rsidR="008D6614" w:rsidRDefault="008D6614">
            <w:pPr>
              <w:rPr>
                <w:rFonts w:ascii="宋体"/>
              </w:rPr>
            </w:pPr>
          </w:p>
        </w:tc>
        <w:tc>
          <w:tcPr>
            <w:tcW w:w="0" w:type="auto"/>
            <w:shd w:val="clear" w:color="auto" w:fill="E2E2E2"/>
            <w:tcMar>
              <w:right w:w="20" w:type="dxa"/>
            </w:tcMar>
            <w:vAlign w:val="bottom"/>
          </w:tcPr>
          <w:p w14:paraId="64A89B23"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B24" w14:textId="77777777" w:rsidR="008D6614" w:rsidRDefault="00866AF2">
            <w:pPr>
              <w:jc w:val="right"/>
              <w:textAlignment w:val="bottom"/>
            </w:pPr>
            <w:r>
              <w:rPr>
                <w:rFonts w:ascii="Arial" w:eastAsia="宋体" w:hAnsi="Arial" w:cs="Arial"/>
                <w:color w:val="000000"/>
                <w:sz w:val="18"/>
                <w:szCs w:val="18"/>
              </w:rPr>
              <w:t>4 </w:t>
            </w:r>
          </w:p>
        </w:tc>
        <w:tc>
          <w:tcPr>
            <w:tcW w:w="0" w:type="auto"/>
            <w:shd w:val="clear" w:color="auto" w:fill="E2E2E2"/>
            <w:tcMar>
              <w:top w:w="40" w:type="dxa"/>
              <w:bottom w:w="40" w:type="dxa"/>
              <w:right w:w="20" w:type="dxa"/>
            </w:tcMar>
            <w:vAlign w:val="bottom"/>
          </w:tcPr>
          <w:p w14:paraId="64A89B25"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B26" w14:textId="77777777" w:rsidR="008D6614" w:rsidRDefault="008D6614">
            <w:pPr>
              <w:rPr>
                <w:rFonts w:ascii="宋体"/>
              </w:rPr>
            </w:pPr>
          </w:p>
        </w:tc>
        <w:tc>
          <w:tcPr>
            <w:tcW w:w="0" w:type="auto"/>
            <w:shd w:val="clear" w:color="auto" w:fill="E2E2E2"/>
            <w:tcMar>
              <w:right w:w="20" w:type="dxa"/>
            </w:tcMar>
            <w:vAlign w:val="bottom"/>
          </w:tcPr>
          <w:p w14:paraId="64A89B27"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B2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9B29"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E2E2E2"/>
            <w:tcMar>
              <w:left w:w="20" w:type="dxa"/>
              <w:right w:w="0" w:type="dxa"/>
            </w:tcMar>
            <w:vAlign w:val="bottom"/>
          </w:tcPr>
          <w:p w14:paraId="64A89B2A" w14:textId="77777777" w:rsidR="008D6614" w:rsidRDefault="008D6614">
            <w:pPr>
              <w:rPr>
                <w:rFonts w:ascii="宋体"/>
              </w:rPr>
            </w:pPr>
          </w:p>
        </w:tc>
        <w:tc>
          <w:tcPr>
            <w:tcW w:w="0" w:type="auto"/>
            <w:shd w:val="clear" w:color="auto" w:fill="E2E2E2"/>
            <w:tcMar>
              <w:right w:w="20" w:type="dxa"/>
            </w:tcMar>
            <w:vAlign w:val="bottom"/>
          </w:tcPr>
          <w:p w14:paraId="64A89B2B" w14:textId="77777777" w:rsidR="008D6614" w:rsidRDefault="008D6614">
            <w:pPr>
              <w:jc w:val="right"/>
              <w:rPr>
                <w:rFonts w:ascii="宋体"/>
              </w:rPr>
            </w:pPr>
          </w:p>
        </w:tc>
        <w:tc>
          <w:tcPr>
            <w:tcW w:w="0" w:type="auto"/>
            <w:gridSpan w:val="2"/>
            <w:shd w:val="clear" w:color="auto" w:fill="E2E2E2"/>
            <w:tcMar>
              <w:top w:w="40" w:type="dxa"/>
              <w:left w:w="20" w:type="dxa"/>
              <w:bottom w:w="40" w:type="dxa"/>
              <w:right w:w="0" w:type="dxa"/>
            </w:tcMar>
            <w:vAlign w:val="bottom"/>
          </w:tcPr>
          <w:p w14:paraId="64A89B2C" w14:textId="77777777" w:rsidR="008D6614" w:rsidRDefault="00866AF2">
            <w:pPr>
              <w:jc w:val="right"/>
              <w:textAlignment w:val="bottom"/>
            </w:pPr>
            <w:r>
              <w:rPr>
                <w:rFonts w:ascii="Arial" w:eastAsia="宋体" w:hAnsi="Arial" w:cs="Arial"/>
                <w:color w:val="000000"/>
                <w:sz w:val="18"/>
                <w:szCs w:val="18"/>
              </w:rPr>
              <w:t>961 </w:t>
            </w:r>
          </w:p>
        </w:tc>
        <w:tc>
          <w:tcPr>
            <w:tcW w:w="0" w:type="auto"/>
            <w:shd w:val="clear" w:color="auto" w:fill="E2E2E2"/>
            <w:tcMar>
              <w:top w:w="40" w:type="dxa"/>
              <w:bottom w:w="40" w:type="dxa"/>
              <w:right w:w="20" w:type="dxa"/>
            </w:tcMar>
            <w:vAlign w:val="bottom"/>
          </w:tcPr>
          <w:p w14:paraId="64A89B2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B2E" w14:textId="77777777" w:rsidR="008D6614" w:rsidRDefault="008D6614">
            <w:pPr>
              <w:rPr>
                <w:rFonts w:ascii="宋体"/>
              </w:rPr>
            </w:pPr>
          </w:p>
        </w:tc>
        <w:tc>
          <w:tcPr>
            <w:tcW w:w="0" w:type="auto"/>
            <w:shd w:val="clear" w:color="auto" w:fill="auto"/>
            <w:vAlign w:val="center"/>
          </w:tcPr>
          <w:p w14:paraId="64A89B2F" w14:textId="77777777" w:rsidR="008D6614" w:rsidRDefault="008D6614">
            <w:pPr>
              <w:rPr>
                <w:rFonts w:ascii="宋体"/>
              </w:rPr>
            </w:pPr>
          </w:p>
        </w:tc>
        <w:tc>
          <w:tcPr>
            <w:tcW w:w="0" w:type="auto"/>
            <w:shd w:val="clear" w:color="auto" w:fill="auto"/>
            <w:vAlign w:val="center"/>
          </w:tcPr>
          <w:p w14:paraId="64A89B30" w14:textId="77777777" w:rsidR="008D6614" w:rsidRDefault="008D6614">
            <w:pPr>
              <w:rPr>
                <w:rFonts w:ascii="宋体"/>
              </w:rPr>
            </w:pPr>
          </w:p>
        </w:tc>
        <w:tc>
          <w:tcPr>
            <w:tcW w:w="0" w:type="auto"/>
            <w:shd w:val="clear" w:color="auto" w:fill="auto"/>
            <w:vAlign w:val="center"/>
          </w:tcPr>
          <w:p w14:paraId="64A89B31" w14:textId="77777777" w:rsidR="008D6614" w:rsidRDefault="008D6614">
            <w:pPr>
              <w:rPr>
                <w:rFonts w:ascii="宋体"/>
              </w:rPr>
            </w:pPr>
          </w:p>
        </w:tc>
        <w:tc>
          <w:tcPr>
            <w:tcW w:w="0" w:type="auto"/>
            <w:shd w:val="clear" w:color="auto" w:fill="auto"/>
            <w:vAlign w:val="center"/>
          </w:tcPr>
          <w:p w14:paraId="64A89B32" w14:textId="77777777" w:rsidR="008D6614" w:rsidRDefault="008D6614">
            <w:pPr>
              <w:rPr>
                <w:rFonts w:ascii="宋体"/>
              </w:rPr>
            </w:pPr>
          </w:p>
        </w:tc>
        <w:tc>
          <w:tcPr>
            <w:tcW w:w="0" w:type="auto"/>
            <w:shd w:val="clear" w:color="auto" w:fill="auto"/>
            <w:vAlign w:val="center"/>
          </w:tcPr>
          <w:p w14:paraId="64A89B33" w14:textId="77777777" w:rsidR="008D6614" w:rsidRDefault="008D6614">
            <w:pPr>
              <w:rPr>
                <w:rFonts w:ascii="宋体"/>
              </w:rPr>
            </w:pPr>
          </w:p>
        </w:tc>
        <w:tc>
          <w:tcPr>
            <w:tcW w:w="0" w:type="auto"/>
            <w:shd w:val="clear" w:color="auto" w:fill="auto"/>
            <w:vAlign w:val="center"/>
          </w:tcPr>
          <w:p w14:paraId="64A89B34" w14:textId="77777777" w:rsidR="008D6614" w:rsidRDefault="008D6614">
            <w:pPr>
              <w:rPr>
                <w:rFonts w:ascii="宋体"/>
              </w:rPr>
            </w:pPr>
          </w:p>
        </w:tc>
        <w:tc>
          <w:tcPr>
            <w:tcW w:w="0" w:type="auto"/>
            <w:shd w:val="clear" w:color="auto" w:fill="auto"/>
            <w:vAlign w:val="center"/>
          </w:tcPr>
          <w:p w14:paraId="64A89B35" w14:textId="77777777" w:rsidR="008D6614" w:rsidRDefault="008D6614">
            <w:pPr>
              <w:rPr>
                <w:rFonts w:ascii="宋体"/>
              </w:rPr>
            </w:pPr>
          </w:p>
        </w:tc>
        <w:tc>
          <w:tcPr>
            <w:tcW w:w="0" w:type="auto"/>
            <w:shd w:val="clear" w:color="auto" w:fill="auto"/>
            <w:vAlign w:val="center"/>
          </w:tcPr>
          <w:p w14:paraId="64A89B36" w14:textId="77777777" w:rsidR="008D6614" w:rsidRDefault="008D6614">
            <w:pPr>
              <w:rPr>
                <w:rFonts w:ascii="宋体"/>
              </w:rPr>
            </w:pPr>
          </w:p>
        </w:tc>
        <w:tc>
          <w:tcPr>
            <w:tcW w:w="0" w:type="auto"/>
            <w:shd w:val="clear" w:color="auto" w:fill="auto"/>
            <w:vAlign w:val="center"/>
          </w:tcPr>
          <w:p w14:paraId="64A89B37" w14:textId="77777777" w:rsidR="008D6614" w:rsidRDefault="008D6614">
            <w:pPr>
              <w:rPr>
                <w:rFonts w:ascii="宋体"/>
              </w:rPr>
            </w:pPr>
          </w:p>
        </w:tc>
        <w:tc>
          <w:tcPr>
            <w:tcW w:w="0" w:type="auto"/>
            <w:shd w:val="clear" w:color="auto" w:fill="auto"/>
            <w:vAlign w:val="center"/>
          </w:tcPr>
          <w:p w14:paraId="64A89B38" w14:textId="77777777" w:rsidR="008D6614" w:rsidRDefault="008D6614">
            <w:pPr>
              <w:rPr>
                <w:rFonts w:ascii="宋体"/>
              </w:rPr>
            </w:pPr>
          </w:p>
        </w:tc>
        <w:tc>
          <w:tcPr>
            <w:tcW w:w="0" w:type="auto"/>
            <w:shd w:val="clear" w:color="auto" w:fill="auto"/>
            <w:vAlign w:val="center"/>
          </w:tcPr>
          <w:p w14:paraId="64A89B39" w14:textId="77777777" w:rsidR="008D6614" w:rsidRDefault="008D6614">
            <w:pPr>
              <w:rPr>
                <w:rFonts w:ascii="宋体"/>
              </w:rPr>
            </w:pPr>
          </w:p>
        </w:tc>
        <w:tc>
          <w:tcPr>
            <w:tcW w:w="0" w:type="auto"/>
            <w:shd w:val="clear" w:color="auto" w:fill="auto"/>
            <w:vAlign w:val="center"/>
          </w:tcPr>
          <w:p w14:paraId="64A89B3A" w14:textId="77777777" w:rsidR="008D6614" w:rsidRDefault="008D6614">
            <w:pPr>
              <w:rPr>
                <w:rFonts w:ascii="宋体"/>
              </w:rPr>
            </w:pPr>
          </w:p>
        </w:tc>
        <w:tc>
          <w:tcPr>
            <w:tcW w:w="0" w:type="auto"/>
            <w:shd w:val="clear" w:color="auto" w:fill="auto"/>
            <w:vAlign w:val="center"/>
          </w:tcPr>
          <w:p w14:paraId="64A89B3B" w14:textId="77777777" w:rsidR="008D6614" w:rsidRDefault="008D6614">
            <w:pPr>
              <w:rPr>
                <w:rFonts w:ascii="宋体"/>
              </w:rPr>
            </w:pPr>
          </w:p>
        </w:tc>
        <w:tc>
          <w:tcPr>
            <w:tcW w:w="0" w:type="auto"/>
            <w:shd w:val="clear" w:color="auto" w:fill="auto"/>
            <w:vAlign w:val="center"/>
          </w:tcPr>
          <w:p w14:paraId="64A89B3C" w14:textId="77777777" w:rsidR="008D6614" w:rsidRDefault="008D6614">
            <w:pPr>
              <w:rPr>
                <w:rFonts w:ascii="宋体"/>
              </w:rPr>
            </w:pPr>
          </w:p>
        </w:tc>
        <w:tc>
          <w:tcPr>
            <w:tcW w:w="0" w:type="auto"/>
            <w:shd w:val="clear" w:color="auto" w:fill="auto"/>
            <w:vAlign w:val="center"/>
          </w:tcPr>
          <w:p w14:paraId="64A89B3D" w14:textId="77777777" w:rsidR="008D6614" w:rsidRDefault="008D6614">
            <w:pPr>
              <w:rPr>
                <w:rFonts w:ascii="宋体"/>
              </w:rPr>
            </w:pPr>
          </w:p>
        </w:tc>
        <w:tc>
          <w:tcPr>
            <w:tcW w:w="0" w:type="auto"/>
            <w:shd w:val="clear" w:color="auto" w:fill="auto"/>
            <w:vAlign w:val="center"/>
          </w:tcPr>
          <w:p w14:paraId="64A89B3E" w14:textId="77777777" w:rsidR="008D6614" w:rsidRDefault="008D6614">
            <w:pPr>
              <w:rPr>
                <w:rFonts w:ascii="宋体"/>
              </w:rPr>
            </w:pPr>
          </w:p>
        </w:tc>
        <w:tc>
          <w:tcPr>
            <w:tcW w:w="0" w:type="auto"/>
            <w:shd w:val="clear" w:color="auto" w:fill="auto"/>
            <w:vAlign w:val="center"/>
          </w:tcPr>
          <w:p w14:paraId="64A89B3F" w14:textId="77777777" w:rsidR="008D6614" w:rsidRDefault="008D6614">
            <w:pPr>
              <w:rPr>
                <w:rFonts w:ascii="宋体"/>
              </w:rPr>
            </w:pPr>
          </w:p>
        </w:tc>
      </w:tr>
      <w:tr w:rsidR="008D6614" w14:paraId="64A89B5B" w14:textId="77777777">
        <w:trPr>
          <w:hidden/>
        </w:trPr>
        <w:tc>
          <w:tcPr>
            <w:tcW w:w="0" w:type="auto"/>
            <w:gridSpan w:val="3"/>
            <w:shd w:val="clear" w:color="auto" w:fill="auto"/>
            <w:vAlign w:val="center"/>
          </w:tcPr>
          <w:p w14:paraId="64A89B41" w14:textId="77777777" w:rsidR="008D6614" w:rsidRDefault="008D6614">
            <w:pPr>
              <w:rPr>
                <w:rFonts w:ascii="宋体"/>
                <w:vanish/>
              </w:rPr>
            </w:pPr>
          </w:p>
        </w:tc>
        <w:tc>
          <w:tcPr>
            <w:tcW w:w="0" w:type="auto"/>
            <w:gridSpan w:val="3"/>
            <w:shd w:val="clear" w:color="auto" w:fill="auto"/>
            <w:vAlign w:val="center"/>
          </w:tcPr>
          <w:p w14:paraId="64A89B42" w14:textId="77777777" w:rsidR="008D6614" w:rsidRDefault="008D6614">
            <w:pPr>
              <w:rPr>
                <w:rFonts w:ascii="宋体"/>
                <w:vanish/>
              </w:rPr>
            </w:pPr>
          </w:p>
        </w:tc>
        <w:tc>
          <w:tcPr>
            <w:tcW w:w="0" w:type="auto"/>
            <w:gridSpan w:val="3"/>
            <w:shd w:val="clear" w:color="auto" w:fill="auto"/>
            <w:vAlign w:val="center"/>
          </w:tcPr>
          <w:p w14:paraId="64A89B43" w14:textId="77777777" w:rsidR="008D6614" w:rsidRDefault="008D6614">
            <w:pPr>
              <w:rPr>
                <w:rFonts w:ascii="宋体"/>
                <w:vanish/>
              </w:rPr>
            </w:pPr>
          </w:p>
        </w:tc>
        <w:tc>
          <w:tcPr>
            <w:tcW w:w="0" w:type="auto"/>
            <w:gridSpan w:val="3"/>
            <w:shd w:val="clear" w:color="auto" w:fill="auto"/>
            <w:vAlign w:val="center"/>
          </w:tcPr>
          <w:p w14:paraId="64A89B44" w14:textId="77777777" w:rsidR="008D6614" w:rsidRDefault="008D6614">
            <w:pPr>
              <w:rPr>
                <w:rFonts w:ascii="宋体"/>
                <w:vanish/>
              </w:rPr>
            </w:pPr>
          </w:p>
        </w:tc>
        <w:tc>
          <w:tcPr>
            <w:tcW w:w="0" w:type="auto"/>
            <w:gridSpan w:val="3"/>
            <w:shd w:val="clear" w:color="auto" w:fill="auto"/>
            <w:vAlign w:val="center"/>
          </w:tcPr>
          <w:p w14:paraId="64A89B45" w14:textId="77777777" w:rsidR="008D6614" w:rsidRDefault="008D6614">
            <w:pPr>
              <w:rPr>
                <w:rFonts w:ascii="宋体"/>
                <w:vanish/>
              </w:rPr>
            </w:pPr>
          </w:p>
        </w:tc>
        <w:tc>
          <w:tcPr>
            <w:tcW w:w="0" w:type="auto"/>
            <w:gridSpan w:val="3"/>
            <w:shd w:val="clear" w:color="auto" w:fill="auto"/>
            <w:vAlign w:val="center"/>
          </w:tcPr>
          <w:p w14:paraId="64A89B46" w14:textId="77777777" w:rsidR="008D6614" w:rsidRDefault="008D6614">
            <w:pPr>
              <w:rPr>
                <w:rFonts w:ascii="宋体"/>
                <w:vanish/>
              </w:rPr>
            </w:pPr>
          </w:p>
        </w:tc>
        <w:tc>
          <w:tcPr>
            <w:tcW w:w="0" w:type="auto"/>
            <w:gridSpan w:val="3"/>
            <w:shd w:val="clear" w:color="auto" w:fill="auto"/>
            <w:vAlign w:val="center"/>
          </w:tcPr>
          <w:p w14:paraId="64A89B47" w14:textId="77777777" w:rsidR="008D6614" w:rsidRDefault="008D6614">
            <w:pPr>
              <w:rPr>
                <w:rFonts w:ascii="宋体"/>
                <w:vanish/>
              </w:rPr>
            </w:pPr>
          </w:p>
        </w:tc>
        <w:tc>
          <w:tcPr>
            <w:tcW w:w="0" w:type="auto"/>
            <w:gridSpan w:val="3"/>
            <w:shd w:val="clear" w:color="auto" w:fill="auto"/>
            <w:vAlign w:val="center"/>
          </w:tcPr>
          <w:p w14:paraId="64A89B48" w14:textId="77777777" w:rsidR="008D6614" w:rsidRDefault="008D6614">
            <w:pPr>
              <w:rPr>
                <w:rFonts w:ascii="宋体"/>
                <w:vanish/>
              </w:rPr>
            </w:pPr>
          </w:p>
        </w:tc>
        <w:tc>
          <w:tcPr>
            <w:tcW w:w="0" w:type="auto"/>
            <w:shd w:val="clear" w:color="auto" w:fill="auto"/>
            <w:vAlign w:val="center"/>
          </w:tcPr>
          <w:p w14:paraId="64A89B49" w14:textId="77777777" w:rsidR="008D6614" w:rsidRDefault="008D6614">
            <w:pPr>
              <w:rPr>
                <w:rFonts w:ascii="宋体"/>
              </w:rPr>
            </w:pPr>
          </w:p>
        </w:tc>
        <w:tc>
          <w:tcPr>
            <w:tcW w:w="0" w:type="auto"/>
            <w:shd w:val="clear" w:color="auto" w:fill="auto"/>
            <w:vAlign w:val="center"/>
          </w:tcPr>
          <w:p w14:paraId="64A89B4A" w14:textId="77777777" w:rsidR="008D6614" w:rsidRDefault="008D6614">
            <w:pPr>
              <w:rPr>
                <w:rFonts w:ascii="宋体"/>
              </w:rPr>
            </w:pPr>
          </w:p>
        </w:tc>
        <w:tc>
          <w:tcPr>
            <w:tcW w:w="0" w:type="auto"/>
            <w:shd w:val="clear" w:color="auto" w:fill="auto"/>
            <w:vAlign w:val="center"/>
          </w:tcPr>
          <w:p w14:paraId="64A89B4B" w14:textId="77777777" w:rsidR="008D6614" w:rsidRDefault="008D6614">
            <w:pPr>
              <w:rPr>
                <w:rFonts w:ascii="宋体"/>
              </w:rPr>
            </w:pPr>
          </w:p>
        </w:tc>
        <w:tc>
          <w:tcPr>
            <w:tcW w:w="0" w:type="auto"/>
            <w:shd w:val="clear" w:color="auto" w:fill="auto"/>
            <w:vAlign w:val="center"/>
          </w:tcPr>
          <w:p w14:paraId="64A89B4C" w14:textId="77777777" w:rsidR="008D6614" w:rsidRDefault="008D6614">
            <w:pPr>
              <w:rPr>
                <w:rFonts w:ascii="宋体"/>
              </w:rPr>
            </w:pPr>
          </w:p>
        </w:tc>
        <w:tc>
          <w:tcPr>
            <w:tcW w:w="0" w:type="auto"/>
            <w:shd w:val="clear" w:color="auto" w:fill="auto"/>
            <w:vAlign w:val="center"/>
          </w:tcPr>
          <w:p w14:paraId="64A89B4D" w14:textId="77777777" w:rsidR="008D6614" w:rsidRDefault="008D6614">
            <w:pPr>
              <w:rPr>
                <w:rFonts w:ascii="宋体"/>
              </w:rPr>
            </w:pPr>
          </w:p>
        </w:tc>
        <w:tc>
          <w:tcPr>
            <w:tcW w:w="0" w:type="auto"/>
            <w:shd w:val="clear" w:color="auto" w:fill="auto"/>
            <w:vAlign w:val="center"/>
          </w:tcPr>
          <w:p w14:paraId="64A89B4E" w14:textId="77777777" w:rsidR="008D6614" w:rsidRDefault="008D6614">
            <w:pPr>
              <w:rPr>
                <w:rFonts w:ascii="宋体"/>
              </w:rPr>
            </w:pPr>
          </w:p>
        </w:tc>
        <w:tc>
          <w:tcPr>
            <w:tcW w:w="0" w:type="auto"/>
            <w:shd w:val="clear" w:color="auto" w:fill="auto"/>
            <w:vAlign w:val="center"/>
          </w:tcPr>
          <w:p w14:paraId="64A89B4F" w14:textId="77777777" w:rsidR="008D6614" w:rsidRDefault="008D6614">
            <w:pPr>
              <w:rPr>
                <w:rFonts w:ascii="宋体"/>
              </w:rPr>
            </w:pPr>
          </w:p>
        </w:tc>
        <w:tc>
          <w:tcPr>
            <w:tcW w:w="0" w:type="auto"/>
            <w:shd w:val="clear" w:color="auto" w:fill="auto"/>
            <w:vAlign w:val="center"/>
          </w:tcPr>
          <w:p w14:paraId="64A89B50" w14:textId="77777777" w:rsidR="008D6614" w:rsidRDefault="008D6614">
            <w:pPr>
              <w:rPr>
                <w:rFonts w:ascii="宋体"/>
              </w:rPr>
            </w:pPr>
          </w:p>
        </w:tc>
        <w:tc>
          <w:tcPr>
            <w:tcW w:w="0" w:type="auto"/>
            <w:shd w:val="clear" w:color="auto" w:fill="auto"/>
            <w:vAlign w:val="center"/>
          </w:tcPr>
          <w:p w14:paraId="64A89B51" w14:textId="77777777" w:rsidR="008D6614" w:rsidRDefault="008D6614">
            <w:pPr>
              <w:rPr>
                <w:rFonts w:ascii="宋体"/>
              </w:rPr>
            </w:pPr>
          </w:p>
        </w:tc>
        <w:tc>
          <w:tcPr>
            <w:tcW w:w="0" w:type="auto"/>
            <w:shd w:val="clear" w:color="auto" w:fill="auto"/>
            <w:vAlign w:val="center"/>
          </w:tcPr>
          <w:p w14:paraId="64A89B52" w14:textId="77777777" w:rsidR="008D6614" w:rsidRDefault="008D6614">
            <w:pPr>
              <w:rPr>
                <w:rFonts w:ascii="宋体"/>
              </w:rPr>
            </w:pPr>
          </w:p>
        </w:tc>
        <w:tc>
          <w:tcPr>
            <w:tcW w:w="0" w:type="auto"/>
            <w:shd w:val="clear" w:color="auto" w:fill="auto"/>
            <w:vAlign w:val="center"/>
          </w:tcPr>
          <w:p w14:paraId="64A89B53" w14:textId="77777777" w:rsidR="008D6614" w:rsidRDefault="008D6614">
            <w:pPr>
              <w:rPr>
                <w:rFonts w:ascii="宋体"/>
              </w:rPr>
            </w:pPr>
          </w:p>
        </w:tc>
        <w:tc>
          <w:tcPr>
            <w:tcW w:w="0" w:type="auto"/>
            <w:shd w:val="clear" w:color="auto" w:fill="auto"/>
            <w:vAlign w:val="center"/>
          </w:tcPr>
          <w:p w14:paraId="64A89B54" w14:textId="77777777" w:rsidR="008D6614" w:rsidRDefault="008D6614">
            <w:pPr>
              <w:rPr>
                <w:rFonts w:ascii="宋体"/>
              </w:rPr>
            </w:pPr>
          </w:p>
        </w:tc>
        <w:tc>
          <w:tcPr>
            <w:tcW w:w="0" w:type="auto"/>
            <w:shd w:val="clear" w:color="auto" w:fill="auto"/>
            <w:vAlign w:val="center"/>
          </w:tcPr>
          <w:p w14:paraId="64A89B55" w14:textId="77777777" w:rsidR="008D6614" w:rsidRDefault="008D6614">
            <w:pPr>
              <w:rPr>
                <w:rFonts w:ascii="宋体"/>
              </w:rPr>
            </w:pPr>
          </w:p>
        </w:tc>
        <w:tc>
          <w:tcPr>
            <w:tcW w:w="0" w:type="auto"/>
            <w:shd w:val="clear" w:color="auto" w:fill="auto"/>
            <w:vAlign w:val="center"/>
          </w:tcPr>
          <w:p w14:paraId="64A89B56" w14:textId="77777777" w:rsidR="008D6614" w:rsidRDefault="008D6614">
            <w:pPr>
              <w:rPr>
                <w:rFonts w:ascii="宋体"/>
              </w:rPr>
            </w:pPr>
          </w:p>
        </w:tc>
        <w:tc>
          <w:tcPr>
            <w:tcW w:w="0" w:type="auto"/>
            <w:shd w:val="clear" w:color="auto" w:fill="auto"/>
            <w:vAlign w:val="center"/>
          </w:tcPr>
          <w:p w14:paraId="64A89B57" w14:textId="77777777" w:rsidR="008D6614" w:rsidRDefault="008D6614">
            <w:pPr>
              <w:rPr>
                <w:rFonts w:ascii="宋体"/>
              </w:rPr>
            </w:pPr>
          </w:p>
        </w:tc>
        <w:tc>
          <w:tcPr>
            <w:tcW w:w="0" w:type="auto"/>
            <w:shd w:val="clear" w:color="auto" w:fill="auto"/>
            <w:vAlign w:val="center"/>
          </w:tcPr>
          <w:p w14:paraId="64A89B58" w14:textId="77777777" w:rsidR="008D6614" w:rsidRDefault="008D6614">
            <w:pPr>
              <w:rPr>
                <w:rFonts w:ascii="宋体"/>
              </w:rPr>
            </w:pPr>
          </w:p>
        </w:tc>
        <w:tc>
          <w:tcPr>
            <w:tcW w:w="0" w:type="auto"/>
            <w:shd w:val="clear" w:color="auto" w:fill="auto"/>
            <w:vAlign w:val="center"/>
          </w:tcPr>
          <w:p w14:paraId="64A89B59" w14:textId="77777777" w:rsidR="008D6614" w:rsidRDefault="008D6614">
            <w:pPr>
              <w:rPr>
                <w:rFonts w:ascii="宋体"/>
              </w:rPr>
            </w:pPr>
          </w:p>
        </w:tc>
        <w:tc>
          <w:tcPr>
            <w:tcW w:w="0" w:type="auto"/>
            <w:shd w:val="clear" w:color="auto" w:fill="auto"/>
            <w:vAlign w:val="center"/>
          </w:tcPr>
          <w:p w14:paraId="64A89B5A" w14:textId="77777777" w:rsidR="008D6614" w:rsidRDefault="008D6614">
            <w:pPr>
              <w:rPr>
                <w:rFonts w:ascii="宋体"/>
              </w:rPr>
            </w:pPr>
          </w:p>
        </w:tc>
      </w:tr>
      <w:tr w:rsidR="008D6614" w14:paraId="64A89B81" w14:textId="77777777">
        <w:tc>
          <w:tcPr>
            <w:tcW w:w="0" w:type="auto"/>
            <w:gridSpan w:val="3"/>
            <w:shd w:val="clear" w:color="auto" w:fill="FFFFFF"/>
            <w:tcMar>
              <w:left w:w="20" w:type="dxa"/>
              <w:right w:w="20" w:type="dxa"/>
            </w:tcMar>
            <w:vAlign w:val="bottom"/>
          </w:tcPr>
          <w:p w14:paraId="64A89B5C"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B5D"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B5E" w14:textId="77777777" w:rsidR="008D6614" w:rsidRDefault="00866AF2">
            <w:pPr>
              <w:jc w:val="right"/>
              <w:textAlignment w:val="bottom"/>
            </w:pPr>
            <w:r>
              <w:rPr>
                <w:rFonts w:ascii="Arial" w:eastAsia="宋体" w:hAnsi="Arial" w:cs="Arial"/>
                <w:color w:val="000000"/>
                <w:sz w:val="18"/>
                <w:szCs w:val="18"/>
              </w:rPr>
              <w:t>957 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B5F"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B60" w14:textId="77777777" w:rsidR="008D6614" w:rsidRDefault="008D6614">
            <w:pPr>
              <w:rPr>
                <w:rFonts w:ascii="宋体"/>
              </w:rPr>
            </w:pPr>
          </w:p>
        </w:tc>
        <w:tc>
          <w:tcPr>
            <w:tcW w:w="0" w:type="auto"/>
            <w:shd w:val="clear" w:color="auto" w:fill="FFFFFF"/>
            <w:tcMar>
              <w:right w:w="20" w:type="dxa"/>
            </w:tcMar>
            <w:vAlign w:val="bottom"/>
          </w:tcPr>
          <w:p w14:paraId="64A89B61" w14:textId="77777777" w:rsidR="008D6614" w:rsidRDefault="008D661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B6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B63" w14:textId="77777777" w:rsidR="008D6614" w:rsidRDefault="00866AF2">
            <w:pPr>
              <w:jc w:val="right"/>
              <w:textAlignment w:val="bottom"/>
            </w:pPr>
            <w:r>
              <w:rPr>
                <w:rFonts w:ascii="Arial" w:eastAsia="宋体" w:hAnsi="Arial" w:cs="Arial"/>
                <w:color w:val="000000"/>
                <w:sz w:val="18"/>
                <w:szCs w:val="18"/>
              </w:rPr>
              <w:t>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B64"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B65" w14:textId="77777777" w:rsidR="008D6614" w:rsidRDefault="008D6614">
            <w:pPr>
              <w:rPr>
                <w:rFonts w:ascii="宋体"/>
              </w:rPr>
            </w:pPr>
          </w:p>
        </w:tc>
        <w:tc>
          <w:tcPr>
            <w:tcW w:w="0" w:type="auto"/>
            <w:shd w:val="clear" w:color="auto" w:fill="FFFFFF"/>
            <w:tcMar>
              <w:right w:w="20" w:type="dxa"/>
            </w:tcMar>
            <w:vAlign w:val="bottom"/>
          </w:tcPr>
          <w:p w14:paraId="64A89B66" w14:textId="77777777" w:rsidR="008D6614" w:rsidRDefault="008D661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B67"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B68"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B69" w14:textId="77777777" w:rsidR="008D6614" w:rsidRDefault="00866AF2">
            <w:pPr>
              <w:jc w:val="right"/>
              <w:textAlignment w:val="bottom"/>
            </w:pPr>
            <w:r>
              <w:rPr>
                <w:rFonts w:ascii="Arial" w:eastAsia="宋体" w:hAnsi="Arial" w:cs="Arial"/>
                <w:color w:val="000000"/>
                <w:sz w:val="18"/>
                <w:szCs w:val="18"/>
              </w:rPr>
              <w:t> </w:t>
            </w:r>
          </w:p>
        </w:tc>
        <w:tc>
          <w:tcPr>
            <w:tcW w:w="0" w:type="auto"/>
            <w:gridSpan w:val="2"/>
            <w:shd w:val="clear" w:color="auto" w:fill="FFFFFF"/>
            <w:tcMar>
              <w:left w:w="20" w:type="dxa"/>
              <w:right w:w="0" w:type="dxa"/>
            </w:tcMar>
            <w:vAlign w:val="bottom"/>
          </w:tcPr>
          <w:p w14:paraId="64A89B6A" w14:textId="77777777" w:rsidR="008D6614" w:rsidRDefault="008D6614">
            <w:pPr>
              <w:rPr>
                <w:rFonts w:ascii="宋体"/>
              </w:rPr>
            </w:pPr>
          </w:p>
        </w:tc>
        <w:tc>
          <w:tcPr>
            <w:tcW w:w="0" w:type="auto"/>
            <w:shd w:val="clear" w:color="auto" w:fill="FFFFFF"/>
            <w:tcMar>
              <w:right w:w="20" w:type="dxa"/>
            </w:tcMar>
            <w:vAlign w:val="bottom"/>
          </w:tcPr>
          <w:p w14:paraId="64A89B6B" w14:textId="77777777" w:rsidR="008D6614" w:rsidRDefault="008D661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B6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B6D" w14:textId="77777777" w:rsidR="008D6614" w:rsidRDefault="00866AF2">
            <w:pPr>
              <w:jc w:val="right"/>
              <w:textAlignment w:val="bottom"/>
            </w:pPr>
            <w:r>
              <w:rPr>
                <w:rFonts w:ascii="Arial" w:eastAsia="宋体" w:hAnsi="Arial" w:cs="Arial"/>
                <w:color w:val="000000"/>
                <w:sz w:val="18"/>
                <w:szCs w:val="18"/>
              </w:rPr>
              <w:t>961 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B6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B6F" w14:textId="77777777" w:rsidR="008D6614" w:rsidRDefault="008D6614">
            <w:pPr>
              <w:rPr>
                <w:rFonts w:ascii="宋体"/>
              </w:rPr>
            </w:pPr>
          </w:p>
        </w:tc>
        <w:tc>
          <w:tcPr>
            <w:tcW w:w="0" w:type="auto"/>
            <w:shd w:val="clear" w:color="auto" w:fill="auto"/>
            <w:vAlign w:val="center"/>
          </w:tcPr>
          <w:p w14:paraId="64A89B70" w14:textId="77777777" w:rsidR="008D6614" w:rsidRDefault="008D6614">
            <w:pPr>
              <w:rPr>
                <w:rFonts w:ascii="宋体"/>
              </w:rPr>
            </w:pPr>
          </w:p>
        </w:tc>
        <w:tc>
          <w:tcPr>
            <w:tcW w:w="0" w:type="auto"/>
            <w:shd w:val="clear" w:color="auto" w:fill="auto"/>
            <w:vAlign w:val="center"/>
          </w:tcPr>
          <w:p w14:paraId="64A89B71" w14:textId="77777777" w:rsidR="008D6614" w:rsidRDefault="008D6614">
            <w:pPr>
              <w:rPr>
                <w:rFonts w:ascii="宋体"/>
              </w:rPr>
            </w:pPr>
          </w:p>
        </w:tc>
        <w:tc>
          <w:tcPr>
            <w:tcW w:w="0" w:type="auto"/>
            <w:shd w:val="clear" w:color="auto" w:fill="auto"/>
            <w:vAlign w:val="center"/>
          </w:tcPr>
          <w:p w14:paraId="64A89B72" w14:textId="77777777" w:rsidR="008D6614" w:rsidRDefault="008D6614">
            <w:pPr>
              <w:rPr>
                <w:rFonts w:ascii="宋体"/>
              </w:rPr>
            </w:pPr>
          </w:p>
        </w:tc>
        <w:tc>
          <w:tcPr>
            <w:tcW w:w="0" w:type="auto"/>
            <w:shd w:val="clear" w:color="auto" w:fill="auto"/>
            <w:vAlign w:val="center"/>
          </w:tcPr>
          <w:p w14:paraId="64A89B73" w14:textId="77777777" w:rsidR="008D6614" w:rsidRDefault="008D6614">
            <w:pPr>
              <w:rPr>
                <w:rFonts w:ascii="宋体"/>
              </w:rPr>
            </w:pPr>
          </w:p>
        </w:tc>
        <w:tc>
          <w:tcPr>
            <w:tcW w:w="0" w:type="auto"/>
            <w:shd w:val="clear" w:color="auto" w:fill="auto"/>
            <w:vAlign w:val="center"/>
          </w:tcPr>
          <w:p w14:paraId="64A89B74" w14:textId="77777777" w:rsidR="008D6614" w:rsidRDefault="008D6614">
            <w:pPr>
              <w:rPr>
                <w:rFonts w:ascii="宋体"/>
              </w:rPr>
            </w:pPr>
          </w:p>
        </w:tc>
        <w:tc>
          <w:tcPr>
            <w:tcW w:w="0" w:type="auto"/>
            <w:shd w:val="clear" w:color="auto" w:fill="auto"/>
            <w:vAlign w:val="center"/>
          </w:tcPr>
          <w:p w14:paraId="64A89B75" w14:textId="77777777" w:rsidR="008D6614" w:rsidRDefault="008D6614">
            <w:pPr>
              <w:rPr>
                <w:rFonts w:ascii="宋体"/>
              </w:rPr>
            </w:pPr>
          </w:p>
        </w:tc>
        <w:tc>
          <w:tcPr>
            <w:tcW w:w="0" w:type="auto"/>
            <w:shd w:val="clear" w:color="auto" w:fill="auto"/>
            <w:vAlign w:val="center"/>
          </w:tcPr>
          <w:p w14:paraId="64A89B76" w14:textId="77777777" w:rsidR="008D6614" w:rsidRDefault="008D6614">
            <w:pPr>
              <w:rPr>
                <w:rFonts w:ascii="宋体"/>
              </w:rPr>
            </w:pPr>
          </w:p>
        </w:tc>
        <w:tc>
          <w:tcPr>
            <w:tcW w:w="0" w:type="auto"/>
            <w:shd w:val="clear" w:color="auto" w:fill="auto"/>
            <w:vAlign w:val="center"/>
          </w:tcPr>
          <w:p w14:paraId="64A89B77" w14:textId="77777777" w:rsidR="008D6614" w:rsidRDefault="008D6614">
            <w:pPr>
              <w:rPr>
                <w:rFonts w:ascii="宋体"/>
              </w:rPr>
            </w:pPr>
          </w:p>
        </w:tc>
        <w:tc>
          <w:tcPr>
            <w:tcW w:w="0" w:type="auto"/>
            <w:shd w:val="clear" w:color="auto" w:fill="auto"/>
            <w:vAlign w:val="center"/>
          </w:tcPr>
          <w:p w14:paraId="64A89B78" w14:textId="77777777" w:rsidR="008D6614" w:rsidRDefault="008D6614">
            <w:pPr>
              <w:rPr>
                <w:rFonts w:ascii="宋体"/>
              </w:rPr>
            </w:pPr>
          </w:p>
        </w:tc>
        <w:tc>
          <w:tcPr>
            <w:tcW w:w="0" w:type="auto"/>
            <w:shd w:val="clear" w:color="auto" w:fill="auto"/>
            <w:vAlign w:val="center"/>
          </w:tcPr>
          <w:p w14:paraId="64A89B79" w14:textId="77777777" w:rsidR="008D6614" w:rsidRDefault="008D6614">
            <w:pPr>
              <w:rPr>
                <w:rFonts w:ascii="宋体"/>
              </w:rPr>
            </w:pPr>
          </w:p>
        </w:tc>
        <w:tc>
          <w:tcPr>
            <w:tcW w:w="0" w:type="auto"/>
            <w:shd w:val="clear" w:color="auto" w:fill="auto"/>
            <w:vAlign w:val="center"/>
          </w:tcPr>
          <w:p w14:paraId="64A89B7A" w14:textId="77777777" w:rsidR="008D6614" w:rsidRDefault="008D6614">
            <w:pPr>
              <w:rPr>
                <w:rFonts w:ascii="宋体"/>
              </w:rPr>
            </w:pPr>
          </w:p>
        </w:tc>
        <w:tc>
          <w:tcPr>
            <w:tcW w:w="0" w:type="auto"/>
            <w:shd w:val="clear" w:color="auto" w:fill="auto"/>
            <w:vAlign w:val="center"/>
          </w:tcPr>
          <w:p w14:paraId="64A89B7B" w14:textId="77777777" w:rsidR="008D6614" w:rsidRDefault="008D6614">
            <w:pPr>
              <w:rPr>
                <w:rFonts w:ascii="宋体"/>
              </w:rPr>
            </w:pPr>
          </w:p>
        </w:tc>
        <w:tc>
          <w:tcPr>
            <w:tcW w:w="0" w:type="auto"/>
            <w:shd w:val="clear" w:color="auto" w:fill="auto"/>
            <w:vAlign w:val="center"/>
          </w:tcPr>
          <w:p w14:paraId="64A89B7C" w14:textId="77777777" w:rsidR="008D6614" w:rsidRDefault="008D6614">
            <w:pPr>
              <w:rPr>
                <w:rFonts w:ascii="宋体"/>
              </w:rPr>
            </w:pPr>
          </w:p>
        </w:tc>
        <w:tc>
          <w:tcPr>
            <w:tcW w:w="0" w:type="auto"/>
            <w:shd w:val="clear" w:color="auto" w:fill="auto"/>
            <w:vAlign w:val="center"/>
          </w:tcPr>
          <w:p w14:paraId="64A89B7D" w14:textId="77777777" w:rsidR="008D6614" w:rsidRDefault="008D6614">
            <w:pPr>
              <w:rPr>
                <w:rFonts w:ascii="宋体"/>
              </w:rPr>
            </w:pPr>
          </w:p>
        </w:tc>
        <w:tc>
          <w:tcPr>
            <w:tcW w:w="0" w:type="auto"/>
            <w:shd w:val="clear" w:color="auto" w:fill="auto"/>
            <w:vAlign w:val="center"/>
          </w:tcPr>
          <w:p w14:paraId="64A89B7E" w14:textId="77777777" w:rsidR="008D6614" w:rsidRDefault="008D6614">
            <w:pPr>
              <w:rPr>
                <w:rFonts w:ascii="宋体"/>
              </w:rPr>
            </w:pPr>
          </w:p>
        </w:tc>
        <w:tc>
          <w:tcPr>
            <w:tcW w:w="0" w:type="auto"/>
            <w:shd w:val="clear" w:color="auto" w:fill="auto"/>
            <w:vAlign w:val="center"/>
          </w:tcPr>
          <w:p w14:paraId="64A89B7F" w14:textId="77777777" w:rsidR="008D6614" w:rsidRDefault="008D6614">
            <w:pPr>
              <w:rPr>
                <w:rFonts w:ascii="宋体"/>
              </w:rPr>
            </w:pPr>
          </w:p>
        </w:tc>
        <w:tc>
          <w:tcPr>
            <w:tcW w:w="0" w:type="auto"/>
            <w:shd w:val="clear" w:color="auto" w:fill="auto"/>
            <w:vAlign w:val="center"/>
          </w:tcPr>
          <w:p w14:paraId="64A89B80" w14:textId="77777777" w:rsidR="008D6614" w:rsidRDefault="008D6614">
            <w:pPr>
              <w:rPr>
                <w:rFonts w:ascii="宋体"/>
              </w:rPr>
            </w:pPr>
          </w:p>
        </w:tc>
      </w:tr>
    </w:tbl>
    <w:p w14:paraId="64A89B82" w14:textId="77777777" w:rsidR="008D6614" w:rsidRDefault="008D6614"/>
    <w:p w14:paraId="64A89B83" w14:textId="77777777" w:rsidR="008D6614" w:rsidRDefault="00866AF2">
      <w:pPr>
        <w:ind w:firstLine="540"/>
        <w:jc w:val="both"/>
      </w:pPr>
      <w:r>
        <w:rPr>
          <w:rFonts w:ascii="Arial" w:eastAsia="宋体" w:hAnsi="Arial" w:cs="Arial"/>
          <w:color w:val="000000"/>
          <w:sz w:val="20"/>
          <w:szCs w:val="20"/>
        </w:rPr>
        <w:t xml:space="preserve">Investments </w:t>
      </w:r>
      <w:r>
        <w:rPr>
          <w:rFonts w:ascii="Arial" w:eastAsia="宋体" w:hAnsi="Arial" w:cs="Arial"/>
          <w:color w:val="000000"/>
          <w:sz w:val="20"/>
          <w:szCs w:val="20"/>
        </w:rPr>
        <w:t>classified as available-for-sale are carried at fair value with changes reflected in other comprehensive income. Where there is an intention or a requirement to sell an impaired available-for-sale debt security, the entire impairment is recognized in earni</w:t>
      </w:r>
      <w:r>
        <w:rPr>
          <w:rFonts w:ascii="Arial" w:eastAsia="宋体" w:hAnsi="Arial" w:cs="Arial"/>
          <w:color w:val="000000"/>
          <w:sz w:val="20"/>
          <w:szCs w:val="20"/>
        </w:rPr>
        <w:t>ngs with a corresponding adjustment to the amortized cost basis of the security. We presently do not intend to sell any of the securities in an unrealized loss position and expect to realize the full value of all these investments upon maturity or sale.</w:t>
      </w:r>
    </w:p>
    <w:p w14:paraId="64A89B84" w14:textId="77777777" w:rsidR="008D6614" w:rsidRDefault="008D6614">
      <w:pPr>
        <w:ind w:firstLine="540"/>
        <w:jc w:val="both"/>
      </w:pPr>
    </w:p>
    <w:p w14:paraId="64A89B85" w14:textId="77777777" w:rsidR="008D6614" w:rsidRDefault="00866AF2">
      <w:pPr>
        <w:ind w:firstLine="540"/>
        <w:jc w:val="both"/>
      </w:pPr>
      <w:r>
        <w:rPr>
          <w:rFonts w:ascii="Arial" w:eastAsia="宋体" w:hAnsi="Arial" w:cs="Arial"/>
          <w:color w:val="000000"/>
          <w:sz w:val="20"/>
          <w:szCs w:val="20"/>
        </w:rPr>
        <w:t>We regularly review investment securities for credit impairment using both qualitative and quantitative criteria. In making this assessment, we consider the extent to which fair value is less than amortized cost, any changes to the rating of the security b</w:t>
      </w:r>
      <w:r>
        <w:rPr>
          <w:rFonts w:ascii="Arial" w:eastAsia="宋体" w:hAnsi="Arial" w:cs="Arial"/>
          <w:color w:val="000000"/>
          <w:sz w:val="20"/>
          <w:szCs w:val="20"/>
        </w:rPr>
        <w:t>y a rating agency, any adverse conditions specifically related to the security, among other factors. If this assessment indicates that a credit loss exists, the present value of cash flows expected to be collected from the security are compared to the amor</w:t>
      </w:r>
      <w:r>
        <w:rPr>
          <w:rFonts w:ascii="Arial" w:eastAsia="宋体" w:hAnsi="Arial" w:cs="Arial"/>
          <w:color w:val="000000"/>
          <w:sz w:val="20"/>
          <w:szCs w:val="20"/>
        </w:rPr>
        <w:t>tized cost basis of the security. If the present value of cash flows expected to be collected is less than the amortized cost basis, a credit loss exists and an allowance for credit losses will be recorded through interest and other, net for the credit los</w:t>
      </w:r>
      <w:r>
        <w:rPr>
          <w:rFonts w:ascii="Arial" w:eastAsia="宋体" w:hAnsi="Arial" w:cs="Arial"/>
          <w:color w:val="000000"/>
          <w:sz w:val="20"/>
          <w:szCs w:val="20"/>
        </w:rPr>
        <w:t>s, limited by the amount that the fair value is less than the amortized cost basis. Any impairment that has not been recorded through an allowance for credit losses is recognized in other comprehensive income. We did not recognize any credit-related impair</w:t>
      </w:r>
      <w:r>
        <w:rPr>
          <w:rFonts w:ascii="Arial" w:eastAsia="宋体" w:hAnsi="Arial" w:cs="Arial"/>
          <w:color w:val="000000"/>
          <w:sz w:val="20"/>
          <w:szCs w:val="20"/>
        </w:rPr>
        <w:t>ment through an allowance for credit losses as of March 31, 2020.</w:t>
      </w:r>
      <w:r>
        <w:rPr>
          <w:rFonts w:ascii="Arial" w:eastAsia="宋体" w:hAnsi="Arial" w:cs="Arial"/>
          <w:color w:val="000000"/>
        </w:rPr>
        <w:t xml:space="preserve"> </w:t>
      </w:r>
    </w:p>
    <w:p w14:paraId="64A89B86" w14:textId="77777777" w:rsidR="008D6614" w:rsidRDefault="008D6614">
      <w:pPr>
        <w:jc w:val="center"/>
      </w:pPr>
    </w:p>
    <w:p w14:paraId="64A89B87" w14:textId="77777777" w:rsidR="008D6614" w:rsidRDefault="00866AF2">
      <w:pPr>
        <w:jc w:val="center"/>
      </w:pPr>
      <w:r>
        <w:rPr>
          <w:rFonts w:ascii="Arial" w:eastAsia="宋体" w:hAnsi="Arial" w:cs="Arial"/>
          <w:color w:val="000000"/>
          <w:sz w:val="20"/>
          <w:szCs w:val="20"/>
        </w:rPr>
        <w:t>16</w:t>
      </w:r>
    </w:p>
    <w:p w14:paraId="64A89B88" w14:textId="77777777" w:rsidR="008D6614" w:rsidRDefault="00866AF2">
      <w:r>
        <w:pict w14:anchorId="64A8B9ED">
          <v:rect id="_x0000_i1040" style="width:415.3pt;height:1.5pt" o:hralign="center" o:hrstd="t" o:hr="t" fillcolor="#a0a0a0" stroked="f"/>
        </w:pict>
      </w:r>
    </w:p>
    <w:p w14:paraId="64A89B89" w14:textId="77777777" w:rsidR="008D6614" w:rsidRDefault="008D6614">
      <w:pPr>
        <w:jc w:val="center"/>
      </w:pPr>
    </w:p>
    <w:p w14:paraId="64A89B8A" w14:textId="77777777" w:rsidR="008D6614" w:rsidRDefault="00866AF2">
      <w:pPr>
        <w:jc w:val="center"/>
      </w:pPr>
      <w:r>
        <w:rPr>
          <w:rFonts w:ascii="Arial" w:eastAsia="宋体" w:hAnsi="Arial" w:cs="Arial"/>
          <w:b/>
          <w:bCs/>
          <w:color w:val="000000"/>
          <w:sz w:val="20"/>
          <w:szCs w:val="20"/>
        </w:rPr>
        <w:t>eBay Inc.</w:t>
      </w:r>
    </w:p>
    <w:p w14:paraId="64A89B8B"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9B8C" w14:textId="77777777" w:rsidR="008D6614" w:rsidRDefault="008D6614">
      <w:pPr>
        <w:ind w:firstLine="540"/>
        <w:jc w:val="both"/>
      </w:pPr>
    </w:p>
    <w:p w14:paraId="64A89B8D" w14:textId="77777777" w:rsidR="008D6614" w:rsidRDefault="00866AF2">
      <w:pPr>
        <w:ind w:firstLine="540"/>
        <w:jc w:val="both"/>
      </w:pPr>
      <w:r>
        <w:rPr>
          <w:rFonts w:ascii="Arial" w:eastAsia="宋体" w:hAnsi="Arial" w:cs="Arial"/>
          <w:color w:val="000000"/>
          <w:sz w:val="20"/>
          <w:szCs w:val="20"/>
        </w:rPr>
        <w:t>Investment securities in a continuous loss position for less than 12 months had an estimated fair value of $2.7 billion and $28 million of unrealized losses as of March 31, 2020, and an estimated fair value of $774 million and an immaterial amount of unrea</w:t>
      </w:r>
      <w:r>
        <w:rPr>
          <w:rFonts w:ascii="Arial" w:eastAsia="宋体" w:hAnsi="Arial" w:cs="Arial"/>
          <w:color w:val="000000"/>
          <w:sz w:val="20"/>
          <w:szCs w:val="20"/>
        </w:rPr>
        <w:t>lized losses as of December 31, 2019. As of March 31, 2020 there were no investment securities in a continuous loss position for greater than 12 months. Investment securities in a continuous loss position for greater than 12 months had an estimated fair va</w:t>
      </w:r>
      <w:r>
        <w:rPr>
          <w:rFonts w:ascii="Arial" w:eastAsia="宋体" w:hAnsi="Arial" w:cs="Arial"/>
          <w:color w:val="000000"/>
          <w:sz w:val="20"/>
          <w:szCs w:val="20"/>
        </w:rPr>
        <w:t xml:space="preserve">lue of $92 million and an immaterial amount of unrealized losses as of December 31, 2019. Refer to “Note 16 – Accumulated Other Comprehensive Income” for amounts reclassified to earnings from unrealized gains and losses. </w:t>
      </w:r>
    </w:p>
    <w:p w14:paraId="64A89B8E" w14:textId="77777777" w:rsidR="008D6614" w:rsidRDefault="008D6614">
      <w:pPr>
        <w:ind w:firstLine="540"/>
      </w:pPr>
    </w:p>
    <w:p w14:paraId="64A89B8F" w14:textId="77777777" w:rsidR="008D6614" w:rsidRDefault="00866AF2">
      <w:pPr>
        <w:ind w:firstLine="540"/>
        <w:jc w:val="both"/>
      </w:pPr>
      <w:r>
        <w:rPr>
          <w:rFonts w:ascii="Arial" w:eastAsia="宋体" w:hAnsi="Arial" w:cs="Arial"/>
          <w:color w:val="000000"/>
          <w:sz w:val="20"/>
          <w:szCs w:val="20"/>
        </w:rPr>
        <w:t xml:space="preserve">The estimated fair values of our </w:t>
      </w:r>
      <w:r>
        <w:rPr>
          <w:rFonts w:ascii="Arial" w:eastAsia="宋体" w:hAnsi="Arial" w:cs="Arial"/>
          <w:color w:val="000000"/>
          <w:sz w:val="20"/>
          <w:szCs w:val="20"/>
        </w:rPr>
        <w:t>short-term and long-term investments classified as available-for-sale by date of contractual maturity as of March 31, 2020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938"/>
        <w:gridCol w:w="70"/>
        <w:gridCol w:w="136"/>
        <w:gridCol w:w="1037"/>
        <w:gridCol w:w="86"/>
      </w:tblGrid>
      <w:tr w:rsidR="008D6614" w14:paraId="64A89B96" w14:textId="77777777">
        <w:trPr>
          <w:jc w:val="center"/>
        </w:trPr>
        <w:tc>
          <w:tcPr>
            <w:tcW w:w="50" w:type="pct"/>
            <w:shd w:val="clear" w:color="auto" w:fill="auto"/>
            <w:vAlign w:val="center"/>
          </w:tcPr>
          <w:p w14:paraId="64A89B90" w14:textId="77777777" w:rsidR="008D6614" w:rsidRDefault="008D6614">
            <w:pPr>
              <w:rPr>
                <w:rFonts w:ascii="宋体"/>
              </w:rPr>
            </w:pPr>
          </w:p>
        </w:tc>
        <w:tc>
          <w:tcPr>
            <w:tcW w:w="4169" w:type="pct"/>
            <w:shd w:val="clear" w:color="auto" w:fill="auto"/>
            <w:vAlign w:val="center"/>
          </w:tcPr>
          <w:p w14:paraId="64A89B91" w14:textId="77777777" w:rsidR="008D6614" w:rsidRDefault="008D6614">
            <w:pPr>
              <w:rPr>
                <w:rFonts w:ascii="宋体"/>
              </w:rPr>
            </w:pPr>
          </w:p>
        </w:tc>
        <w:tc>
          <w:tcPr>
            <w:tcW w:w="50" w:type="pct"/>
            <w:shd w:val="clear" w:color="auto" w:fill="auto"/>
            <w:vAlign w:val="center"/>
          </w:tcPr>
          <w:p w14:paraId="64A89B92" w14:textId="77777777" w:rsidR="008D6614" w:rsidRDefault="008D6614">
            <w:pPr>
              <w:rPr>
                <w:rFonts w:ascii="宋体"/>
              </w:rPr>
            </w:pPr>
          </w:p>
        </w:tc>
        <w:tc>
          <w:tcPr>
            <w:tcW w:w="50" w:type="pct"/>
            <w:shd w:val="clear" w:color="auto" w:fill="auto"/>
            <w:vAlign w:val="center"/>
          </w:tcPr>
          <w:p w14:paraId="64A89B93" w14:textId="77777777" w:rsidR="008D6614" w:rsidRDefault="008D6614">
            <w:pPr>
              <w:rPr>
                <w:rFonts w:ascii="宋体"/>
              </w:rPr>
            </w:pPr>
          </w:p>
        </w:tc>
        <w:tc>
          <w:tcPr>
            <w:tcW w:w="630" w:type="pct"/>
            <w:shd w:val="clear" w:color="auto" w:fill="auto"/>
            <w:vAlign w:val="center"/>
          </w:tcPr>
          <w:p w14:paraId="64A89B94" w14:textId="77777777" w:rsidR="008D6614" w:rsidRDefault="008D6614">
            <w:pPr>
              <w:rPr>
                <w:rFonts w:ascii="宋体"/>
              </w:rPr>
            </w:pPr>
          </w:p>
        </w:tc>
        <w:tc>
          <w:tcPr>
            <w:tcW w:w="50" w:type="pct"/>
            <w:shd w:val="clear" w:color="auto" w:fill="auto"/>
            <w:vAlign w:val="center"/>
          </w:tcPr>
          <w:p w14:paraId="64A89B95" w14:textId="77777777" w:rsidR="008D6614" w:rsidRDefault="008D6614">
            <w:pPr>
              <w:rPr>
                <w:rFonts w:ascii="宋体"/>
              </w:rPr>
            </w:pPr>
          </w:p>
        </w:tc>
      </w:tr>
      <w:tr w:rsidR="008D6614" w14:paraId="64A89B99" w14:textId="77777777">
        <w:trPr>
          <w:jc w:val="center"/>
        </w:trPr>
        <w:tc>
          <w:tcPr>
            <w:tcW w:w="0" w:type="auto"/>
            <w:gridSpan w:val="3"/>
            <w:shd w:val="clear" w:color="auto" w:fill="auto"/>
            <w:tcMar>
              <w:top w:w="40" w:type="dxa"/>
              <w:left w:w="20" w:type="dxa"/>
              <w:bottom w:w="40" w:type="dxa"/>
              <w:right w:w="20" w:type="dxa"/>
            </w:tcMar>
            <w:vAlign w:val="bottom"/>
          </w:tcPr>
          <w:p w14:paraId="64A89B97"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9B98" w14:textId="77777777" w:rsidR="008D6614" w:rsidRDefault="00866AF2">
            <w:pPr>
              <w:jc w:val="center"/>
              <w:textAlignment w:val="bottom"/>
            </w:pPr>
            <w:r>
              <w:rPr>
                <w:rFonts w:ascii="Arial" w:eastAsia="宋体" w:hAnsi="Arial" w:cs="Arial"/>
                <w:b/>
                <w:bCs/>
                <w:color w:val="000000"/>
                <w:sz w:val="16"/>
                <w:szCs w:val="16"/>
              </w:rPr>
              <w:t>March 31, 2020</w:t>
            </w:r>
          </w:p>
        </w:tc>
      </w:tr>
      <w:tr w:rsidR="008D6614" w14:paraId="64A89B9E" w14:textId="77777777">
        <w:trPr>
          <w:jc w:val="center"/>
        </w:trPr>
        <w:tc>
          <w:tcPr>
            <w:tcW w:w="0" w:type="auto"/>
            <w:gridSpan w:val="3"/>
            <w:shd w:val="clear" w:color="auto" w:fill="E2E2E2"/>
            <w:tcMar>
              <w:top w:w="40" w:type="dxa"/>
              <w:left w:w="20" w:type="dxa"/>
              <w:bottom w:w="40" w:type="dxa"/>
              <w:right w:w="20" w:type="dxa"/>
            </w:tcMar>
            <w:vAlign w:val="bottom"/>
          </w:tcPr>
          <w:p w14:paraId="64A89B9A" w14:textId="77777777" w:rsidR="008D6614" w:rsidRDefault="00866AF2">
            <w:pPr>
              <w:textAlignment w:val="bottom"/>
            </w:pPr>
            <w:r>
              <w:rPr>
                <w:rFonts w:ascii="Arial" w:eastAsia="宋体" w:hAnsi="Arial" w:cs="Arial"/>
                <w:color w:val="000000"/>
                <w:sz w:val="18"/>
                <w:szCs w:val="18"/>
              </w:rPr>
              <w:t>One year or less (including restricted cash of $19)</w:t>
            </w:r>
          </w:p>
        </w:tc>
        <w:tc>
          <w:tcPr>
            <w:tcW w:w="0" w:type="auto"/>
            <w:tcBorders>
              <w:top w:val="single" w:sz="8" w:space="0" w:color="000000"/>
            </w:tcBorders>
            <w:shd w:val="clear" w:color="auto" w:fill="E2E2E2"/>
            <w:tcMar>
              <w:top w:w="40" w:type="dxa"/>
              <w:left w:w="20" w:type="dxa"/>
              <w:bottom w:w="40" w:type="dxa"/>
            </w:tcMar>
            <w:vAlign w:val="bottom"/>
          </w:tcPr>
          <w:p w14:paraId="64A89B9B"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B9C" w14:textId="77777777" w:rsidR="008D6614" w:rsidRDefault="00866AF2">
            <w:pPr>
              <w:jc w:val="right"/>
              <w:textAlignment w:val="bottom"/>
            </w:pPr>
            <w:r>
              <w:rPr>
                <w:rFonts w:ascii="Arial" w:eastAsia="宋体" w:hAnsi="Arial" w:cs="Arial"/>
                <w:color w:val="000000"/>
                <w:sz w:val="18"/>
                <w:szCs w:val="18"/>
              </w:rPr>
              <w:t>3,550 </w:t>
            </w:r>
          </w:p>
        </w:tc>
        <w:tc>
          <w:tcPr>
            <w:tcW w:w="0" w:type="auto"/>
            <w:tcBorders>
              <w:top w:val="single" w:sz="8" w:space="0" w:color="000000"/>
            </w:tcBorders>
            <w:shd w:val="clear" w:color="auto" w:fill="E2E2E2"/>
            <w:tcMar>
              <w:top w:w="40" w:type="dxa"/>
              <w:bottom w:w="40" w:type="dxa"/>
              <w:right w:w="20" w:type="dxa"/>
            </w:tcMar>
            <w:vAlign w:val="bottom"/>
          </w:tcPr>
          <w:p w14:paraId="64A89B9D" w14:textId="77777777" w:rsidR="008D6614" w:rsidRDefault="00866AF2">
            <w:pPr>
              <w:jc w:val="right"/>
              <w:textAlignment w:val="bottom"/>
            </w:pPr>
            <w:r>
              <w:rPr>
                <w:rFonts w:ascii="Arial" w:eastAsia="宋体" w:hAnsi="Arial" w:cs="Arial"/>
                <w:color w:val="000000"/>
                <w:sz w:val="18"/>
                <w:szCs w:val="18"/>
              </w:rPr>
              <w:t> </w:t>
            </w:r>
          </w:p>
        </w:tc>
      </w:tr>
      <w:tr w:rsidR="008D6614" w14:paraId="64A89BA2" w14:textId="77777777">
        <w:trPr>
          <w:jc w:val="center"/>
        </w:trPr>
        <w:tc>
          <w:tcPr>
            <w:tcW w:w="0" w:type="auto"/>
            <w:gridSpan w:val="3"/>
            <w:shd w:val="clear" w:color="auto" w:fill="FFFFFF"/>
            <w:tcMar>
              <w:top w:w="40" w:type="dxa"/>
              <w:left w:w="20" w:type="dxa"/>
              <w:bottom w:w="40" w:type="dxa"/>
              <w:right w:w="20" w:type="dxa"/>
            </w:tcMar>
            <w:vAlign w:val="bottom"/>
          </w:tcPr>
          <w:p w14:paraId="64A89B9F" w14:textId="77777777" w:rsidR="008D6614" w:rsidRDefault="00866AF2">
            <w:pPr>
              <w:textAlignment w:val="bottom"/>
            </w:pPr>
            <w:r>
              <w:rPr>
                <w:rFonts w:ascii="Arial" w:eastAsia="宋体" w:hAnsi="Arial" w:cs="Arial"/>
                <w:color w:val="000000"/>
                <w:sz w:val="18"/>
                <w:szCs w:val="18"/>
              </w:rPr>
              <w:t xml:space="preserve">One year </w:t>
            </w:r>
            <w:r>
              <w:rPr>
                <w:rFonts w:ascii="Arial" w:eastAsia="宋体" w:hAnsi="Arial" w:cs="Arial"/>
                <w:color w:val="000000"/>
                <w:sz w:val="18"/>
                <w:szCs w:val="18"/>
              </w:rPr>
              <w:t>through two years</w:t>
            </w:r>
          </w:p>
        </w:tc>
        <w:tc>
          <w:tcPr>
            <w:tcW w:w="0" w:type="auto"/>
            <w:gridSpan w:val="2"/>
            <w:shd w:val="clear" w:color="auto" w:fill="FFFFFF"/>
            <w:tcMar>
              <w:top w:w="40" w:type="dxa"/>
              <w:left w:w="20" w:type="dxa"/>
              <w:bottom w:w="40" w:type="dxa"/>
              <w:right w:w="0" w:type="dxa"/>
            </w:tcMar>
            <w:vAlign w:val="bottom"/>
          </w:tcPr>
          <w:p w14:paraId="64A89BA0" w14:textId="77777777" w:rsidR="008D6614" w:rsidRDefault="00866AF2">
            <w:pPr>
              <w:jc w:val="right"/>
              <w:textAlignment w:val="bottom"/>
            </w:pPr>
            <w:r>
              <w:rPr>
                <w:rFonts w:ascii="Arial" w:eastAsia="宋体" w:hAnsi="Arial" w:cs="Arial"/>
                <w:color w:val="000000"/>
                <w:sz w:val="18"/>
                <w:szCs w:val="18"/>
              </w:rPr>
              <w:t>501 </w:t>
            </w:r>
          </w:p>
        </w:tc>
        <w:tc>
          <w:tcPr>
            <w:tcW w:w="0" w:type="auto"/>
            <w:shd w:val="clear" w:color="auto" w:fill="FFFFFF"/>
            <w:tcMar>
              <w:top w:w="40" w:type="dxa"/>
              <w:bottom w:w="40" w:type="dxa"/>
              <w:right w:w="20" w:type="dxa"/>
            </w:tcMar>
            <w:vAlign w:val="bottom"/>
          </w:tcPr>
          <w:p w14:paraId="64A89BA1" w14:textId="77777777" w:rsidR="008D6614" w:rsidRDefault="00866AF2">
            <w:pPr>
              <w:jc w:val="right"/>
              <w:textAlignment w:val="bottom"/>
            </w:pPr>
            <w:r>
              <w:rPr>
                <w:rFonts w:ascii="Arial" w:eastAsia="宋体" w:hAnsi="Arial" w:cs="Arial"/>
                <w:color w:val="000000"/>
                <w:sz w:val="18"/>
                <w:szCs w:val="18"/>
              </w:rPr>
              <w:t> </w:t>
            </w:r>
          </w:p>
        </w:tc>
      </w:tr>
      <w:tr w:rsidR="008D6614" w14:paraId="64A89BA6" w14:textId="77777777">
        <w:trPr>
          <w:jc w:val="center"/>
        </w:trPr>
        <w:tc>
          <w:tcPr>
            <w:tcW w:w="0" w:type="auto"/>
            <w:gridSpan w:val="3"/>
            <w:shd w:val="clear" w:color="auto" w:fill="E2E2E2"/>
            <w:tcMar>
              <w:top w:w="40" w:type="dxa"/>
              <w:left w:w="20" w:type="dxa"/>
              <w:bottom w:w="40" w:type="dxa"/>
              <w:right w:w="20" w:type="dxa"/>
            </w:tcMar>
            <w:vAlign w:val="bottom"/>
          </w:tcPr>
          <w:p w14:paraId="64A89BA3" w14:textId="77777777" w:rsidR="008D6614" w:rsidRDefault="00866AF2">
            <w:pPr>
              <w:textAlignment w:val="bottom"/>
            </w:pPr>
            <w:r>
              <w:rPr>
                <w:rFonts w:ascii="Arial" w:eastAsia="宋体" w:hAnsi="Arial" w:cs="Arial"/>
                <w:color w:val="000000"/>
                <w:sz w:val="18"/>
                <w:szCs w:val="18"/>
              </w:rPr>
              <w:t>Two years through three years</w:t>
            </w:r>
          </w:p>
        </w:tc>
        <w:tc>
          <w:tcPr>
            <w:tcW w:w="0" w:type="auto"/>
            <w:gridSpan w:val="2"/>
            <w:shd w:val="clear" w:color="auto" w:fill="E2E2E2"/>
            <w:tcMar>
              <w:top w:w="40" w:type="dxa"/>
              <w:left w:w="20" w:type="dxa"/>
              <w:bottom w:w="40" w:type="dxa"/>
              <w:right w:w="0" w:type="dxa"/>
            </w:tcMar>
            <w:vAlign w:val="bottom"/>
          </w:tcPr>
          <w:p w14:paraId="64A89BA4" w14:textId="77777777" w:rsidR="008D6614" w:rsidRDefault="00866AF2">
            <w:pPr>
              <w:jc w:val="right"/>
              <w:textAlignment w:val="bottom"/>
            </w:pPr>
            <w:r>
              <w:rPr>
                <w:rFonts w:ascii="Arial" w:eastAsia="宋体" w:hAnsi="Arial" w:cs="Arial"/>
                <w:color w:val="000000"/>
                <w:sz w:val="18"/>
                <w:szCs w:val="18"/>
              </w:rPr>
              <w:t>243 </w:t>
            </w:r>
          </w:p>
        </w:tc>
        <w:tc>
          <w:tcPr>
            <w:tcW w:w="0" w:type="auto"/>
            <w:shd w:val="clear" w:color="auto" w:fill="E2E2E2"/>
            <w:tcMar>
              <w:top w:w="40" w:type="dxa"/>
              <w:bottom w:w="40" w:type="dxa"/>
              <w:right w:w="20" w:type="dxa"/>
            </w:tcMar>
            <w:vAlign w:val="bottom"/>
          </w:tcPr>
          <w:p w14:paraId="64A89BA5" w14:textId="77777777" w:rsidR="008D6614" w:rsidRDefault="00866AF2">
            <w:pPr>
              <w:jc w:val="right"/>
              <w:textAlignment w:val="bottom"/>
            </w:pPr>
            <w:r>
              <w:rPr>
                <w:rFonts w:ascii="Arial" w:eastAsia="宋体" w:hAnsi="Arial" w:cs="Arial"/>
                <w:color w:val="000000"/>
                <w:sz w:val="18"/>
                <w:szCs w:val="18"/>
              </w:rPr>
              <w:t> </w:t>
            </w:r>
          </w:p>
        </w:tc>
      </w:tr>
      <w:tr w:rsidR="008D6614" w14:paraId="64A89BA9" w14:textId="77777777">
        <w:trPr>
          <w:jc w:val="center"/>
          <w:hidden/>
        </w:trPr>
        <w:tc>
          <w:tcPr>
            <w:tcW w:w="0" w:type="auto"/>
            <w:gridSpan w:val="3"/>
            <w:shd w:val="clear" w:color="auto" w:fill="auto"/>
            <w:vAlign w:val="center"/>
          </w:tcPr>
          <w:p w14:paraId="64A89BA7" w14:textId="77777777" w:rsidR="008D6614" w:rsidRDefault="008D6614">
            <w:pPr>
              <w:rPr>
                <w:rFonts w:ascii="宋体"/>
                <w:vanish/>
              </w:rPr>
            </w:pPr>
          </w:p>
        </w:tc>
        <w:tc>
          <w:tcPr>
            <w:tcW w:w="0" w:type="auto"/>
            <w:gridSpan w:val="3"/>
            <w:shd w:val="clear" w:color="auto" w:fill="auto"/>
            <w:vAlign w:val="center"/>
          </w:tcPr>
          <w:p w14:paraId="64A89BA8" w14:textId="77777777" w:rsidR="008D6614" w:rsidRDefault="008D6614">
            <w:pPr>
              <w:rPr>
                <w:rFonts w:ascii="宋体"/>
                <w:vanish/>
              </w:rPr>
            </w:pPr>
          </w:p>
        </w:tc>
      </w:tr>
      <w:tr w:rsidR="008D6614" w14:paraId="64A89BAC" w14:textId="77777777">
        <w:trPr>
          <w:jc w:val="center"/>
          <w:hidden/>
        </w:trPr>
        <w:tc>
          <w:tcPr>
            <w:tcW w:w="0" w:type="auto"/>
            <w:gridSpan w:val="3"/>
            <w:shd w:val="clear" w:color="auto" w:fill="auto"/>
            <w:vAlign w:val="center"/>
          </w:tcPr>
          <w:p w14:paraId="64A89BAA" w14:textId="77777777" w:rsidR="008D6614" w:rsidRDefault="008D6614">
            <w:pPr>
              <w:rPr>
                <w:rFonts w:ascii="宋体"/>
                <w:vanish/>
              </w:rPr>
            </w:pPr>
          </w:p>
        </w:tc>
        <w:tc>
          <w:tcPr>
            <w:tcW w:w="0" w:type="auto"/>
            <w:gridSpan w:val="3"/>
            <w:shd w:val="clear" w:color="auto" w:fill="auto"/>
            <w:vAlign w:val="center"/>
          </w:tcPr>
          <w:p w14:paraId="64A89BAB" w14:textId="77777777" w:rsidR="008D6614" w:rsidRDefault="008D6614">
            <w:pPr>
              <w:rPr>
                <w:rFonts w:ascii="宋体"/>
                <w:vanish/>
              </w:rPr>
            </w:pPr>
          </w:p>
        </w:tc>
      </w:tr>
      <w:tr w:rsidR="008D6614" w14:paraId="64A89BAF" w14:textId="77777777">
        <w:trPr>
          <w:jc w:val="center"/>
          <w:hidden/>
        </w:trPr>
        <w:tc>
          <w:tcPr>
            <w:tcW w:w="0" w:type="auto"/>
            <w:gridSpan w:val="3"/>
            <w:shd w:val="clear" w:color="auto" w:fill="auto"/>
            <w:vAlign w:val="center"/>
          </w:tcPr>
          <w:p w14:paraId="64A89BAD" w14:textId="77777777" w:rsidR="008D6614" w:rsidRDefault="008D6614">
            <w:pPr>
              <w:rPr>
                <w:rFonts w:ascii="宋体"/>
                <w:vanish/>
              </w:rPr>
            </w:pPr>
          </w:p>
        </w:tc>
        <w:tc>
          <w:tcPr>
            <w:tcW w:w="0" w:type="auto"/>
            <w:gridSpan w:val="3"/>
            <w:shd w:val="clear" w:color="auto" w:fill="auto"/>
            <w:vAlign w:val="center"/>
          </w:tcPr>
          <w:p w14:paraId="64A89BAE" w14:textId="77777777" w:rsidR="008D6614" w:rsidRDefault="008D6614">
            <w:pPr>
              <w:rPr>
                <w:rFonts w:ascii="宋体"/>
                <w:vanish/>
              </w:rPr>
            </w:pPr>
          </w:p>
        </w:tc>
      </w:tr>
      <w:tr w:rsidR="008D6614" w14:paraId="64A89BB2" w14:textId="77777777">
        <w:trPr>
          <w:jc w:val="center"/>
          <w:hidden/>
        </w:trPr>
        <w:tc>
          <w:tcPr>
            <w:tcW w:w="0" w:type="auto"/>
            <w:gridSpan w:val="3"/>
            <w:shd w:val="clear" w:color="auto" w:fill="auto"/>
            <w:vAlign w:val="center"/>
          </w:tcPr>
          <w:p w14:paraId="64A89BB0" w14:textId="77777777" w:rsidR="008D6614" w:rsidRDefault="008D6614">
            <w:pPr>
              <w:rPr>
                <w:rFonts w:ascii="宋体"/>
                <w:vanish/>
              </w:rPr>
            </w:pPr>
          </w:p>
        </w:tc>
        <w:tc>
          <w:tcPr>
            <w:tcW w:w="0" w:type="auto"/>
            <w:gridSpan w:val="3"/>
            <w:shd w:val="clear" w:color="auto" w:fill="auto"/>
            <w:vAlign w:val="center"/>
          </w:tcPr>
          <w:p w14:paraId="64A89BB1" w14:textId="77777777" w:rsidR="008D6614" w:rsidRDefault="008D6614">
            <w:pPr>
              <w:rPr>
                <w:rFonts w:ascii="宋体"/>
                <w:vanish/>
              </w:rPr>
            </w:pPr>
          </w:p>
        </w:tc>
      </w:tr>
      <w:tr w:rsidR="008D6614" w14:paraId="64A89BB5" w14:textId="77777777">
        <w:trPr>
          <w:jc w:val="center"/>
          <w:hidden/>
        </w:trPr>
        <w:tc>
          <w:tcPr>
            <w:tcW w:w="0" w:type="auto"/>
            <w:gridSpan w:val="3"/>
            <w:shd w:val="clear" w:color="auto" w:fill="auto"/>
            <w:vAlign w:val="center"/>
          </w:tcPr>
          <w:p w14:paraId="64A89BB3" w14:textId="77777777" w:rsidR="008D6614" w:rsidRDefault="008D6614">
            <w:pPr>
              <w:rPr>
                <w:rFonts w:ascii="宋体"/>
                <w:vanish/>
              </w:rPr>
            </w:pPr>
          </w:p>
        </w:tc>
        <w:tc>
          <w:tcPr>
            <w:tcW w:w="0" w:type="auto"/>
            <w:gridSpan w:val="3"/>
            <w:shd w:val="clear" w:color="auto" w:fill="auto"/>
            <w:vAlign w:val="center"/>
          </w:tcPr>
          <w:p w14:paraId="64A89BB4" w14:textId="77777777" w:rsidR="008D6614" w:rsidRDefault="008D6614">
            <w:pPr>
              <w:rPr>
                <w:rFonts w:ascii="宋体"/>
                <w:vanish/>
              </w:rPr>
            </w:pPr>
          </w:p>
        </w:tc>
      </w:tr>
      <w:tr w:rsidR="008D6614" w14:paraId="64A89BB8" w14:textId="77777777">
        <w:trPr>
          <w:jc w:val="center"/>
          <w:hidden/>
        </w:trPr>
        <w:tc>
          <w:tcPr>
            <w:tcW w:w="0" w:type="auto"/>
            <w:gridSpan w:val="3"/>
            <w:shd w:val="clear" w:color="auto" w:fill="auto"/>
            <w:vAlign w:val="center"/>
          </w:tcPr>
          <w:p w14:paraId="64A89BB6" w14:textId="77777777" w:rsidR="008D6614" w:rsidRDefault="008D6614">
            <w:pPr>
              <w:rPr>
                <w:rFonts w:ascii="宋体"/>
                <w:vanish/>
              </w:rPr>
            </w:pPr>
          </w:p>
        </w:tc>
        <w:tc>
          <w:tcPr>
            <w:tcW w:w="0" w:type="auto"/>
            <w:gridSpan w:val="3"/>
            <w:shd w:val="clear" w:color="auto" w:fill="auto"/>
            <w:vAlign w:val="center"/>
          </w:tcPr>
          <w:p w14:paraId="64A89BB7" w14:textId="77777777" w:rsidR="008D6614" w:rsidRDefault="008D6614">
            <w:pPr>
              <w:rPr>
                <w:rFonts w:ascii="宋体"/>
                <w:vanish/>
              </w:rPr>
            </w:pPr>
          </w:p>
        </w:tc>
      </w:tr>
      <w:tr w:rsidR="008D6614" w14:paraId="64A89BBB" w14:textId="77777777">
        <w:trPr>
          <w:jc w:val="center"/>
          <w:hidden/>
        </w:trPr>
        <w:tc>
          <w:tcPr>
            <w:tcW w:w="0" w:type="auto"/>
            <w:gridSpan w:val="3"/>
            <w:shd w:val="clear" w:color="auto" w:fill="auto"/>
            <w:vAlign w:val="center"/>
          </w:tcPr>
          <w:p w14:paraId="64A89BB9" w14:textId="77777777" w:rsidR="008D6614" w:rsidRDefault="008D6614">
            <w:pPr>
              <w:rPr>
                <w:rFonts w:ascii="宋体"/>
                <w:vanish/>
              </w:rPr>
            </w:pPr>
          </w:p>
        </w:tc>
        <w:tc>
          <w:tcPr>
            <w:tcW w:w="0" w:type="auto"/>
            <w:gridSpan w:val="3"/>
            <w:shd w:val="clear" w:color="auto" w:fill="auto"/>
            <w:vAlign w:val="center"/>
          </w:tcPr>
          <w:p w14:paraId="64A89BBA" w14:textId="77777777" w:rsidR="008D6614" w:rsidRDefault="008D6614">
            <w:pPr>
              <w:rPr>
                <w:rFonts w:ascii="宋体"/>
                <w:vanish/>
              </w:rPr>
            </w:pPr>
          </w:p>
        </w:tc>
      </w:tr>
      <w:tr w:rsidR="008D6614" w14:paraId="64A89BBE" w14:textId="77777777">
        <w:trPr>
          <w:jc w:val="center"/>
          <w:hidden/>
        </w:trPr>
        <w:tc>
          <w:tcPr>
            <w:tcW w:w="0" w:type="auto"/>
            <w:gridSpan w:val="3"/>
            <w:shd w:val="clear" w:color="auto" w:fill="auto"/>
            <w:vAlign w:val="center"/>
          </w:tcPr>
          <w:p w14:paraId="64A89BBC" w14:textId="77777777" w:rsidR="008D6614" w:rsidRDefault="008D6614">
            <w:pPr>
              <w:rPr>
                <w:rFonts w:ascii="宋体"/>
                <w:vanish/>
              </w:rPr>
            </w:pPr>
          </w:p>
        </w:tc>
        <w:tc>
          <w:tcPr>
            <w:tcW w:w="0" w:type="auto"/>
            <w:gridSpan w:val="3"/>
            <w:shd w:val="clear" w:color="auto" w:fill="auto"/>
            <w:vAlign w:val="center"/>
          </w:tcPr>
          <w:p w14:paraId="64A89BBD" w14:textId="77777777" w:rsidR="008D6614" w:rsidRDefault="008D6614">
            <w:pPr>
              <w:rPr>
                <w:rFonts w:ascii="宋体"/>
                <w:vanish/>
              </w:rPr>
            </w:pPr>
          </w:p>
        </w:tc>
      </w:tr>
      <w:tr w:rsidR="008D6614" w14:paraId="64A89BC1" w14:textId="77777777">
        <w:trPr>
          <w:jc w:val="center"/>
          <w:hidden/>
        </w:trPr>
        <w:tc>
          <w:tcPr>
            <w:tcW w:w="0" w:type="auto"/>
            <w:gridSpan w:val="3"/>
            <w:shd w:val="clear" w:color="auto" w:fill="auto"/>
            <w:vAlign w:val="center"/>
          </w:tcPr>
          <w:p w14:paraId="64A89BBF" w14:textId="77777777" w:rsidR="008D6614" w:rsidRDefault="008D6614">
            <w:pPr>
              <w:rPr>
                <w:rFonts w:ascii="宋体"/>
                <w:vanish/>
              </w:rPr>
            </w:pPr>
          </w:p>
        </w:tc>
        <w:tc>
          <w:tcPr>
            <w:tcW w:w="0" w:type="auto"/>
            <w:gridSpan w:val="3"/>
            <w:shd w:val="clear" w:color="auto" w:fill="auto"/>
            <w:vAlign w:val="center"/>
          </w:tcPr>
          <w:p w14:paraId="64A89BC0" w14:textId="77777777" w:rsidR="008D6614" w:rsidRDefault="008D6614">
            <w:pPr>
              <w:rPr>
                <w:rFonts w:ascii="宋体"/>
                <w:vanish/>
              </w:rPr>
            </w:pPr>
          </w:p>
        </w:tc>
      </w:tr>
      <w:tr w:rsidR="008D6614" w14:paraId="64A89BC6" w14:textId="77777777">
        <w:trPr>
          <w:jc w:val="center"/>
        </w:trPr>
        <w:tc>
          <w:tcPr>
            <w:tcW w:w="0" w:type="auto"/>
            <w:gridSpan w:val="3"/>
            <w:shd w:val="clear" w:color="auto" w:fill="FFFFFF"/>
            <w:tcMar>
              <w:left w:w="20" w:type="dxa"/>
              <w:right w:w="20" w:type="dxa"/>
            </w:tcMar>
            <w:vAlign w:val="bottom"/>
          </w:tcPr>
          <w:p w14:paraId="64A89BC2"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9BC3"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9BC4" w14:textId="77777777" w:rsidR="008D6614" w:rsidRDefault="00866AF2">
            <w:pPr>
              <w:jc w:val="right"/>
              <w:textAlignment w:val="bottom"/>
            </w:pPr>
            <w:r>
              <w:rPr>
                <w:rFonts w:ascii="Arial" w:eastAsia="宋体" w:hAnsi="Arial" w:cs="Arial"/>
                <w:color w:val="000000"/>
                <w:sz w:val="18"/>
                <w:szCs w:val="18"/>
              </w:rPr>
              <w:t>4,294 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9BC5" w14:textId="77777777" w:rsidR="008D6614" w:rsidRDefault="00866AF2">
            <w:pPr>
              <w:jc w:val="right"/>
              <w:textAlignment w:val="bottom"/>
            </w:pPr>
            <w:r>
              <w:rPr>
                <w:rFonts w:ascii="Arial" w:eastAsia="宋体" w:hAnsi="Arial" w:cs="Arial"/>
                <w:color w:val="000000"/>
                <w:sz w:val="18"/>
                <w:szCs w:val="18"/>
              </w:rPr>
              <w:t> </w:t>
            </w:r>
          </w:p>
        </w:tc>
      </w:tr>
    </w:tbl>
    <w:p w14:paraId="64A89BC7" w14:textId="77777777" w:rsidR="008D6614" w:rsidRDefault="00866AF2">
      <w:pPr>
        <w:spacing w:before="200"/>
      </w:pPr>
      <w:r>
        <w:rPr>
          <w:rFonts w:ascii="Arial" w:eastAsia="宋体" w:hAnsi="Arial" w:cs="Arial"/>
          <w:b/>
          <w:bCs/>
          <w:i/>
          <w:iCs/>
          <w:color w:val="000000"/>
          <w:sz w:val="20"/>
          <w:szCs w:val="20"/>
        </w:rPr>
        <w:t xml:space="preserve">Equity Investments </w:t>
      </w:r>
    </w:p>
    <w:p w14:paraId="64A89BC8" w14:textId="77777777" w:rsidR="008D6614" w:rsidRDefault="008D6614">
      <w:pPr>
        <w:ind w:firstLine="495"/>
      </w:pPr>
    </w:p>
    <w:p w14:paraId="64A89BC9" w14:textId="77777777" w:rsidR="008D6614" w:rsidRDefault="00866AF2">
      <w:pPr>
        <w:ind w:firstLine="495"/>
        <w:jc w:val="both"/>
      </w:pPr>
      <w:r>
        <w:rPr>
          <w:rFonts w:ascii="Arial" w:eastAsia="宋体" w:hAnsi="Arial" w:cs="Arial"/>
          <w:color w:val="000000"/>
          <w:sz w:val="20"/>
          <w:szCs w:val="20"/>
        </w:rPr>
        <w:t xml:space="preserve">Our equity investments are reported in long-term investments on our condensed consolidated balance sheet. The following table </w:t>
      </w:r>
      <w:r>
        <w:rPr>
          <w:rFonts w:ascii="Arial" w:eastAsia="宋体" w:hAnsi="Arial" w:cs="Arial"/>
          <w:color w:val="000000"/>
          <w:sz w:val="20"/>
          <w:szCs w:val="20"/>
        </w:rPr>
        <w:t>provides a summary of our equity investments (in millions):</w:t>
      </w:r>
    </w:p>
    <w:tbl>
      <w:tblPr>
        <w:tblW w:w="4993" w:type="pct"/>
        <w:tblCellMar>
          <w:top w:w="15" w:type="dxa"/>
          <w:left w:w="15" w:type="dxa"/>
          <w:bottom w:w="15" w:type="dxa"/>
          <w:right w:w="15" w:type="dxa"/>
        </w:tblCellMar>
        <w:tblLook w:val="04A0" w:firstRow="1" w:lastRow="0" w:firstColumn="1" w:lastColumn="0" w:noHBand="0" w:noVBand="1"/>
      </w:tblPr>
      <w:tblGrid>
        <w:gridCol w:w="55"/>
        <w:gridCol w:w="5218"/>
        <w:gridCol w:w="55"/>
        <w:gridCol w:w="136"/>
        <w:gridCol w:w="1231"/>
        <w:gridCol w:w="86"/>
        <w:gridCol w:w="36"/>
        <w:gridCol w:w="36"/>
        <w:gridCol w:w="36"/>
        <w:gridCol w:w="137"/>
        <w:gridCol w:w="1212"/>
        <w:gridCol w:w="86"/>
      </w:tblGrid>
      <w:tr w:rsidR="008D6614" w14:paraId="64A89BD6" w14:textId="77777777">
        <w:tc>
          <w:tcPr>
            <w:tcW w:w="50" w:type="pct"/>
            <w:shd w:val="clear" w:color="auto" w:fill="auto"/>
            <w:vAlign w:val="center"/>
          </w:tcPr>
          <w:p w14:paraId="64A89BCA" w14:textId="77777777" w:rsidR="008D6614" w:rsidRDefault="008D6614">
            <w:pPr>
              <w:rPr>
                <w:rFonts w:ascii="宋体"/>
              </w:rPr>
            </w:pPr>
          </w:p>
        </w:tc>
        <w:tc>
          <w:tcPr>
            <w:tcW w:w="3150" w:type="pct"/>
            <w:shd w:val="clear" w:color="auto" w:fill="auto"/>
            <w:vAlign w:val="center"/>
          </w:tcPr>
          <w:p w14:paraId="64A89BCB" w14:textId="77777777" w:rsidR="008D6614" w:rsidRDefault="008D6614">
            <w:pPr>
              <w:rPr>
                <w:rFonts w:ascii="宋体"/>
              </w:rPr>
            </w:pPr>
          </w:p>
        </w:tc>
        <w:tc>
          <w:tcPr>
            <w:tcW w:w="50" w:type="pct"/>
            <w:shd w:val="clear" w:color="auto" w:fill="auto"/>
            <w:vAlign w:val="center"/>
          </w:tcPr>
          <w:p w14:paraId="64A89BCC" w14:textId="77777777" w:rsidR="008D6614" w:rsidRDefault="008D6614">
            <w:pPr>
              <w:rPr>
                <w:rFonts w:ascii="宋体"/>
              </w:rPr>
            </w:pPr>
          </w:p>
        </w:tc>
        <w:tc>
          <w:tcPr>
            <w:tcW w:w="50" w:type="pct"/>
            <w:shd w:val="clear" w:color="auto" w:fill="auto"/>
            <w:vAlign w:val="center"/>
          </w:tcPr>
          <w:p w14:paraId="64A89BCD" w14:textId="77777777" w:rsidR="008D6614" w:rsidRDefault="008D6614">
            <w:pPr>
              <w:rPr>
                <w:rFonts w:ascii="宋体"/>
              </w:rPr>
            </w:pPr>
          </w:p>
        </w:tc>
        <w:tc>
          <w:tcPr>
            <w:tcW w:w="756" w:type="pct"/>
            <w:shd w:val="clear" w:color="auto" w:fill="auto"/>
            <w:vAlign w:val="center"/>
          </w:tcPr>
          <w:p w14:paraId="64A89BCE" w14:textId="77777777" w:rsidR="008D6614" w:rsidRDefault="008D6614">
            <w:pPr>
              <w:rPr>
                <w:rFonts w:ascii="宋体"/>
              </w:rPr>
            </w:pPr>
          </w:p>
        </w:tc>
        <w:tc>
          <w:tcPr>
            <w:tcW w:w="50" w:type="pct"/>
            <w:shd w:val="clear" w:color="auto" w:fill="auto"/>
            <w:vAlign w:val="center"/>
          </w:tcPr>
          <w:p w14:paraId="64A89BCF" w14:textId="77777777" w:rsidR="008D6614" w:rsidRDefault="008D6614">
            <w:pPr>
              <w:rPr>
                <w:rFonts w:ascii="宋体"/>
              </w:rPr>
            </w:pPr>
          </w:p>
        </w:tc>
        <w:tc>
          <w:tcPr>
            <w:tcW w:w="5" w:type="pct"/>
            <w:shd w:val="clear" w:color="auto" w:fill="auto"/>
            <w:vAlign w:val="center"/>
          </w:tcPr>
          <w:p w14:paraId="64A89BD0" w14:textId="77777777" w:rsidR="008D6614" w:rsidRDefault="008D6614">
            <w:pPr>
              <w:rPr>
                <w:rFonts w:ascii="宋体"/>
              </w:rPr>
            </w:pPr>
          </w:p>
        </w:tc>
        <w:tc>
          <w:tcPr>
            <w:tcW w:w="26" w:type="pct"/>
            <w:shd w:val="clear" w:color="auto" w:fill="auto"/>
            <w:vAlign w:val="center"/>
          </w:tcPr>
          <w:p w14:paraId="64A89BD1" w14:textId="77777777" w:rsidR="008D6614" w:rsidRDefault="008D6614">
            <w:pPr>
              <w:rPr>
                <w:rFonts w:ascii="宋体"/>
              </w:rPr>
            </w:pPr>
          </w:p>
        </w:tc>
        <w:tc>
          <w:tcPr>
            <w:tcW w:w="5" w:type="pct"/>
            <w:shd w:val="clear" w:color="auto" w:fill="auto"/>
            <w:vAlign w:val="center"/>
          </w:tcPr>
          <w:p w14:paraId="64A89BD2" w14:textId="77777777" w:rsidR="008D6614" w:rsidRDefault="008D6614">
            <w:pPr>
              <w:rPr>
                <w:rFonts w:ascii="宋体"/>
              </w:rPr>
            </w:pPr>
          </w:p>
        </w:tc>
        <w:tc>
          <w:tcPr>
            <w:tcW w:w="50" w:type="pct"/>
            <w:shd w:val="clear" w:color="auto" w:fill="auto"/>
            <w:vAlign w:val="center"/>
          </w:tcPr>
          <w:p w14:paraId="64A89BD3" w14:textId="77777777" w:rsidR="008D6614" w:rsidRDefault="008D6614">
            <w:pPr>
              <w:rPr>
                <w:rFonts w:ascii="宋体"/>
              </w:rPr>
            </w:pPr>
          </w:p>
        </w:tc>
        <w:tc>
          <w:tcPr>
            <w:tcW w:w="756" w:type="pct"/>
            <w:shd w:val="clear" w:color="auto" w:fill="auto"/>
            <w:vAlign w:val="center"/>
          </w:tcPr>
          <w:p w14:paraId="64A89BD4" w14:textId="77777777" w:rsidR="008D6614" w:rsidRDefault="008D6614">
            <w:pPr>
              <w:rPr>
                <w:rFonts w:ascii="宋体"/>
              </w:rPr>
            </w:pPr>
          </w:p>
        </w:tc>
        <w:tc>
          <w:tcPr>
            <w:tcW w:w="50" w:type="pct"/>
            <w:shd w:val="clear" w:color="auto" w:fill="auto"/>
            <w:vAlign w:val="center"/>
          </w:tcPr>
          <w:p w14:paraId="64A89BD5" w14:textId="77777777" w:rsidR="008D6614" w:rsidRDefault="008D6614">
            <w:pPr>
              <w:rPr>
                <w:rFonts w:ascii="宋体"/>
              </w:rPr>
            </w:pPr>
          </w:p>
        </w:tc>
      </w:tr>
      <w:tr w:rsidR="008D6614" w14:paraId="64A89BDB" w14:textId="77777777">
        <w:tc>
          <w:tcPr>
            <w:tcW w:w="0" w:type="auto"/>
            <w:gridSpan w:val="3"/>
            <w:shd w:val="clear" w:color="auto" w:fill="auto"/>
            <w:tcMar>
              <w:top w:w="40" w:type="dxa"/>
              <w:left w:w="20" w:type="dxa"/>
              <w:bottom w:w="40" w:type="dxa"/>
              <w:right w:w="20" w:type="dxa"/>
            </w:tcMar>
            <w:vAlign w:val="bottom"/>
          </w:tcPr>
          <w:p w14:paraId="64A89BD7"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9BD8" w14:textId="77777777" w:rsidR="008D6614" w:rsidRDefault="00866AF2">
            <w:pPr>
              <w:jc w:val="center"/>
              <w:textAlignment w:val="bottom"/>
            </w:pPr>
            <w:r>
              <w:rPr>
                <w:rFonts w:ascii="Arial" w:eastAsia="宋体" w:hAnsi="Arial" w:cs="Arial"/>
                <w:b/>
                <w:bCs/>
                <w:color w:val="000000"/>
                <w:sz w:val="16"/>
                <w:szCs w:val="16"/>
              </w:rPr>
              <w:t>March 31, 2020</w:t>
            </w:r>
          </w:p>
        </w:tc>
        <w:tc>
          <w:tcPr>
            <w:tcW w:w="0" w:type="auto"/>
            <w:gridSpan w:val="3"/>
            <w:shd w:val="clear" w:color="auto" w:fill="auto"/>
            <w:tcMar>
              <w:left w:w="20" w:type="dxa"/>
              <w:right w:w="20" w:type="dxa"/>
            </w:tcMar>
            <w:vAlign w:val="bottom"/>
          </w:tcPr>
          <w:p w14:paraId="64A89BD9"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BDA" w14:textId="77777777" w:rsidR="008D6614" w:rsidRDefault="00866AF2">
            <w:pPr>
              <w:jc w:val="center"/>
              <w:textAlignment w:val="bottom"/>
            </w:pPr>
            <w:r>
              <w:rPr>
                <w:rFonts w:ascii="Arial" w:eastAsia="宋体" w:hAnsi="Arial" w:cs="Arial"/>
                <w:b/>
                <w:bCs/>
                <w:color w:val="000000"/>
                <w:sz w:val="16"/>
                <w:szCs w:val="16"/>
              </w:rPr>
              <w:t>December 31, 2019</w:t>
            </w:r>
          </w:p>
        </w:tc>
      </w:tr>
      <w:tr w:rsidR="008D6614" w14:paraId="64A89BE4" w14:textId="77777777">
        <w:tc>
          <w:tcPr>
            <w:tcW w:w="0" w:type="auto"/>
            <w:gridSpan w:val="3"/>
            <w:shd w:val="clear" w:color="auto" w:fill="E2E2E2"/>
            <w:tcMar>
              <w:top w:w="40" w:type="dxa"/>
              <w:left w:w="20" w:type="dxa"/>
              <w:bottom w:w="40" w:type="dxa"/>
              <w:right w:w="20" w:type="dxa"/>
            </w:tcMar>
            <w:vAlign w:val="bottom"/>
          </w:tcPr>
          <w:p w14:paraId="64A89BDC" w14:textId="77777777" w:rsidR="008D6614" w:rsidRDefault="00866AF2">
            <w:pPr>
              <w:textAlignment w:val="bottom"/>
            </w:pPr>
            <w:r>
              <w:rPr>
                <w:rFonts w:ascii="Arial" w:eastAsia="宋体" w:hAnsi="Arial" w:cs="Arial"/>
                <w:color w:val="000000"/>
                <w:sz w:val="18"/>
                <w:szCs w:val="18"/>
              </w:rPr>
              <w:t>Equity investments without readily determinable fair values</w:t>
            </w:r>
          </w:p>
        </w:tc>
        <w:tc>
          <w:tcPr>
            <w:tcW w:w="0" w:type="auto"/>
            <w:tcBorders>
              <w:top w:val="single" w:sz="8" w:space="0" w:color="000000"/>
            </w:tcBorders>
            <w:shd w:val="clear" w:color="auto" w:fill="E2E2E2"/>
            <w:tcMar>
              <w:top w:w="40" w:type="dxa"/>
              <w:left w:w="20" w:type="dxa"/>
              <w:bottom w:w="40" w:type="dxa"/>
            </w:tcMar>
            <w:vAlign w:val="bottom"/>
          </w:tcPr>
          <w:p w14:paraId="64A89BDD"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BDE" w14:textId="77777777" w:rsidR="008D6614" w:rsidRDefault="00866AF2">
            <w:pPr>
              <w:jc w:val="right"/>
              <w:textAlignment w:val="bottom"/>
            </w:pPr>
            <w:r>
              <w:rPr>
                <w:rFonts w:ascii="Arial" w:eastAsia="宋体" w:hAnsi="Arial" w:cs="Arial"/>
                <w:color w:val="000000"/>
                <w:sz w:val="18"/>
                <w:szCs w:val="18"/>
              </w:rPr>
              <w:t>326 </w:t>
            </w:r>
          </w:p>
        </w:tc>
        <w:tc>
          <w:tcPr>
            <w:tcW w:w="0" w:type="auto"/>
            <w:tcBorders>
              <w:top w:val="single" w:sz="8" w:space="0" w:color="000000"/>
            </w:tcBorders>
            <w:shd w:val="clear" w:color="auto" w:fill="E2E2E2"/>
            <w:tcMar>
              <w:top w:w="40" w:type="dxa"/>
              <w:bottom w:w="40" w:type="dxa"/>
              <w:right w:w="20" w:type="dxa"/>
            </w:tcMar>
            <w:vAlign w:val="bottom"/>
          </w:tcPr>
          <w:p w14:paraId="64A89BD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BE0"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BE1"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BE2" w14:textId="77777777" w:rsidR="008D6614" w:rsidRDefault="00866AF2">
            <w:pPr>
              <w:jc w:val="right"/>
              <w:textAlignment w:val="bottom"/>
            </w:pPr>
            <w:r>
              <w:rPr>
                <w:rFonts w:ascii="Arial" w:eastAsia="宋体" w:hAnsi="Arial" w:cs="Arial"/>
                <w:color w:val="000000"/>
                <w:sz w:val="18"/>
                <w:szCs w:val="18"/>
              </w:rPr>
              <w:t>337 </w:t>
            </w:r>
          </w:p>
        </w:tc>
        <w:tc>
          <w:tcPr>
            <w:tcW w:w="0" w:type="auto"/>
            <w:tcBorders>
              <w:top w:val="single" w:sz="8" w:space="0" w:color="000000"/>
            </w:tcBorders>
            <w:shd w:val="clear" w:color="auto" w:fill="E2E2E2"/>
            <w:tcMar>
              <w:top w:w="40" w:type="dxa"/>
              <w:bottom w:w="40" w:type="dxa"/>
              <w:right w:w="20" w:type="dxa"/>
            </w:tcMar>
            <w:vAlign w:val="bottom"/>
          </w:tcPr>
          <w:p w14:paraId="64A89BE3" w14:textId="77777777" w:rsidR="008D6614" w:rsidRDefault="00866AF2">
            <w:pPr>
              <w:jc w:val="right"/>
              <w:textAlignment w:val="bottom"/>
            </w:pPr>
            <w:r>
              <w:rPr>
                <w:rFonts w:ascii="Arial" w:eastAsia="宋体" w:hAnsi="Arial" w:cs="Arial"/>
                <w:color w:val="000000"/>
                <w:sz w:val="18"/>
                <w:szCs w:val="18"/>
              </w:rPr>
              <w:t> </w:t>
            </w:r>
          </w:p>
        </w:tc>
      </w:tr>
      <w:tr w:rsidR="008D6614" w14:paraId="64A89BEB" w14:textId="77777777">
        <w:tc>
          <w:tcPr>
            <w:tcW w:w="0" w:type="auto"/>
            <w:gridSpan w:val="3"/>
            <w:shd w:val="clear" w:color="auto" w:fill="FFFFFF"/>
            <w:tcMar>
              <w:top w:w="40" w:type="dxa"/>
              <w:left w:w="20" w:type="dxa"/>
              <w:bottom w:w="40" w:type="dxa"/>
              <w:right w:w="20" w:type="dxa"/>
            </w:tcMar>
            <w:vAlign w:val="bottom"/>
          </w:tcPr>
          <w:p w14:paraId="64A89BE5" w14:textId="77777777" w:rsidR="008D6614" w:rsidRDefault="00866AF2">
            <w:pPr>
              <w:textAlignment w:val="bottom"/>
            </w:pPr>
            <w:r>
              <w:rPr>
                <w:rFonts w:ascii="Arial" w:eastAsia="宋体" w:hAnsi="Arial" w:cs="Arial"/>
                <w:color w:val="000000"/>
                <w:sz w:val="18"/>
                <w:szCs w:val="18"/>
              </w:rPr>
              <w:t>Equity investments under the equity method of accounting</w:t>
            </w:r>
          </w:p>
        </w:tc>
        <w:tc>
          <w:tcPr>
            <w:tcW w:w="0" w:type="auto"/>
            <w:gridSpan w:val="2"/>
            <w:shd w:val="clear" w:color="auto" w:fill="FFFFFF"/>
            <w:tcMar>
              <w:top w:w="40" w:type="dxa"/>
              <w:left w:w="20" w:type="dxa"/>
              <w:bottom w:w="40" w:type="dxa"/>
              <w:right w:w="0" w:type="dxa"/>
            </w:tcMar>
            <w:vAlign w:val="bottom"/>
          </w:tcPr>
          <w:p w14:paraId="64A89BE6" w14:textId="77777777" w:rsidR="008D6614" w:rsidRDefault="00866AF2">
            <w:pPr>
              <w:jc w:val="right"/>
              <w:textAlignment w:val="bottom"/>
            </w:pPr>
            <w:r>
              <w:rPr>
                <w:rFonts w:ascii="Arial" w:eastAsia="宋体" w:hAnsi="Arial" w:cs="Arial"/>
                <w:color w:val="000000"/>
                <w:sz w:val="18"/>
                <w:szCs w:val="18"/>
              </w:rPr>
              <w:t>7 </w:t>
            </w:r>
          </w:p>
        </w:tc>
        <w:tc>
          <w:tcPr>
            <w:tcW w:w="0" w:type="auto"/>
            <w:shd w:val="clear" w:color="auto" w:fill="FFFFFF"/>
            <w:tcMar>
              <w:top w:w="40" w:type="dxa"/>
              <w:bottom w:w="40" w:type="dxa"/>
              <w:right w:w="20" w:type="dxa"/>
            </w:tcMar>
            <w:vAlign w:val="bottom"/>
          </w:tcPr>
          <w:p w14:paraId="64A89BE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BE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BE9" w14:textId="77777777" w:rsidR="008D6614" w:rsidRDefault="00866AF2">
            <w:pPr>
              <w:jc w:val="right"/>
              <w:textAlignment w:val="bottom"/>
            </w:pPr>
            <w:r>
              <w:rPr>
                <w:rFonts w:ascii="Arial" w:eastAsia="宋体" w:hAnsi="Arial" w:cs="Arial"/>
                <w:color w:val="000000"/>
                <w:sz w:val="18"/>
                <w:szCs w:val="18"/>
              </w:rPr>
              <w:t>7 </w:t>
            </w:r>
          </w:p>
        </w:tc>
        <w:tc>
          <w:tcPr>
            <w:tcW w:w="0" w:type="auto"/>
            <w:shd w:val="clear" w:color="auto" w:fill="FFFFFF"/>
            <w:tcMar>
              <w:top w:w="40" w:type="dxa"/>
              <w:bottom w:w="40" w:type="dxa"/>
              <w:right w:w="20" w:type="dxa"/>
            </w:tcMar>
            <w:vAlign w:val="bottom"/>
          </w:tcPr>
          <w:p w14:paraId="64A89BEA" w14:textId="77777777" w:rsidR="008D6614" w:rsidRDefault="00866AF2">
            <w:pPr>
              <w:jc w:val="right"/>
              <w:textAlignment w:val="bottom"/>
            </w:pPr>
            <w:r>
              <w:rPr>
                <w:rFonts w:ascii="Arial" w:eastAsia="宋体" w:hAnsi="Arial" w:cs="Arial"/>
                <w:color w:val="000000"/>
                <w:sz w:val="18"/>
                <w:szCs w:val="18"/>
              </w:rPr>
              <w:t> </w:t>
            </w:r>
          </w:p>
        </w:tc>
      </w:tr>
      <w:tr w:rsidR="008D6614" w14:paraId="64A89BF4" w14:textId="77777777">
        <w:tc>
          <w:tcPr>
            <w:tcW w:w="0" w:type="auto"/>
            <w:gridSpan w:val="3"/>
            <w:shd w:val="clear" w:color="auto" w:fill="E2E2E2"/>
            <w:tcMar>
              <w:top w:w="40" w:type="dxa"/>
              <w:left w:w="225" w:type="dxa"/>
              <w:bottom w:w="40" w:type="dxa"/>
              <w:right w:w="20" w:type="dxa"/>
            </w:tcMar>
            <w:vAlign w:val="bottom"/>
          </w:tcPr>
          <w:p w14:paraId="64A89BEC" w14:textId="77777777" w:rsidR="008D6614" w:rsidRDefault="00866AF2">
            <w:pPr>
              <w:textAlignment w:val="bottom"/>
            </w:pPr>
            <w:r>
              <w:rPr>
                <w:rFonts w:ascii="Arial" w:eastAsia="宋体" w:hAnsi="Arial" w:cs="Arial"/>
                <w:color w:val="000000"/>
                <w:sz w:val="18"/>
                <w:szCs w:val="18"/>
              </w:rPr>
              <w:t>Total equity investments</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BED"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BEE" w14:textId="77777777" w:rsidR="008D6614" w:rsidRDefault="00866AF2">
            <w:pPr>
              <w:jc w:val="right"/>
              <w:textAlignment w:val="bottom"/>
            </w:pPr>
            <w:r>
              <w:rPr>
                <w:rFonts w:ascii="Arial" w:eastAsia="宋体" w:hAnsi="Arial" w:cs="Arial"/>
                <w:color w:val="000000"/>
                <w:sz w:val="18"/>
                <w:szCs w:val="18"/>
              </w:rPr>
              <w:t>333 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BE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BF0"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BF1"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BF2" w14:textId="77777777" w:rsidR="008D6614" w:rsidRDefault="00866AF2">
            <w:pPr>
              <w:jc w:val="right"/>
              <w:textAlignment w:val="bottom"/>
            </w:pPr>
            <w:r>
              <w:rPr>
                <w:rFonts w:ascii="Arial" w:eastAsia="宋体" w:hAnsi="Arial" w:cs="Arial"/>
                <w:color w:val="000000"/>
                <w:sz w:val="18"/>
                <w:szCs w:val="18"/>
              </w:rPr>
              <w:t>344 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BF3" w14:textId="77777777" w:rsidR="008D6614" w:rsidRDefault="00866AF2">
            <w:pPr>
              <w:jc w:val="right"/>
              <w:textAlignment w:val="bottom"/>
            </w:pPr>
            <w:r>
              <w:rPr>
                <w:rFonts w:ascii="Arial" w:eastAsia="宋体" w:hAnsi="Arial" w:cs="Arial"/>
                <w:color w:val="000000"/>
                <w:sz w:val="18"/>
                <w:szCs w:val="18"/>
              </w:rPr>
              <w:t> </w:t>
            </w:r>
          </w:p>
        </w:tc>
      </w:tr>
    </w:tbl>
    <w:p w14:paraId="64A89BF5" w14:textId="77777777" w:rsidR="008D6614" w:rsidRDefault="008D6614">
      <w:pPr>
        <w:ind w:firstLine="540"/>
        <w:jc w:val="both"/>
      </w:pPr>
    </w:p>
    <w:p w14:paraId="64A89BF6" w14:textId="77777777" w:rsidR="008D6614" w:rsidRDefault="00866AF2">
      <w:pPr>
        <w:ind w:firstLine="540"/>
        <w:jc w:val="both"/>
      </w:pPr>
      <w:r>
        <w:rPr>
          <w:rFonts w:ascii="Arial" w:eastAsia="宋体" w:hAnsi="Arial" w:cs="Arial"/>
          <w:color w:val="000000"/>
          <w:sz w:val="20"/>
          <w:szCs w:val="20"/>
        </w:rPr>
        <w:t xml:space="preserve">The following table summarizes the change in total carrying value during the three months ended March 31, 2020 and 2019 related to equity investments without readily determinable fair values still </w:t>
      </w:r>
      <w:r>
        <w:rPr>
          <w:rFonts w:ascii="Arial" w:eastAsia="宋体" w:hAnsi="Arial" w:cs="Arial"/>
          <w:color w:val="000000"/>
          <w:sz w:val="20"/>
          <w:szCs w:val="20"/>
        </w:rPr>
        <w:t>held (in millions):</w:t>
      </w:r>
    </w:p>
    <w:p w14:paraId="64A89BF7" w14:textId="77777777" w:rsidR="008D6614" w:rsidRDefault="008D6614">
      <w:pPr>
        <w:jc w:val="both"/>
      </w:pPr>
    </w:p>
    <w:tbl>
      <w:tblPr>
        <w:tblW w:w="4993" w:type="pct"/>
        <w:jc w:val="center"/>
        <w:tblCellMar>
          <w:top w:w="15" w:type="dxa"/>
          <w:left w:w="15" w:type="dxa"/>
          <w:bottom w:w="15" w:type="dxa"/>
          <w:right w:w="15" w:type="dxa"/>
        </w:tblCellMar>
        <w:tblLook w:val="04A0" w:firstRow="1" w:lastRow="0" w:firstColumn="1" w:lastColumn="0" w:noHBand="0" w:noVBand="1"/>
      </w:tblPr>
      <w:tblGrid>
        <w:gridCol w:w="46"/>
        <w:gridCol w:w="5653"/>
        <w:gridCol w:w="47"/>
        <w:gridCol w:w="36"/>
        <w:gridCol w:w="36"/>
        <w:gridCol w:w="36"/>
        <w:gridCol w:w="36"/>
        <w:gridCol w:w="36"/>
        <w:gridCol w:w="36"/>
        <w:gridCol w:w="136"/>
        <w:gridCol w:w="797"/>
        <w:gridCol w:w="86"/>
        <w:gridCol w:w="36"/>
        <w:gridCol w:w="36"/>
        <w:gridCol w:w="36"/>
        <w:gridCol w:w="136"/>
        <w:gridCol w:w="797"/>
        <w:gridCol w:w="86"/>
        <w:gridCol w:w="36"/>
        <w:gridCol w:w="36"/>
        <w:gridCol w:w="36"/>
        <w:gridCol w:w="36"/>
        <w:gridCol w:w="36"/>
        <w:gridCol w:w="36"/>
      </w:tblGrid>
      <w:tr w:rsidR="008D6614" w14:paraId="64A89C0A" w14:textId="77777777">
        <w:trPr>
          <w:gridAfter w:val="6"/>
          <w:jc w:val="center"/>
        </w:trPr>
        <w:tc>
          <w:tcPr>
            <w:tcW w:w="50" w:type="pct"/>
            <w:shd w:val="clear" w:color="auto" w:fill="auto"/>
            <w:vAlign w:val="center"/>
          </w:tcPr>
          <w:p w14:paraId="64A89BF8" w14:textId="77777777" w:rsidR="008D6614" w:rsidRDefault="008D6614">
            <w:pPr>
              <w:rPr>
                <w:rFonts w:ascii="宋体"/>
              </w:rPr>
            </w:pPr>
          </w:p>
        </w:tc>
        <w:tc>
          <w:tcPr>
            <w:tcW w:w="3553" w:type="pct"/>
            <w:shd w:val="clear" w:color="auto" w:fill="auto"/>
            <w:vAlign w:val="center"/>
          </w:tcPr>
          <w:p w14:paraId="64A89BF9" w14:textId="77777777" w:rsidR="008D6614" w:rsidRDefault="008D6614">
            <w:pPr>
              <w:rPr>
                <w:rFonts w:ascii="宋体"/>
              </w:rPr>
            </w:pPr>
          </w:p>
        </w:tc>
        <w:tc>
          <w:tcPr>
            <w:tcW w:w="50" w:type="pct"/>
            <w:shd w:val="clear" w:color="auto" w:fill="auto"/>
            <w:vAlign w:val="center"/>
          </w:tcPr>
          <w:p w14:paraId="64A89BFA" w14:textId="77777777" w:rsidR="008D6614" w:rsidRDefault="008D6614">
            <w:pPr>
              <w:rPr>
                <w:rFonts w:ascii="宋体"/>
              </w:rPr>
            </w:pPr>
          </w:p>
        </w:tc>
        <w:tc>
          <w:tcPr>
            <w:tcW w:w="0" w:type="auto"/>
            <w:shd w:val="clear" w:color="auto" w:fill="auto"/>
            <w:vAlign w:val="center"/>
          </w:tcPr>
          <w:p w14:paraId="64A89BFB" w14:textId="77777777" w:rsidR="008D6614" w:rsidRDefault="008D6614">
            <w:pPr>
              <w:rPr>
                <w:rFonts w:ascii="宋体"/>
                <w:vanish/>
              </w:rPr>
            </w:pPr>
          </w:p>
        </w:tc>
        <w:tc>
          <w:tcPr>
            <w:tcW w:w="0" w:type="auto"/>
            <w:shd w:val="clear" w:color="auto" w:fill="auto"/>
            <w:vAlign w:val="center"/>
          </w:tcPr>
          <w:p w14:paraId="64A89BFC" w14:textId="77777777" w:rsidR="008D6614" w:rsidRDefault="008D6614">
            <w:pPr>
              <w:rPr>
                <w:rFonts w:ascii="宋体"/>
                <w:vanish/>
              </w:rPr>
            </w:pPr>
          </w:p>
        </w:tc>
        <w:tc>
          <w:tcPr>
            <w:tcW w:w="0" w:type="auto"/>
            <w:shd w:val="clear" w:color="auto" w:fill="auto"/>
            <w:vAlign w:val="center"/>
          </w:tcPr>
          <w:p w14:paraId="64A89BFD" w14:textId="77777777" w:rsidR="008D6614" w:rsidRDefault="008D6614">
            <w:pPr>
              <w:rPr>
                <w:rFonts w:ascii="宋体"/>
                <w:vanish/>
              </w:rPr>
            </w:pPr>
          </w:p>
        </w:tc>
        <w:tc>
          <w:tcPr>
            <w:tcW w:w="5" w:type="pct"/>
            <w:shd w:val="clear" w:color="auto" w:fill="auto"/>
            <w:vAlign w:val="center"/>
          </w:tcPr>
          <w:p w14:paraId="64A89BFE" w14:textId="77777777" w:rsidR="008D6614" w:rsidRDefault="008D6614">
            <w:pPr>
              <w:rPr>
                <w:rFonts w:ascii="宋体"/>
              </w:rPr>
            </w:pPr>
          </w:p>
        </w:tc>
        <w:tc>
          <w:tcPr>
            <w:tcW w:w="26" w:type="pct"/>
            <w:shd w:val="clear" w:color="auto" w:fill="auto"/>
            <w:vAlign w:val="center"/>
          </w:tcPr>
          <w:p w14:paraId="64A89BFF" w14:textId="77777777" w:rsidR="008D6614" w:rsidRDefault="008D6614">
            <w:pPr>
              <w:rPr>
                <w:rFonts w:ascii="宋体"/>
              </w:rPr>
            </w:pPr>
          </w:p>
        </w:tc>
        <w:tc>
          <w:tcPr>
            <w:tcW w:w="5" w:type="pct"/>
            <w:shd w:val="clear" w:color="auto" w:fill="auto"/>
            <w:vAlign w:val="center"/>
          </w:tcPr>
          <w:p w14:paraId="64A89C00" w14:textId="77777777" w:rsidR="008D6614" w:rsidRDefault="008D6614">
            <w:pPr>
              <w:rPr>
                <w:rFonts w:ascii="宋体"/>
              </w:rPr>
            </w:pPr>
          </w:p>
        </w:tc>
        <w:tc>
          <w:tcPr>
            <w:tcW w:w="50" w:type="pct"/>
            <w:shd w:val="clear" w:color="auto" w:fill="auto"/>
            <w:vAlign w:val="center"/>
          </w:tcPr>
          <w:p w14:paraId="64A89C01" w14:textId="77777777" w:rsidR="008D6614" w:rsidRDefault="008D6614">
            <w:pPr>
              <w:rPr>
                <w:rFonts w:ascii="宋体"/>
              </w:rPr>
            </w:pPr>
          </w:p>
        </w:tc>
        <w:tc>
          <w:tcPr>
            <w:tcW w:w="536" w:type="pct"/>
            <w:shd w:val="clear" w:color="auto" w:fill="auto"/>
            <w:vAlign w:val="center"/>
          </w:tcPr>
          <w:p w14:paraId="64A89C02" w14:textId="77777777" w:rsidR="008D6614" w:rsidRDefault="008D6614">
            <w:pPr>
              <w:rPr>
                <w:rFonts w:ascii="宋体"/>
              </w:rPr>
            </w:pPr>
          </w:p>
        </w:tc>
        <w:tc>
          <w:tcPr>
            <w:tcW w:w="50" w:type="pct"/>
            <w:shd w:val="clear" w:color="auto" w:fill="auto"/>
            <w:vAlign w:val="center"/>
          </w:tcPr>
          <w:p w14:paraId="64A89C03" w14:textId="77777777" w:rsidR="008D6614" w:rsidRDefault="008D6614">
            <w:pPr>
              <w:rPr>
                <w:rFonts w:ascii="宋体"/>
              </w:rPr>
            </w:pPr>
          </w:p>
        </w:tc>
        <w:tc>
          <w:tcPr>
            <w:tcW w:w="5" w:type="pct"/>
            <w:shd w:val="clear" w:color="auto" w:fill="auto"/>
            <w:vAlign w:val="center"/>
          </w:tcPr>
          <w:p w14:paraId="64A89C04" w14:textId="77777777" w:rsidR="008D6614" w:rsidRDefault="008D6614">
            <w:pPr>
              <w:rPr>
                <w:rFonts w:ascii="宋体"/>
              </w:rPr>
            </w:pPr>
          </w:p>
        </w:tc>
        <w:tc>
          <w:tcPr>
            <w:tcW w:w="26" w:type="pct"/>
            <w:shd w:val="clear" w:color="auto" w:fill="auto"/>
            <w:vAlign w:val="center"/>
          </w:tcPr>
          <w:p w14:paraId="64A89C05" w14:textId="77777777" w:rsidR="008D6614" w:rsidRDefault="008D6614">
            <w:pPr>
              <w:rPr>
                <w:rFonts w:ascii="宋体"/>
              </w:rPr>
            </w:pPr>
          </w:p>
        </w:tc>
        <w:tc>
          <w:tcPr>
            <w:tcW w:w="5" w:type="pct"/>
            <w:shd w:val="clear" w:color="auto" w:fill="auto"/>
            <w:vAlign w:val="center"/>
          </w:tcPr>
          <w:p w14:paraId="64A89C06" w14:textId="77777777" w:rsidR="008D6614" w:rsidRDefault="008D6614">
            <w:pPr>
              <w:rPr>
                <w:rFonts w:ascii="宋体"/>
              </w:rPr>
            </w:pPr>
          </w:p>
        </w:tc>
        <w:tc>
          <w:tcPr>
            <w:tcW w:w="50" w:type="pct"/>
            <w:shd w:val="clear" w:color="auto" w:fill="auto"/>
            <w:vAlign w:val="center"/>
          </w:tcPr>
          <w:p w14:paraId="64A89C07" w14:textId="77777777" w:rsidR="008D6614" w:rsidRDefault="008D6614">
            <w:pPr>
              <w:rPr>
                <w:rFonts w:ascii="宋体"/>
              </w:rPr>
            </w:pPr>
          </w:p>
        </w:tc>
        <w:tc>
          <w:tcPr>
            <w:tcW w:w="536" w:type="pct"/>
            <w:shd w:val="clear" w:color="auto" w:fill="auto"/>
            <w:vAlign w:val="center"/>
          </w:tcPr>
          <w:p w14:paraId="64A89C08" w14:textId="77777777" w:rsidR="008D6614" w:rsidRDefault="008D6614">
            <w:pPr>
              <w:rPr>
                <w:rFonts w:ascii="宋体"/>
              </w:rPr>
            </w:pPr>
          </w:p>
        </w:tc>
        <w:tc>
          <w:tcPr>
            <w:tcW w:w="50" w:type="pct"/>
            <w:shd w:val="clear" w:color="auto" w:fill="auto"/>
            <w:vAlign w:val="center"/>
          </w:tcPr>
          <w:p w14:paraId="64A89C09" w14:textId="77777777" w:rsidR="008D6614" w:rsidRDefault="008D6614">
            <w:pPr>
              <w:rPr>
                <w:rFonts w:ascii="宋体"/>
              </w:rPr>
            </w:pPr>
          </w:p>
        </w:tc>
      </w:tr>
      <w:tr w:rsidR="008D6614" w14:paraId="64A89C13" w14:textId="77777777">
        <w:trPr>
          <w:jc w:val="center"/>
        </w:trPr>
        <w:tc>
          <w:tcPr>
            <w:tcW w:w="0" w:type="auto"/>
            <w:gridSpan w:val="3"/>
            <w:shd w:val="clear" w:color="auto" w:fill="auto"/>
            <w:tcMar>
              <w:left w:w="20" w:type="dxa"/>
              <w:right w:w="20" w:type="dxa"/>
            </w:tcMar>
            <w:vAlign w:val="bottom"/>
          </w:tcPr>
          <w:p w14:paraId="64A89C0B" w14:textId="77777777" w:rsidR="008D6614" w:rsidRDefault="008D6614">
            <w:pPr>
              <w:rPr>
                <w:rFonts w:ascii="宋体"/>
              </w:rPr>
            </w:pPr>
          </w:p>
        </w:tc>
        <w:tc>
          <w:tcPr>
            <w:tcW w:w="0" w:type="auto"/>
            <w:shd w:val="clear" w:color="auto" w:fill="auto"/>
            <w:vAlign w:val="center"/>
          </w:tcPr>
          <w:p w14:paraId="64A89C0C" w14:textId="77777777" w:rsidR="008D6614" w:rsidRDefault="008D6614">
            <w:pPr>
              <w:rPr>
                <w:rFonts w:ascii="宋体"/>
                <w:vanish/>
              </w:rPr>
            </w:pPr>
          </w:p>
        </w:tc>
        <w:tc>
          <w:tcPr>
            <w:tcW w:w="0" w:type="auto"/>
            <w:shd w:val="clear" w:color="auto" w:fill="auto"/>
            <w:vAlign w:val="center"/>
          </w:tcPr>
          <w:p w14:paraId="64A89C0D" w14:textId="77777777" w:rsidR="008D6614" w:rsidRDefault="008D6614">
            <w:pPr>
              <w:rPr>
                <w:rFonts w:ascii="宋体"/>
                <w:vanish/>
              </w:rPr>
            </w:pPr>
          </w:p>
        </w:tc>
        <w:tc>
          <w:tcPr>
            <w:tcW w:w="0" w:type="auto"/>
            <w:shd w:val="clear" w:color="auto" w:fill="auto"/>
            <w:vAlign w:val="center"/>
          </w:tcPr>
          <w:p w14:paraId="64A89C0E"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C0F"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9C10"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vAlign w:val="center"/>
          </w:tcPr>
          <w:p w14:paraId="64A89C11" w14:textId="77777777" w:rsidR="008D6614" w:rsidRDefault="008D6614">
            <w:pPr>
              <w:rPr>
                <w:rFonts w:ascii="宋体"/>
                <w:vanish/>
              </w:rPr>
            </w:pPr>
          </w:p>
        </w:tc>
        <w:tc>
          <w:tcPr>
            <w:tcW w:w="0" w:type="auto"/>
            <w:gridSpan w:val="3"/>
            <w:shd w:val="clear" w:color="auto" w:fill="auto"/>
            <w:vAlign w:val="center"/>
          </w:tcPr>
          <w:p w14:paraId="64A89C12" w14:textId="77777777" w:rsidR="008D6614" w:rsidRDefault="008D6614">
            <w:pPr>
              <w:rPr>
                <w:rFonts w:ascii="宋体"/>
                <w:vanish/>
              </w:rPr>
            </w:pPr>
          </w:p>
        </w:tc>
      </w:tr>
      <w:tr w:rsidR="008D6614" w14:paraId="64A89C22" w14:textId="77777777">
        <w:trPr>
          <w:jc w:val="center"/>
        </w:trPr>
        <w:tc>
          <w:tcPr>
            <w:tcW w:w="0" w:type="auto"/>
            <w:gridSpan w:val="3"/>
            <w:shd w:val="clear" w:color="auto" w:fill="auto"/>
            <w:tcMar>
              <w:left w:w="20" w:type="dxa"/>
              <w:right w:w="20" w:type="dxa"/>
            </w:tcMar>
            <w:vAlign w:val="bottom"/>
          </w:tcPr>
          <w:p w14:paraId="64A89C14" w14:textId="77777777" w:rsidR="008D6614" w:rsidRDefault="008D6614">
            <w:pPr>
              <w:rPr>
                <w:rFonts w:ascii="宋体"/>
              </w:rPr>
            </w:pPr>
          </w:p>
        </w:tc>
        <w:tc>
          <w:tcPr>
            <w:tcW w:w="0" w:type="auto"/>
            <w:shd w:val="clear" w:color="auto" w:fill="auto"/>
            <w:vAlign w:val="center"/>
          </w:tcPr>
          <w:p w14:paraId="64A89C15" w14:textId="77777777" w:rsidR="008D6614" w:rsidRDefault="008D6614">
            <w:pPr>
              <w:rPr>
                <w:rFonts w:ascii="宋体"/>
                <w:vanish/>
              </w:rPr>
            </w:pPr>
          </w:p>
        </w:tc>
        <w:tc>
          <w:tcPr>
            <w:tcW w:w="0" w:type="auto"/>
            <w:shd w:val="clear" w:color="auto" w:fill="auto"/>
            <w:vAlign w:val="center"/>
          </w:tcPr>
          <w:p w14:paraId="64A89C16" w14:textId="77777777" w:rsidR="008D6614" w:rsidRDefault="008D6614">
            <w:pPr>
              <w:rPr>
                <w:rFonts w:ascii="宋体"/>
                <w:vanish/>
              </w:rPr>
            </w:pPr>
          </w:p>
        </w:tc>
        <w:tc>
          <w:tcPr>
            <w:tcW w:w="0" w:type="auto"/>
            <w:shd w:val="clear" w:color="auto" w:fill="auto"/>
            <w:vAlign w:val="center"/>
          </w:tcPr>
          <w:p w14:paraId="64A89C17"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C18"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C19"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64A89C1A"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C1B"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9C1C" w14:textId="77777777" w:rsidR="008D6614" w:rsidRDefault="008D6614">
            <w:pPr>
              <w:rPr>
                <w:rFonts w:ascii="宋体"/>
              </w:rPr>
            </w:pPr>
          </w:p>
        </w:tc>
        <w:tc>
          <w:tcPr>
            <w:tcW w:w="0" w:type="auto"/>
            <w:shd w:val="clear" w:color="auto" w:fill="auto"/>
            <w:vAlign w:val="center"/>
          </w:tcPr>
          <w:p w14:paraId="64A89C1D" w14:textId="77777777" w:rsidR="008D6614" w:rsidRDefault="008D6614">
            <w:pPr>
              <w:rPr>
                <w:rFonts w:ascii="宋体"/>
              </w:rPr>
            </w:pPr>
          </w:p>
        </w:tc>
        <w:tc>
          <w:tcPr>
            <w:tcW w:w="0" w:type="auto"/>
            <w:shd w:val="clear" w:color="auto" w:fill="auto"/>
            <w:vAlign w:val="center"/>
          </w:tcPr>
          <w:p w14:paraId="64A89C1E" w14:textId="77777777" w:rsidR="008D6614" w:rsidRDefault="008D6614">
            <w:pPr>
              <w:rPr>
                <w:rFonts w:ascii="宋体"/>
              </w:rPr>
            </w:pPr>
          </w:p>
        </w:tc>
        <w:tc>
          <w:tcPr>
            <w:tcW w:w="0" w:type="auto"/>
            <w:shd w:val="clear" w:color="auto" w:fill="auto"/>
            <w:vAlign w:val="center"/>
          </w:tcPr>
          <w:p w14:paraId="64A89C1F" w14:textId="77777777" w:rsidR="008D6614" w:rsidRDefault="008D6614">
            <w:pPr>
              <w:rPr>
                <w:rFonts w:ascii="宋体"/>
              </w:rPr>
            </w:pPr>
          </w:p>
        </w:tc>
        <w:tc>
          <w:tcPr>
            <w:tcW w:w="0" w:type="auto"/>
            <w:shd w:val="clear" w:color="auto" w:fill="auto"/>
            <w:vAlign w:val="center"/>
          </w:tcPr>
          <w:p w14:paraId="64A89C20" w14:textId="77777777" w:rsidR="008D6614" w:rsidRDefault="008D6614">
            <w:pPr>
              <w:rPr>
                <w:rFonts w:ascii="宋体"/>
              </w:rPr>
            </w:pPr>
          </w:p>
        </w:tc>
        <w:tc>
          <w:tcPr>
            <w:tcW w:w="0" w:type="auto"/>
            <w:shd w:val="clear" w:color="auto" w:fill="auto"/>
            <w:vAlign w:val="center"/>
          </w:tcPr>
          <w:p w14:paraId="64A89C21" w14:textId="77777777" w:rsidR="008D6614" w:rsidRDefault="008D6614">
            <w:pPr>
              <w:rPr>
                <w:rFonts w:ascii="宋体"/>
              </w:rPr>
            </w:pPr>
          </w:p>
        </w:tc>
      </w:tr>
      <w:tr w:rsidR="008D6614" w14:paraId="64A89C35" w14:textId="77777777">
        <w:trPr>
          <w:jc w:val="center"/>
        </w:trPr>
        <w:tc>
          <w:tcPr>
            <w:tcW w:w="0" w:type="auto"/>
            <w:gridSpan w:val="3"/>
            <w:shd w:val="clear" w:color="auto" w:fill="E2E2E2"/>
            <w:tcMar>
              <w:top w:w="40" w:type="dxa"/>
              <w:left w:w="20" w:type="dxa"/>
              <w:bottom w:w="40" w:type="dxa"/>
              <w:right w:w="20" w:type="dxa"/>
            </w:tcMar>
            <w:vAlign w:val="bottom"/>
          </w:tcPr>
          <w:p w14:paraId="64A89C23" w14:textId="77777777" w:rsidR="008D6614" w:rsidRDefault="00866AF2">
            <w:pPr>
              <w:textAlignment w:val="bottom"/>
            </w:pPr>
            <w:r>
              <w:rPr>
                <w:rFonts w:ascii="Arial" w:eastAsia="宋体" w:hAnsi="Arial" w:cs="Arial"/>
                <w:color w:val="000000"/>
                <w:sz w:val="18"/>
                <w:szCs w:val="18"/>
              </w:rPr>
              <w:t>Carrying value, beginning of period</w:t>
            </w:r>
          </w:p>
        </w:tc>
        <w:tc>
          <w:tcPr>
            <w:tcW w:w="0" w:type="auto"/>
            <w:shd w:val="clear" w:color="auto" w:fill="auto"/>
            <w:vAlign w:val="center"/>
          </w:tcPr>
          <w:p w14:paraId="64A89C24" w14:textId="77777777" w:rsidR="008D6614" w:rsidRDefault="008D6614">
            <w:pPr>
              <w:rPr>
                <w:rFonts w:ascii="宋体"/>
                <w:vanish/>
              </w:rPr>
            </w:pPr>
          </w:p>
        </w:tc>
        <w:tc>
          <w:tcPr>
            <w:tcW w:w="0" w:type="auto"/>
            <w:shd w:val="clear" w:color="auto" w:fill="auto"/>
            <w:vAlign w:val="center"/>
          </w:tcPr>
          <w:p w14:paraId="64A89C25" w14:textId="77777777" w:rsidR="008D6614" w:rsidRDefault="008D6614">
            <w:pPr>
              <w:rPr>
                <w:rFonts w:ascii="宋体"/>
                <w:vanish/>
              </w:rPr>
            </w:pPr>
          </w:p>
        </w:tc>
        <w:tc>
          <w:tcPr>
            <w:tcW w:w="0" w:type="auto"/>
            <w:shd w:val="clear" w:color="auto" w:fill="auto"/>
            <w:vAlign w:val="center"/>
          </w:tcPr>
          <w:p w14:paraId="64A89C26"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C27"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C2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C29" w14:textId="77777777" w:rsidR="008D6614" w:rsidRDefault="00866AF2">
            <w:pPr>
              <w:jc w:val="right"/>
              <w:textAlignment w:val="bottom"/>
            </w:pPr>
            <w:r>
              <w:rPr>
                <w:rFonts w:ascii="Arial" w:eastAsia="宋体" w:hAnsi="Arial" w:cs="Arial"/>
                <w:color w:val="000000"/>
                <w:sz w:val="18"/>
                <w:szCs w:val="18"/>
              </w:rPr>
              <w:t>337 </w:t>
            </w:r>
          </w:p>
        </w:tc>
        <w:tc>
          <w:tcPr>
            <w:tcW w:w="0" w:type="auto"/>
            <w:tcBorders>
              <w:top w:val="single" w:sz="8" w:space="0" w:color="000000"/>
            </w:tcBorders>
            <w:shd w:val="clear" w:color="auto" w:fill="E2E2E2"/>
            <w:tcMar>
              <w:top w:w="40" w:type="dxa"/>
              <w:bottom w:w="40" w:type="dxa"/>
              <w:right w:w="20" w:type="dxa"/>
            </w:tcMar>
            <w:vAlign w:val="bottom"/>
          </w:tcPr>
          <w:p w14:paraId="64A89C2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C2B"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C2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C2D" w14:textId="77777777" w:rsidR="008D6614" w:rsidRDefault="00866AF2">
            <w:pPr>
              <w:jc w:val="right"/>
              <w:textAlignment w:val="bottom"/>
            </w:pPr>
            <w:r>
              <w:rPr>
                <w:rFonts w:ascii="Arial" w:eastAsia="宋体" w:hAnsi="Arial" w:cs="Arial"/>
                <w:color w:val="000000"/>
                <w:sz w:val="18"/>
                <w:szCs w:val="18"/>
              </w:rPr>
              <w:t>137 </w:t>
            </w:r>
          </w:p>
        </w:tc>
        <w:tc>
          <w:tcPr>
            <w:tcW w:w="0" w:type="auto"/>
            <w:tcBorders>
              <w:top w:val="single" w:sz="8" w:space="0" w:color="000000"/>
            </w:tcBorders>
            <w:shd w:val="clear" w:color="auto" w:fill="E2E2E2"/>
            <w:tcMar>
              <w:top w:w="40" w:type="dxa"/>
              <w:bottom w:w="40" w:type="dxa"/>
              <w:right w:w="20" w:type="dxa"/>
            </w:tcMar>
            <w:vAlign w:val="bottom"/>
          </w:tcPr>
          <w:p w14:paraId="64A89C2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C2F" w14:textId="77777777" w:rsidR="008D6614" w:rsidRDefault="008D6614">
            <w:pPr>
              <w:rPr>
                <w:rFonts w:ascii="宋体"/>
              </w:rPr>
            </w:pPr>
          </w:p>
        </w:tc>
        <w:tc>
          <w:tcPr>
            <w:tcW w:w="0" w:type="auto"/>
            <w:shd w:val="clear" w:color="auto" w:fill="auto"/>
            <w:vAlign w:val="center"/>
          </w:tcPr>
          <w:p w14:paraId="64A89C30" w14:textId="77777777" w:rsidR="008D6614" w:rsidRDefault="008D6614">
            <w:pPr>
              <w:rPr>
                <w:rFonts w:ascii="宋体"/>
              </w:rPr>
            </w:pPr>
          </w:p>
        </w:tc>
        <w:tc>
          <w:tcPr>
            <w:tcW w:w="0" w:type="auto"/>
            <w:shd w:val="clear" w:color="auto" w:fill="auto"/>
            <w:vAlign w:val="center"/>
          </w:tcPr>
          <w:p w14:paraId="64A89C31" w14:textId="77777777" w:rsidR="008D6614" w:rsidRDefault="008D6614">
            <w:pPr>
              <w:rPr>
                <w:rFonts w:ascii="宋体"/>
              </w:rPr>
            </w:pPr>
          </w:p>
        </w:tc>
        <w:tc>
          <w:tcPr>
            <w:tcW w:w="0" w:type="auto"/>
            <w:shd w:val="clear" w:color="auto" w:fill="auto"/>
            <w:vAlign w:val="center"/>
          </w:tcPr>
          <w:p w14:paraId="64A89C32" w14:textId="77777777" w:rsidR="008D6614" w:rsidRDefault="008D6614">
            <w:pPr>
              <w:rPr>
                <w:rFonts w:ascii="宋体"/>
              </w:rPr>
            </w:pPr>
          </w:p>
        </w:tc>
        <w:tc>
          <w:tcPr>
            <w:tcW w:w="0" w:type="auto"/>
            <w:shd w:val="clear" w:color="auto" w:fill="auto"/>
            <w:vAlign w:val="center"/>
          </w:tcPr>
          <w:p w14:paraId="64A89C33" w14:textId="77777777" w:rsidR="008D6614" w:rsidRDefault="008D6614">
            <w:pPr>
              <w:rPr>
                <w:rFonts w:ascii="宋体"/>
              </w:rPr>
            </w:pPr>
          </w:p>
        </w:tc>
        <w:tc>
          <w:tcPr>
            <w:tcW w:w="0" w:type="auto"/>
            <w:shd w:val="clear" w:color="auto" w:fill="auto"/>
            <w:vAlign w:val="center"/>
          </w:tcPr>
          <w:p w14:paraId="64A89C34" w14:textId="77777777" w:rsidR="008D6614" w:rsidRDefault="008D6614">
            <w:pPr>
              <w:rPr>
                <w:rFonts w:ascii="宋体"/>
              </w:rPr>
            </w:pPr>
          </w:p>
        </w:tc>
      </w:tr>
      <w:tr w:rsidR="008D6614" w14:paraId="64A89C44" w14:textId="77777777">
        <w:trPr>
          <w:jc w:val="center"/>
          <w:hidden/>
        </w:trPr>
        <w:tc>
          <w:tcPr>
            <w:tcW w:w="0" w:type="auto"/>
            <w:gridSpan w:val="3"/>
            <w:shd w:val="clear" w:color="auto" w:fill="auto"/>
            <w:vAlign w:val="center"/>
          </w:tcPr>
          <w:p w14:paraId="64A89C36" w14:textId="77777777" w:rsidR="008D6614" w:rsidRDefault="008D6614">
            <w:pPr>
              <w:rPr>
                <w:rFonts w:ascii="宋体"/>
                <w:vanish/>
              </w:rPr>
            </w:pPr>
          </w:p>
        </w:tc>
        <w:tc>
          <w:tcPr>
            <w:tcW w:w="0" w:type="auto"/>
            <w:shd w:val="clear" w:color="auto" w:fill="auto"/>
            <w:vAlign w:val="center"/>
          </w:tcPr>
          <w:p w14:paraId="64A89C37" w14:textId="77777777" w:rsidR="008D6614" w:rsidRDefault="008D6614">
            <w:pPr>
              <w:rPr>
                <w:rFonts w:ascii="宋体"/>
                <w:vanish/>
              </w:rPr>
            </w:pPr>
          </w:p>
        </w:tc>
        <w:tc>
          <w:tcPr>
            <w:tcW w:w="0" w:type="auto"/>
            <w:shd w:val="clear" w:color="auto" w:fill="auto"/>
            <w:vAlign w:val="center"/>
          </w:tcPr>
          <w:p w14:paraId="64A89C38" w14:textId="77777777" w:rsidR="008D6614" w:rsidRDefault="008D6614">
            <w:pPr>
              <w:rPr>
                <w:rFonts w:ascii="宋体"/>
                <w:vanish/>
              </w:rPr>
            </w:pPr>
          </w:p>
        </w:tc>
        <w:tc>
          <w:tcPr>
            <w:tcW w:w="0" w:type="auto"/>
            <w:shd w:val="clear" w:color="auto" w:fill="auto"/>
            <w:vAlign w:val="center"/>
          </w:tcPr>
          <w:p w14:paraId="64A89C39" w14:textId="77777777" w:rsidR="008D6614" w:rsidRDefault="008D6614">
            <w:pPr>
              <w:rPr>
                <w:rFonts w:ascii="宋体"/>
                <w:vanish/>
              </w:rPr>
            </w:pPr>
          </w:p>
        </w:tc>
        <w:tc>
          <w:tcPr>
            <w:tcW w:w="0" w:type="auto"/>
            <w:gridSpan w:val="3"/>
            <w:shd w:val="clear" w:color="auto" w:fill="auto"/>
            <w:vAlign w:val="center"/>
          </w:tcPr>
          <w:p w14:paraId="64A89C3A" w14:textId="77777777" w:rsidR="008D6614" w:rsidRDefault="008D6614">
            <w:pPr>
              <w:rPr>
                <w:rFonts w:ascii="宋体"/>
                <w:vanish/>
              </w:rPr>
            </w:pPr>
          </w:p>
        </w:tc>
        <w:tc>
          <w:tcPr>
            <w:tcW w:w="0" w:type="auto"/>
            <w:gridSpan w:val="3"/>
            <w:shd w:val="clear" w:color="auto" w:fill="auto"/>
            <w:vAlign w:val="center"/>
          </w:tcPr>
          <w:p w14:paraId="64A89C3B" w14:textId="77777777" w:rsidR="008D6614" w:rsidRDefault="008D6614">
            <w:pPr>
              <w:rPr>
                <w:rFonts w:ascii="宋体"/>
                <w:vanish/>
              </w:rPr>
            </w:pPr>
          </w:p>
        </w:tc>
        <w:tc>
          <w:tcPr>
            <w:tcW w:w="0" w:type="auto"/>
            <w:gridSpan w:val="3"/>
            <w:shd w:val="clear" w:color="auto" w:fill="auto"/>
            <w:vAlign w:val="center"/>
          </w:tcPr>
          <w:p w14:paraId="64A89C3C" w14:textId="77777777" w:rsidR="008D6614" w:rsidRDefault="008D6614">
            <w:pPr>
              <w:rPr>
                <w:rFonts w:ascii="宋体"/>
                <w:vanish/>
              </w:rPr>
            </w:pPr>
          </w:p>
        </w:tc>
        <w:tc>
          <w:tcPr>
            <w:tcW w:w="0" w:type="auto"/>
            <w:gridSpan w:val="3"/>
            <w:shd w:val="clear" w:color="auto" w:fill="auto"/>
            <w:vAlign w:val="center"/>
          </w:tcPr>
          <w:p w14:paraId="64A89C3D" w14:textId="77777777" w:rsidR="008D6614" w:rsidRDefault="008D6614">
            <w:pPr>
              <w:rPr>
                <w:rFonts w:ascii="宋体"/>
                <w:vanish/>
              </w:rPr>
            </w:pPr>
          </w:p>
        </w:tc>
        <w:tc>
          <w:tcPr>
            <w:tcW w:w="0" w:type="auto"/>
            <w:shd w:val="clear" w:color="auto" w:fill="auto"/>
            <w:vAlign w:val="center"/>
          </w:tcPr>
          <w:p w14:paraId="64A89C3E" w14:textId="77777777" w:rsidR="008D6614" w:rsidRDefault="008D6614">
            <w:pPr>
              <w:rPr>
                <w:rFonts w:ascii="宋体"/>
              </w:rPr>
            </w:pPr>
          </w:p>
        </w:tc>
        <w:tc>
          <w:tcPr>
            <w:tcW w:w="0" w:type="auto"/>
            <w:shd w:val="clear" w:color="auto" w:fill="auto"/>
            <w:vAlign w:val="center"/>
          </w:tcPr>
          <w:p w14:paraId="64A89C3F" w14:textId="77777777" w:rsidR="008D6614" w:rsidRDefault="008D6614">
            <w:pPr>
              <w:rPr>
                <w:rFonts w:ascii="宋体"/>
              </w:rPr>
            </w:pPr>
          </w:p>
        </w:tc>
        <w:tc>
          <w:tcPr>
            <w:tcW w:w="0" w:type="auto"/>
            <w:shd w:val="clear" w:color="auto" w:fill="auto"/>
            <w:vAlign w:val="center"/>
          </w:tcPr>
          <w:p w14:paraId="64A89C40" w14:textId="77777777" w:rsidR="008D6614" w:rsidRDefault="008D6614">
            <w:pPr>
              <w:rPr>
                <w:rFonts w:ascii="宋体"/>
              </w:rPr>
            </w:pPr>
          </w:p>
        </w:tc>
        <w:tc>
          <w:tcPr>
            <w:tcW w:w="0" w:type="auto"/>
            <w:shd w:val="clear" w:color="auto" w:fill="auto"/>
            <w:vAlign w:val="center"/>
          </w:tcPr>
          <w:p w14:paraId="64A89C41" w14:textId="77777777" w:rsidR="008D6614" w:rsidRDefault="008D6614">
            <w:pPr>
              <w:rPr>
                <w:rFonts w:ascii="宋体"/>
              </w:rPr>
            </w:pPr>
          </w:p>
        </w:tc>
        <w:tc>
          <w:tcPr>
            <w:tcW w:w="0" w:type="auto"/>
            <w:shd w:val="clear" w:color="auto" w:fill="auto"/>
            <w:vAlign w:val="center"/>
          </w:tcPr>
          <w:p w14:paraId="64A89C42" w14:textId="77777777" w:rsidR="008D6614" w:rsidRDefault="008D6614">
            <w:pPr>
              <w:rPr>
                <w:rFonts w:ascii="宋体"/>
              </w:rPr>
            </w:pPr>
          </w:p>
        </w:tc>
        <w:tc>
          <w:tcPr>
            <w:tcW w:w="0" w:type="auto"/>
            <w:shd w:val="clear" w:color="auto" w:fill="auto"/>
            <w:vAlign w:val="center"/>
          </w:tcPr>
          <w:p w14:paraId="64A89C43" w14:textId="77777777" w:rsidR="008D6614" w:rsidRDefault="008D6614">
            <w:pPr>
              <w:rPr>
                <w:rFonts w:ascii="宋体"/>
              </w:rPr>
            </w:pPr>
          </w:p>
        </w:tc>
      </w:tr>
      <w:tr w:rsidR="008D6614" w14:paraId="64A89C53" w14:textId="77777777">
        <w:trPr>
          <w:jc w:val="center"/>
          <w:hidden/>
        </w:trPr>
        <w:tc>
          <w:tcPr>
            <w:tcW w:w="0" w:type="auto"/>
            <w:gridSpan w:val="3"/>
            <w:shd w:val="clear" w:color="auto" w:fill="auto"/>
            <w:vAlign w:val="center"/>
          </w:tcPr>
          <w:p w14:paraId="64A89C45" w14:textId="77777777" w:rsidR="008D6614" w:rsidRDefault="008D6614">
            <w:pPr>
              <w:rPr>
                <w:rFonts w:ascii="宋体"/>
                <w:vanish/>
              </w:rPr>
            </w:pPr>
          </w:p>
        </w:tc>
        <w:tc>
          <w:tcPr>
            <w:tcW w:w="0" w:type="auto"/>
            <w:shd w:val="clear" w:color="auto" w:fill="auto"/>
            <w:vAlign w:val="center"/>
          </w:tcPr>
          <w:p w14:paraId="64A89C46" w14:textId="77777777" w:rsidR="008D6614" w:rsidRDefault="008D6614">
            <w:pPr>
              <w:rPr>
                <w:rFonts w:ascii="宋体"/>
                <w:vanish/>
              </w:rPr>
            </w:pPr>
          </w:p>
        </w:tc>
        <w:tc>
          <w:tcPr>
            <w:tcW w:w="0" w:type="auto"/>
            <w:shd w:val="clear" w:color="auto" w:fill="auto"/>
            <w:vAlign w:val="center"/>
          </w:tcPr>
          <w:p w14:paraId="64A89C47" w14:textId="77777777" w:rsidR="008D6614" w:rsidRDefault="008D6614">
            <w:pPr>
              <w:rPr>
                <w:rFonts w:ascii="宋体"/>
                <w:vanish/>
              </w:rPr>
            </w:pPr>
          </w:p>
        </w:tc>
        <w:tc>
          <w:tcPr>
            <w:tcW w:w="0" w:type="auto"/>
            <w:shd w:val="clear" w:color="auto" w:fill="auto"/>
            <w:vAlign w:val="center"/>
          </w:tcPr>
          <w:p w14:paraId="64A89C48" w14:textId="77777777" w:rsidR="008D6614" w:rsidRDefault="008D6614">
            <w:pPr>
              <w:rPr>
                <w:rFonts w:ascii="宋体"/>
                <w:vanish/>
              </w:rPr>
            </w:pPr>
          </w:p>
        </w:tc>
        <w:tc>
          <w:tcPr>
            <w:tcW w:w="0" w:type="auto"/>
            <w:gridSpan w:val="3"/>
            <w:shd w:val="clear" w:color="auto" w:fill="auto"/>
            <w:vAlign w:val="center"/>
          </w:tcPr>
          <w:p w14:paraId="64A89C49" w14:textId="77777777" w:rsidR="008D6614" w:rsidRDefault="008D6614">
            <w:pPr>
              <w:rPr>
                <w:rFonts w:ascii="宋体"/>
                <w:vanish/>
              </w:rPr>
            </w:pPr>
          </w:p>
        </w:tc>
        <w:tc>
          <w:tcPr>
            <w:tcW w:w="0" w:type="auto"/>
            <w:gridSpan w:val="3"/>
            <w:shd w:val="clear" w:color="auto" w:fill="auto"/>
            <w:vAlign w:val="center"/>
          </w:tcPr>
          <w:p w14:paraId="64A89C4A" w14:textId="77777777" w:rsidR="008D6614" w:rsidRDefault="008D6614">
            <w:pPr>
              <w:rPr>
                <w:rFonts w:ascii="宋体"/>
                <w:vanish/>
              </w:rPr>
            </w:pPr>
          </w:p>
        </w:tc>
        <w:tc>
          <w:tcPr>
            <w:tcW w:w="0" w:type="auto"/>
            <w:gridSpan w:val="3"/>
            <w:shd w:val="clear" w:color="auto" w:fill="auto"/>
            <w:vAlign w:val="center"/>
          </w:tcPr>
          <w:p w14:paraId="64A89C4B" w14:textId="77777777" w:rsidR="008D6614" w:rsidRDefault="008D6614">
            <w:pPr>
              <w:rPr>
                <w:rFonts w:ascii="宋体"/>
                <w:vanish/>
              </w:rPr>
            </w:pPr>
          </w:p>
        </w:tc>
        <w:tc>
          <w:tcPr>
            <w:tcW w:w="0" w:type="auto"/>
            <w:gridSpan w:val="3"/>
            <w:shd w:val="clear" w:color="auto" w:fill="auto"/>
            <w:vAlign w:val="center"/>
          </w:tcPr>
          <w:p w14:paraId="64A89C4C" w14:textId="77777777" w:rsidR="008D6614" w:rsidRDefault="008D6614">
            <w:pPr>
              <w:rPr>
                <w:rFonts w:ascii="宋体"/>
                <w:vanish/>
              </w:rPr>
            </w:pPr>
          </w:p>
        </w:tc>
        <w:tc>
          <w:tcPr>
            <w:tcW w:w="0" w:type="auto"/>
            <w:shd w:val="clear" w:color="auto" w:fill="auto"/>
            <w:vAlign w:val="center"/>
          </w:tcPr>
          <w:p w14:paraId="64A89C4D" w14:textId="77777777" w:rsidR="008D6614" w:rsidRDefault="008D6614">
            <w:pPr>
              <w:rPr>
                <w:rFonts w:ascii="宋体"/>
              </w:rPr>
            </w:pPr>
          </w:p>
        </w:tc>
        <w:tc>
          <w:tcPr>
            <w:tcW w:w="0" w:type="auto"/>
            <w:shd w:val="clear" w:color="auto" w:fill="auto"/>
            <w:vAlign w:val="center"/>
          </w:tcPr>
          <w:p w14:paraId="64A89C4E" w14:textId="77777777" w:rsidR="008D6614" w:rsidRDefault="008D6614">
            <w:pPr>
              <w:rPr>
                <w:rFonts w:ascii="宋体"/>
              </w:rPr>
            </w:pPr>
          </w:p>
        </w:tc>
        <w:tc>
          <w:tcPr>
            <w:tcW w:w="0" w:type="auto"/>
            <w:shd w:val="clear" w:color="auto" w:fill="auto"/>
            <w:vAlign w:val="center"/>
          </w:tcPr>
          <w:p w14:paraId="64A89C4F" w14:textId="77777777" w:rsidR="008D6614" w:rsidRDefault="008D6614">
            <w:pPr>
              <w:rPr>
                <w:rFonts w:ascii="宋体"/>
              </w:rPr>
            </w:pPr>
          </w:p>
        </w:tc>
        <w:tc>
          <w:tcPr>
            <w:tcW w:w="0" w:type="auto"/>
            <w:shd w:val="clear" w:color="auto" w:fill="auto"/>
            <w:vAlign w:val="center"/>
          </w:tcPr>
          <w:p w14:paraId="64A89C50" w14:textId="77777777" w:rsidR="008D6614" w:rsidRDefault="008D6614">
            <w:pPr>
              <w:rPr>
                <w:rFonts w:ascii="宋体"/>
              </w:rPr>
            </w:pPr>
          </w:p>
        </w:tc>
        <w:tc>
          <w:tcPr>
            <w:tcW w:w="0" w:type="auto"/>
            <w:shd w:val="clear" w:color="auto" w:fill="auto"/>
            <w:vAlign w:val="center"/>
          </w:tcPr>
          <w:p w14:paraId="64A89C51" w14:textId="77777777" w:rsidR="008D6614" w:rsidRDefault="008D6614">
            <w:pPr>
              <w:rPr>
                <w:rFonts w:ascii="宋体"/>
              </w:rPr>
            </w:pPr>
          </w:p>
        </w:tc>
        <w:tc>
          <w:tcPr>
            <w:tcW w:w="0" w:type="auto"/>
            <w:shd w:val="clear" w:color="auto" w:fill="auto"/>
            <w:vAlign w:val="center"/>
          </w:tcPr>
          <w:p w14:paraId="64A89C52" w14:textId="77777777" w:rsidR="008D6614" w:rsidRDefault="008D6614">
            <w:pPr>
              <w:rPr>
                <w:rFonts w:ascii="宋体"/>
              </w:rPr>
            </w:pPr>
          </w:p>
        </w:tc>
      </w:tr>
      <w:tr w:rsidR="008D6614" w14:paraId="64A89C62" w14:textId="77777777">
        <w:trPr>
          <w:jc w:val="center"/>
          <w:hidden/>
        </w:trPr>
        <w:tc>
          <w:tcPr>
            <w:tcW w:w="0" w:type="auto"/>
            <w:gridSpan w:val="3"/>
            <w:shd w:val="clear" w:color="auto" w:fill="auto"/>
            <w:vAlign w:val="center"/>
          </w:tcPr>
          <w:p w14:paraId="64A89C54" w14:textId="77777777" w:rsidR="008D6614" w:rsidRDefault="008D6614">
            <w:pPr>
              <w:rPr>
                <w:rFonts w:ascii="宋体"/>
                <w:vanish/>
              </w:rPr>
            </w:pPr>
          </w:p>
        </w:tc>
        <w:tc>
          <w:tcPr>
            <w:tcW w:w="0" w:type="auto"/>
            <w:shd w:val="clear" w:color="auto" w:fill="auto"/>
            <w:vAlign w:val="center"/>
          </w:tcPr>
          <w:p w14:paraId="64A89C55" w14:textId="77777777" w:rsidR="008D6614" w:rsidRDefault="008D6614">
            <w:pPr>
              <w:rPr>
                <w:rFonts w:ascii="宋体"/>
                <w:vanish/>
              </w:rPr>
            </w:pPr>
          </w:p>
        </w:tc>
        <w:tc>
          <w:tcPr>
            <w:tcW w:w="0" w:type="auto"/>
            <w:shd w:val="clear" w:color="auto" w:fill="auto"/>
            <w:vAlign w:val="center"/>
          </w:tcPr>
          <w:p w14:paraId="64A89C56" w14:textId="77777777" w:rsidR="008D6614" w:rsidRDefault="008D6614">
            <w:pPr>
              <w:rPr>
                <w:rFonts w:ascii="宋体"/>
                <w:vanish/>
              </w:rPr>
            </w:pPr>
          </w:p>
        </w:tc>
        <w:tc>
          <w:tcPr>
            <w:tcW w:w="0" w:type="auto"/>
            <w:shd w:val="clear" w:color="auto" w:fill="auto"/>
            <w:vAlign w:val="center"/>
          </w:tcPr>
          <w:p w14:paraId="64A89C57" w14:textId="77777777" w:rsidR="008D6614" w:rsidRDefault="008D6614">
            <w:pPr>
              <w:rPr>
                <w:rFonts w:ascii="宋体"/>
                <w:vanish/>
              </w:rPr>
            </w:pPr>
          </w:p>
        </w:tc>
        <w:tc>
          <w:tcPr>
            <w:tcW w:w="0" w:type="auto"/>
            <w:gridSpan w:val="3"/>
            <w:shd w:val="clear" w:color="auto" w:fill="auto"/>
            <w:vAlign w:val="center"/>
          </w:tcPr>
          <w:p w14:paraId="64A89C58" w14:textId="77777777" w:rsidR="008D6614" w:rsidRDefault="008D6614">
            <w:pPr>
              <w:rPr>
                <w:rFonts w:ascii="宋体"/>
                <w:vanish/>
              </w:rPr>
            </w:pPr>
          </w:p>
        </w:tc>
        <w:tc>
          <w:tcPr>
            <w:tcW w:w="0" w:type="auto"/>
            <w:gridSpan w:val="3"/>
            <w:shd w:val="clear" w:color="auto" w:fill="auto"/>
            <w:vAlign w:val="center"/>
          </w:tcPr>
          <w:p w14:paraId="64A89C59" w14:textId="77777777" w:rsidR="008D6614" w:rsidRDefault="008D6614">
            <w:pPr>
              <w:rPr>
                <w:rFonts w:ascii="宋体"/>
                <w:vanish/>
              </w:rPr>
            </w:pPr>
          </w:p>
        </w:tc>
        <w:tc>
          <w:tcPr>
            <w:tcW w:w="0" w:type="auto"/>
            <w:gridSpan w:val="3"/>
            <w:shd w:val="clear" w:color="auto" w:fill="auto"/>
            <w:vAlign w:val="center"/>
          </w:tcPr>
          <w:p w14:paraId="64A89C5A" w14:textId="77777777" w:rsidR="008D6614" w:rsidRDefault="008D6614">
            <w:pPr>
              <w:rPr>
                <w:rFonts w:ascii="宋体"/>
                <w:vanish/>
              </w:rPr>
            </w:pPr>
          </w:p>
        </w:tc>
        <w:tc>
          <w:tcPr>
            <w:tcW w:w="0" w:type="auto"/>
            <w:gridSpan w:val="3"/>
            <w:shd w:val="clear" w:color="auto" w:fill="auto"/>
            <w:vAlign w:val="center"/>
          </w:tcPr>
          <w:p w14:paraId="64A89C5B" w14:textId="77777777" w:rsidR="008D6614" w:rsidRDefault="008D6614">
            <w:pPr>
              <w:rPr>
                <w:rFonts w:ascii="宋体"/>
                <w:vanish/>
              </w:rPr>
            </w:pPr>
          </w:p>
        </w:tc>
        <w:tc>
          <w:tcPr>
            <w:tcW w:w="0" w:type="auto"/>
            <w:shd w:val="clear" w:color="auto" w:fill="auto"/>
            <w:vAlign w:val="center"/>
          </w:tcPr>
          <w:p w14:paraId="64A89C5C" w14:textId="77777777" w:rsidR="008D6614" w:rsidRDefault="008D6614">
            <w:pPr>
              <w:rPr>
                <w:rFonts w:ascii="宋体"/>
              </w:rPr>
            </w:pPr>
          </w:p>
        </w:tc>
        <w:tc>
          <w:tcPr>
            <w:tcW w:w="0" w:type="auto"/>
            <w:shd w:val="clear" w:color="auto" w:fill="auto"/>
            <w:vAlign w:val="center"/>
          </w:tcPr>
          <w:p w14:paraId="64A89C5D" w14:textId="77777777" w:rsidR="008D6614" w:rsidRDefault="008D6614">
            <w:pPr>
              <w:rPr>
                <w:rFonts w:ascii="宋体"/>
              </w:rPr>
            </w:pPr>
          </w:p>
        </w:tc>
        <w:tc>
          <w:tcPr>
            <w:tcW w:w="0" w:type="auto"/>
            <w:shd w:val="clear" w:color="auto" w:fill="auto"/>
            <w:vAlign w:val="center"/>
          </w:tcPr>
          <w:p w14:paraId="64A89C5E" w14:textId="77777777" w:rsidR="008D6614" w:rsidRDefault="008D6614">
            <w:pPr>
              <w:rPr>
                <w:rFonts w:ascii="宋体"/>
              </w:rPr>
            </w:pPr>
          </w:p>
        </w:tc>
        <w:tc>
          <w:tcPr>
            <w:tcW w:w="0" w:type="auto"/>
            <w:shd w:val="clear" w:color="auto" w:fill="auto"/>
            <w:vAlign w:val="center"/>
          </w:tcPr>
          <w:p w14:paraId="64A89C5F" w14:textId="77777777" w:rsidR="008D6614" w:rsidRDefault="008D6614">
            <w:pPr>
              <w:rPr>
                <w:rFonts w:ascii="宋体"/>
              </w:rPr>
            </w:pPr>
          </w:p>
        </w:tc>
        <w:tc>
          <w:tcPr>
            <w:tcW w:w="0" w:type="auto"/>
            <w:shd w:val="clear" w:color="auto" w:fill="auto"/>
            <w:vAlign w:val="center"/>
          </w:tcPr>
          <w:p w14:paraId="64A89C60" w14:textId="77777777" w:rsidR="008D6614" w:rsidRDefault="008D6614">
            <w:pPr>
              <w:rPr>
                <w:rFonts w:ascii="宋体"/>
              </w:rPr>
            </w:pPr>
          </w:p>
        </w:tc>
        <w:tc>
          <w:tcPr>
            <w:tcW w:w="0" w:type="auto"/>
            <w:shd w:val="clear" w:color="auto" w:fill="auto"/>
            <w:vAlign w:val="center"/>
          </w:tcPr>
          <w:p w14:paraId="64A89C61" w14:textId="77777777" w:rsidR="008D6614" w:rsidRDefault="008D6614">
            <w:pPr>
              <w:rPr>
                <w:rFonts w:ascii="宋体"/>
              </w:rPr>
            </w:pPr>
          </w:p>
        </w:tc>
      </w:tr>
      <w:tr w:rsidR="008D6614" w14:paraId="64A89C73" w14:textId="77777777">
        <w:trPr>
          <w:jc w:val="center"/>
        </w:trPr>
        <w:tc>
          <w:tcPr>
            <w:tcW w:w="0" w:type="auto"/>
            <w:gridSpan w:val="3"/>
            <w:shd w:val="clear" w:color="auto" w:fill="FFFFFF"/>
            <w:tcMar>
              <w:top w:w="40" w:type="dxa"/>
              <w:left w:w="135" w:type="dxa"/>
              <w:bottom w:w="40" w:type="dxa"/>
              <w:right w:w="20" w:type="dxa"/>
            </w:tcMar>
            <w:vAlign w:val="bottom"/>
          </w:tcPr>
          <w:p w14:paraId="64A89C63" w14:textId="77777777" w:rsidR="008D6614" w:rsidRDefault="00866AF2">
            <w:pPr>
              <w:textAlignment w:val="bottom"/>
            </w:pPr>
            <w:r>
              <w:rPr>
                <w:rFonts w:ascii="Arial" w:eastAsia="宋体" w:hAnsi="Arial" w:cs="Arial"/>
                <w:color w:val="000000"/>
                <w:sz w:val="18"/>
                <w:szCs w:val="18"/>
              </w:rPr>
              <w:t>Foreign currency translation and other</w:t>
            </w:r>
          </w:p>
        </w:tc>
        <w:tc>
          <w:tcPr>
            <w:tcW w:w="0" w:type="auto"/>
            <w:shd w:val="clear" w:color="auto" w:fill="auto"/>
            <w:vAlign w:val="center"/>
          </w:tcPr>
          <w:p w14:paraId="64A89C64" w14:textId="77777777" w:rsidR="008D6614" w:rsidRDefault="008D6614">
            <w:pPr>
              <w:rPr>
                <w:rFonts w:ascii="宋体"/>
                <w:vanish/>
              </w:rPr>
            </w:pPr>
          </w:p>
        </w:tc>
        <w:tc>
          <w:tcPr>
            <w:tcW w:w="0" w:type="auto"/>
            <w:shd w:val="clear" w:color="auto" w:fill="auto"/>
            <w:vAlign w:val="center"/>
          </w:tcPr>
          <w:p w14:paraId="64A89C65" w14:textId="77777777" w:rsidR="008D6614" w:rsidRDefault="008D6614">
            <w:pPr>
              <w:rPr>
                <w:rFonts w:ascii="宋体"/>
                <w:vanish/>
              </w:rPr>
            </w:pPr>
          </w:p>
        </w:tc>
        <w:tc>
          <w:tcPr>
            <w:tcW w:w="0" w:type="auto"/>
            <w:shd w:val="clear" w:color="auto" w:fill="auto"/>
            <w:vAlign w:val="center"/>
          </w:tcPr>
          <w:p w14:paraId="64A89C66"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C6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C68" w14:textId="77777777" w:rsidR="008D6614" w:rsidRDefault="00866AF2">
            <w:pPr>
              <w:jc w:val="right"/>
              <w:textAlignment w:val="bottom"/>
            </w:pPr>
            <w:r>
              <w:rPr>
                <w:rFonts w:ascii="Arial" w:eastAsia="宋体" w:hAnsi="Arial" w:cs="Arial"/>
                <w:color w:val="000000"/>
                <w:sz w:val="18"/>
                <w:szCs w:val="18"/>
              </w:rPr>
              <w:t>(11)</w:t>
            </w:r>
          </w:p>
        </w:tc>
        <w:tc>
          <w:tcPr>
            <w:tcW w:w="0" w:type="auto"/>
            <w:shd w:val="clear" w:color="auto" w:fill="FFFFFF"/>
            <w:tcMar>
              <w:top w:w="40" w:type="dxa"/>
              <w:bottom w:w="40" w:type="dxa"/>
              <w:right w:w="20" w:type="dxa"/>
            </w:tcMar>
            <w:vAlign w:val="bottom"/>
          </w:tcPr>
          <w:p w14:paraId="64A89C6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C6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C6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C6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C6D" w14:textId="77777777" w:rsidR="008D6614" w:rsidRDefault="008D6614">
            <w:pPr>
              <w:rPr>
                <w:rFonts w:ascii="宋体"/>
              </w:rPr>
            </w:pPr>
          </w:p>
        </w:tc>
        <w:tc>
          <w:tcPr>
            <w:tcW w:w="0" w:type="auto"/>
            <w:shd w:val="clear" w:color="auto" w:fill="auto"/>
            <w:vAlign w:val="center"/>
          </w:tcPr>
          <w:p w14:paraId="64A89C6E" w14:textId="77777777" w:rsidR="008D6614" w:rsidRDefault="008D6614">
            <w:pPr>
              <w:rPr>
                <w:rFonts w:ascii="宋体"/>
              </w:rPr>
            </w:pPr>
          </w:p>
        </w:tc>
        <w:tc>
          <w:tcPr>
            <w:tcW w:w="0" w:type="auto"/>
            <w:shd w:val="clear" w:color="auto" w:fill="auto"/>
            <w:vAlign w:val="center"/>
          </w:tcPr>
          <w:p w14:paraId="64A89C6F" w14:textId="77777777" w:rsidR="008D6614" w:rsidRDefault="008D6614">
            <w:pPr>
              <w:rPr>
                <w:rFonts w:ascii="宋体"/>
              </w:rPr>
            </w:pPr>
          </w:p>
        </w:tc>
        <w:tc>
          <w:tcPr>
            <w:tcW w:w="0" w:type="auto"/>
            <w:shd w:val="clear" w:color="auto" w:fill="auto"/>
            <w:vAlign w:val="center"/>
          </w:tcPr>
          <w:p w14:paraId="64A89C70" w14:textId="77777777" w:rsidR="008D6614" w:rsidRDefault="008D6614">
            <w:pPr>
              <w:rPr>
                <w:rFonts w:ascii="宋体"/>
              </w:rPr>
            </w:pPr>
          </w:p>
        </w:tc>
        <w:tc>
          <w:tcPr>
            <w:tcW w:w="0" w:type="auto"/>
            <w:shd w:val="clear" w:color="auto" w:fill="auto"/>
            <w:vAlign w:val="center"/>
          </w:tcPr>
          <w:p w14:paraId="64A89C71" w14:textId="77777777" w:rsidR="008D6614" w:rsidRDefault="008D6614">
            <w:pPr>
              <w:rPr>
                <w:rFonts w:ascii="宋体"/>
              </w:rPr>
            </w:pPr>
          </w:p>
        </w:tc>
        <w:tc>
          <w:tcPr>
            <w:tcW w:w="0" w:type="auto"/>
            <w:shd w:val="clear" w:color="auto" w:fill="auto"/>
            <w:vAlign w:val="center"/>
          </w:tcPr>
          <w:p w14:paraId="64A89C72" w14:textId="77777777" w:rsidR="008D6614" w:rsidRDefault="008D6614">
            <w:pPr>
              <w:rPr>
                <w:rFonts w:ascii="宋体"/>
              </w:rPr>
            </w:pPr>
          </w:p>
        </w:tc>
      </w:tr>
      <w:tr w:rsidR="008D6614" w14:paraId="64A89C86" w14:textId="77777777">
        <w:trPr>
          <w:jc w:val="center"/>
        </w:trPr>
        <w:tc>
          <w:tcPr>
            <w:tcW w:w="0" w:type="auto"/>
            <w:gridSpan w:val="3"/>
            <w:shd w:val="clear" w:color="auto" w:fill="E2E2E2"/>
            <w:tcMar>
              <w:top w:w="40" w:type="dxa"/>
              <w:left w:w="20" w:type="dxa"/>
              <w:bottom w:w="40" w:type="dxa"/>
              <w:right w:w="20" w:type="dxa"/>
            </w:tcMar>
            <w:vAlign w:val="bottom"/>
          </w:tcPr>
          <w:p w14:paraId="64A89C74" w14:textId="77777777" w:rsidR="008D6614" w:rsidRDefault="00866AF2">
            <w:pPr>
              <w:textAlignment w:val="bottom"/>
            </w:pPr>
            <w:r>
              <w:rPr>
                <w:rFonts w:ascii="Arial" w:eastAsia="宋体" w:hAnsi="Arial" w:cs="Arial"/>
                <w:color w:val="000000"/>
                <w:sz w:val="18"/>
                <w:szCs w:val="18"/>
              </w:rPr>
              <w:t>Carrying value, end of period</w:t>
            </w:r>
          </w:p>
        </w:tc>
        <w:tc>
          <w:tcPr>
            <w:tcW w:w="0" w:type="auto"/>
            <w:shd w:val="clear" w:color="auto" w:fill="auto"/>
            <w:vAlign w:val="center"/>
          </w:tcPr>
          <w:p w14:paraId="64A89C75" w14:textId="77777777" w:rsidR="008D6614" w:rsidRDefault="008D6614">
            <w:pPr>
              <w:rPr>
                <w:rFonts w:ascii="宋体"/>
                <w:vanish/>
              </w:rPr>
            </w:pPr>
          </w:p>
        </w:tc>
        <w:tc>
          <w:tcPr>
            <w:tcW w:w="0" w:type="auto"/>
            <w:shd w:val="clear" w:color="auto" w:fill="auto"/>
            <w:vAlign w:val="center"/>
          </w:tcPr>
          <w:p w14:paraId="64A89C76" w14:textId="77777777" w:rsidR="008D6614" w:rsidRDefault="008D6614">
            <w:pPr>
              <w:rPr>
                <w:rFonts w:ascii="宋体"/>
                <w:vanish/>
              </w:rPr>
            </w:pPr>
          </w:p>
        </w:tc>
        <w:tc>
          <w:tcPr>
            <w:tcW w:w="0" w:type="auto"/>
            <w:shd w:val="clear" w:color="auto" w:fill="auto"/>
            <w:vAlign w:val="center"/>
          </w:tcPr>
          <w:p w14:paraId="64A89C77"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C78"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C7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C7A" w14:textId="77777777" w:rsidR="008D6614" w:rsidRDefault="00866AF2">
            <w:pPr>
              <w:jc w:val="right"/>
              <w:textAlignment w:val="bottom"/>
            </w:pPr>
            <w:r>
              <w:rPr>
                <w:rFonts w:ascii="Arial" w:eastAsia="宋体" w:hAnsi="Arial" w:cs="Arial"/>
                <w:color w:val="000000"/>
                <w:sz w:val="18"/>
                <w:szCs w:val="18"/>
              </w:rPr>
              <w:t>326 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C7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C7C"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C7D"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C7E" w14:textId="77777777" w:rsidR="008D6614" w:rsidRDefault="00866AF2">
            <w:pPr>
              <w:jc w:val="right"/>
              <w:textAlignment w:val="bottom"/>
            </w:pPr>
            <w:r>
              <w:rPr>
                <w:rFonts w:ascii="Arial" w:eastAsia="宋体" w:hAnsi="Arial" w:cs="Arial"/>
                <w:color w:val="000000"/>
                <w:sz w:val="18"/>
                <w:szCs w:val="18"/>
              </w:rPr>
              <w:t>137 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C7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C80" w14:textId="77777777" w:rsidR="008D6614" w:rsidRDefault="008D6614">
            <w:pPr>
              <w:rPr>
                <w:rFonts w:ascii="宋体"/>
              </w:rPr>
            </w:pPr>
          </w:p>
        </w:tc>
        <w:tc>
          <w:tcPr>
            <w:tcW w:w="0" w:type="auto"/>
            <w:shd w:val="clear" w:color="auto" w:fill="auto"/>
            <w:vAlign w:val="center"/>
          </w:tcPr>
          <w:p w14:paraId="64A89C81" w14:textId="77777777" w:rsidR="008D6614" w:rsidRDefault="008D6614">
            <w:pPr>
              <w:rPr>
                <w:rFonts w:ascii="宋体"/>
              </w:rPr>
            </w:pPr>
          </w:p>
        </w:tc>
        <w:tc>
          <w:tcPr>
            <w:tcW w:w="0" w:type="auto"/>
            <w:shd w:val="clear" w:color="auto" w:fill="auto"/>
            <w:vAlign w:val="center"/>
          </w:tcPr>
          <w:p w14:paraId="64A89C82" w14:textId="77777777" w:rsidR="008D6614" w:rsidRDefault="008D6614">
            <w:pPr>
              <w:rPr>
                <w:rFonts w:ascii="宋体"/>
              </w:rPr>
            </w:pPr>
          </w:p>
        </w:tc>
        <w:tc>
          <w:tcPr>
            <w:tcW w:w="0" w:type="auto"/>
            <w:shd w:val="clear" w:color="auto" w:fill="auto"/>
            <w:vAlign w:val="center"/>
          </w:tcPr>
          <w:p w14:paraId="64A89C83" w14:textId="77777777" w:rsidR="008D6614" w:rsidRDefault="008D6614">
            <w:pPr>
              <w:rPr>
                <w:rFonts w:ascii="宋体"/>
              </w:rPr>
            </w:pPr>
          </w:p>
        </w:tc>
        <w:tc>
          <w:tcPr>
            <w:tcW w:w="0" w:type="auto"/>
            <w:shd w:val="clear" w:color="auto" w:fill="auto"/>
            <w:vAlign w:val="center"/>
          </w:tcPr>
          <w:p w14:paraId="64A89C84" w14:textId="77777777" w:rsidR="008D6614" w:rsidRDefault="008D6614">
            <w:pPr>
              <w:rPr>
                <w:rFonts w:ascii="宋体"/>
              </w:rPr>
            </w:pPr>
          </w:p>
        </w:tc>
        <w:tc>
          <w:tcPr>
            <w:tcW w:w="0" w:type="auto"/>
            <w:shd w:val="clear" w:color="auto" w:fill="auto"/>
            <w:vAlign w:val="center"/>
          </w:tcPr>
          <w:p w14:paraId="64A89C85" w14:textId="77777777" w:rsidR="008D6614" w:rsidRDefault="008D6614">
            <w:pPr>
              <w:rPr>
                <w:rFonts w:ascii="宋体"/>
              </w:rPr>
            </w:pPr>
          </w:p>
        </w:tc>
      </w:tr>
    </w:tbl>
    <w:p w14:paraId="64A89C87" w14:textId="77777777" w:rsidR="008D6614" w:rsidRDefault="008D6614">
      <w:pPr>
        <w:jc w:val="both"/>
      </w:pPr>
    </w:p>
    <w:p w14:paraId="64A89C88" w14:textId="77777777" w:rsidR="008D6614" w:rsidRDefault="00866AF2">
      <w:pPr>
        <w:ind w:firstLine="540"/>
        <w:jc w:val="both"/>
      </w:pPr>
      <w:r>
        <w:rPr>
          <w:rFonts w:ascii="Arial" w:eastAsia="宋体" w:hAnsi="Arial" w:cs="Arial"/>
          <w:color w:val="000000"/>
          <w:sz w:val="20"/>
          <w:szCs w:val="20"/>
        </w:rPr>
        <w:t xml:space="preserve">For such equity investments without readily determinable fair values still held at March 31, 2020, cumulative downward adjustments for price changes and impairment was $81 million. There have been no upward adjustments for price changes </w:t>
      </w:r>
      <w:r>
        <w:rPr>
          <w:rFonts w:ascii="Arial" w:eastAsia="宋体" w:hAnsi="Arial" w:cs="Arial"/>
          <w:color w:val="000000"/>
          <w:sz w:val="20"/>
          <w:szCs w:val="20"/>
        </w:rPr>
        <w:t>to our equity investments without readily determinable fair values still held at March 31, 2020.</w:t>
      </w:r>
    </w:p>
    <w:p w14:paraId="64A89C89" w14:textId="77777777" w:rsidR="008D6614" w:rsidRDefault="008D6614">
      <w:pPr>
        <w:jc w:val="both"/>
      </w:pPr>
    </w:p>
    <w:p w14:paraId="64A89C8A" w14:textId="77777777" w:rsidR="008D6614" w:rsidRDefault="008D6614">
      <w:pPr>
        <w:jc w:val="center"/>
      </w:pPr>
    </w:p>
    <w:p w14:paraId="64A89C8B" w14:textId="77777777" w:rsidR="008D6614" w:rsidRDefault="00866AF2">
      <w:pPr>
        <w:jc w:val="center"/>
      </w:pPr>
      <w:r>
        <w:rPr>
          <w:rFonts w:ascii="Arial" w:eastAsia="宋体" w:hAnsi="Arial" w:cs="Arial"/>
          <w:color w:val="000000"/>
          <w:sz w:val="20"/>
          <w:szCs w:val="20"/>
        </w:rPr>
        <w:t>17</w:t>
      </w:r>
    </w:p>
    <w:p w14:paraId="64A89C8C" w14:textId="77777777" w:rsidR="008D6614" w:rsidRDefault="00866AF2">
      <w:r>
        <w:pict w14:anchorId="64A8B9EE">
          <v:rect id="_x0000_i1041" style="width:415.3pt;height:1.5pt" o:hralign="center" o:hrstd="t" o:hr="t" fillcolor="#a0a0a0" stroked="f"/>
        </w:pict>
      </w:r>
    </w:p>
    <w:p w14:paraId="64A89C8D" w14:textId="77777777" w:rsidR="008D6614" w:rsidRDefault="008D6614">
      <w:pPr>
        <w:jc w:val="center"/>
      </w:pPr>
    </w:p>
    <w:p w14:paraId="64A89C8E" w14:textId="77777777" w:rsidR="008D6614" w:rsidRDefault="00866AF2">
      <w:pPr>
        <w:jc w:val="center"/>
      </w:pPr>
      <w:r>
        <w:rPr>
          <w:rFonts w:ascii="Arial" w:eastAsia="宋体" w:hAnsi="Arial" w:cs="Arial"/>
          <w:b/>
          <w:bCs/>
          <w:color w:val="000000"/>
          <w:sz w:val="20"/>
          <w:szCs w:val="20"/>
        </w:rPr>
        <w:t>eBay Inc.</w:t>
      </w:r>
    </w:p>
    <w:p w14:paraId="64A89C8F"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9C90" w14:textId="77777777" w:rsidR="008D6614" w:rsidRDefault="00866AF2">
      <w:r>
        <w:rPr>
          <w:rFonts w:ascii="Arial" w:eastAsia="宋体" w:hAnsi="Arial" w:cs="Arial"/>
          <w:b/>
          <w:bCs/>
          <w:color w:val="000000"/>
          <w:sz w:val="20"/>
          <w:szCs w:val="20"/>
        </w:rPr>
        <w:t xml:space="preserve">Note 8 — Derivative Instruments </w:t>
      </w:r>
    </w:p>
    <w:p w14:paraId="64A89C91" w14:textId="77777777" w:rsidR="008D6614" w:rsidRDefault="008D6614"/>
    <w:p w14:paraId="64A89C92" w14:textId="77777777" w:rsidR="008D6614" w:rsidRDefault="00866AF2">
      <w:pPr>
        <w:ind w:firstLine="540"/>
        <w:jc w:val="both"/>
      </w:pPr>
      <w:r>
        <w:rPr>
          <w:rFonts w:ascii="Arial" w:eastAsia="宋体" w:hAnsi="Arial" w:cs="Arial"/>
          <w:color w:val="000000"/>
          <w:sz w:val="20"/>
          <w:szCs w:val="20"/>
        </w:rPr>
        <w:t xml:space="preserve">Our primary objective in holding </w:t>
      </w:r>
      <w:r>
        <w:rPr>
          <w:rFonts w:ascii="Arial" w:eastAsia="宋体" w:hAnsi="Arial" w:cs="Arial"/>
          <w:color w:val="000000"/>
          <w:sz w:val="20"/>
          <w:szCs w:val="20"/>
        </w:rPr>
        <w:t>derivatives is to reduce the volatility of earnings and cash flows associated with changes in foreign currency exchange rates and interest rates. These hedging contracts reduce, but do not entirely eliminate, the impact of adverse foreign exchange rate and</w:t>
      </w:r>
      <w:r>
        <w:rPr>
          <w:rFonts w:ascii="Arial" w:eastAsia="宋体" w:hAnsi="Arial" w:cs="Arial"/>
          <w:color w:val="000000"/>
          <w:sz w:val="20"/>
          <w:szCs w:val="20"/>
        </w:rPr>
        <w:t xml:space="preserve"> interest rate movements. We do not use any of our derivative instruments for trading purposes.</w:t>
      </w:r>
    </w:p>
    <w:p w14:paraId="64A89C93" w14:textId="77777777" w:rsidR="008D6614" w:rsidRDefault="008D6614">
      <w:pPr>
        <w:ind w:firstLine="540"/>
        <w:jc w:val="both"/>
      </w:pPr>
    </w:p>
    <w:p w14:paraId="64A89C94" w14:textId="77777777" w:rsidR="008D6614" w:rsidRDefault="00866AF2">
      <w:pPr>
        <w:ind w:firstLine="540"/>
        <w:jc w:val="both"/>
      </w:pPr>
      <w:r>
        <w:rPr>
          <w:rFonts w:ascii="Arial" w:eastAsia="宋体" w:hAnsi="Arial" w:cs="Arial"/>
          <w:color w:val="000000"/>
          <w:sz w:val="20"/>
          <w:szCs w:val="20"/>
        </w:rPr>
        <w:t>We use foreign currency exchange contracts to reduce the volatility of cash flows related to forecasted revenues, expenses, assets and liabilities, including i</w:t>
      </w:r>
      <w:r>
        <w:rPr>
          <w:rFonts w:ascii="Arial" w:eastAsia="宋体" w:hAnsi="Arial" w:cs="Arial"/>
          <w:color w:val="000000"/>
          <w:sz w:val="20"/>
          <w:szCs w:val="20"/>
        </w:rPr>
        <w:t>ntercompany balances denominated in foreign currencies. These contracts are generally one month to one year in duration but with maturities up to 24 months. The objective of the foreign exchange contracts is to better ensure that ultimately the U.S. dollar</w:t>
      </w:r>
      <w:r>
        <w:rPr>
          <w:rFonts w:ascii="Arial" w:eastAsia="宋体" w:hAnsi="Arial" w:cs="Arial"/>
          <w:color w:val="000000"/>
          <w:sz w:val="20"/>
          <w:szCs w:val="20"/>
        </w:rPr>
        <w:t>-equivalent cash flows are not adversely affected by changes in the applicable U.S. dollar/foreign currency exchange rate. We evaluate the effectiveness of our foreign exchange contracts designated as cash flow or net investment hedges on a quarterly basis</w:t>
      </w:r>
      <w:r>
        <w:rPr>
          <w:rFonts w:ascii="Arial" w:eastAsia="宋体" w:hAnsi="Arial" w:cs="Arial"/>
          <w:color w:val="000000"/>
          <w:sz w:val="20"/>
          <w:szCs w:val="20"/>
        </w:rPr>
        <w:t xml:space="preserve">. </w:t>
      </w:r>
    </w:p>
    <w:p w14:paraId="64A89C95" w14:textId="77777777" w:rsidR="008D6614" w:rsidRDefault="008D6614">
      <w:pPr>
        <w:ind w:firstLine="540"/>
        <w:jc w:val="both"/>
      </w:pPr>
    </w:p>
    <w:p w14:paraId="64A89C96" w14:textId="77777777" w:rsidR="008D6614" w:rsidRDefault="00866AF2">
      <w:pPr>
        <w:ind w:firstLine="540"/>
        <w:jc w:val="both"/>
      </w:pPr>
      <w:r>
        <w:rPr>
          <w:rFonts w:ascii="Arial" w:eastAsia="宋体" w:hAnsi="Arial" w:cs="Arial"/>
          <w:color w:val="000000"/>
          <w:sz w:val="20"/>
          <w:szCs w:val="20"/>
        </w:rPr>
        <w:t>During the first quarter of 2020, we began to hedge the variability of forecasted interest payments on anticipated debt issuance using forward-starting interest rate swaps. The total notional amount of these forward-starting interest swaps was $100 mil</w:t>
      </w:r>
      <w:r>
        <w:rPr>
          <w:rFonts w:ascii="Arial" w:eastAsia="宋体" w:hAnsi="Arial" w:cs="Arial"/>
          <w:color w:val="000000"/>
          <w:sz w:val="20"/>
          <w:szCs w:val="20"/>
        </w:rPr>
        <w:t>lion as of March 31, 2020 with terms calling for us to receive interest at a variable rate and to pay interest at a fixed rate. These interest rate swaps effectively fix the benchmark interest rate and have the economic effect of hedging the variability of</w:t>
      </w:r>
      <w:r>
        <w:rPr>
          <w:rFonts w:ascii="Arial" w:eastAsia="宋体" w:hAnsi="Arial" w:cs="Arial"/>
          <w:color w:val="000000"/>
          <w:sz w:val="20"/>
          <w:szCs w:val="20"/>
        </w:rPr>
        <w:t xml:space="preserve"> forecasted interest payments for up to 10 years on an anticipated debt issuance in 2022, and they will be terminated upon issuance of the debt. Similar to other cash flow hedges, we record changes in the fair value of these interest rate swaps in accumula</w:t>
      </w:r>
      <w:r>
        <w:rPr>
          <w:rFonts w:ascii="Arial" w:eastAsia="宋体" w:hAnsi="Arial" w:cs="Arial"/>
          <w:color w:val="000000"/>
          <w:sz w:val="20"/>
          <w:szCs w:val="20"/>
        </w:rPr>
        <w:t>ted other comprehensive income (loss) until the anticipated debt issuance. Upon debt issuance and termination of the derivative instruments, their fair value will be amortized over the term of the new debt to interest expense. We evaluate the effectiveness</w:t>
      </w:r>
      <w:r>
        <w:rPr>
          <w:rFonts w:ascii="Arial" w:eastAsia="宋体" w:hAnsi="Arial" w:cs="Arial"/>
          <w:color w:val="000000"/>
          <w:sz w:val="20"/>
          <w:szCs w:val="20"/>
        </w:rPr>
        <w:t xml:space="preserve"> of interest rate swaps designated as cash flow hedges on a quarterly basis.</w:t>
      </w:r>
    </w:p>
    <w:p w14:paraId="64A89C97" w14:textId="77777777" w:rsidR="008D6614" w:rsidRDefault="008D6614">
      <w:pPr>
        <w:ind w:firstLine="540"/>
        <w:jc w:val="both"/>
      </w:pPr>
    </w:p>
    <w:p w14:paraId="64A89C98" w14:textId="77777777" w:rsidR="008D6614" w:rsidRDefault="00866AF2">
      <w:pPr>
        <w:ind w:firstLine="540"/>
        <w:jc w:val="both"/>
      </w:pPr>
      <w:r>
        <w:rPr>
          <w:rFonts w:ascii="Arial" w:eastAsia="宋体" w:hAnsi="Arial" w:cs="Arial"/>
          <w:color w:val="000000"/>
          <w:sz w:val="20"/>
          <w:szCs w:val="20"/>
        </w:rPr>
        <w:t>We used interest rate swaps to manage interest rate risk on our fixed rate notes issued in July 2014 and maturing in 2019, 2021 and 2024. These interest rate swaps had the econom</w:t>
      </w:r>
      <w:r>
        <w:rPr>
          <w:rFonts w:ascii="Arial" w:eastAsia="宋体" w:hAnsi="Arial" w:cs="Arial"/>
          <w:color w:val="000000"/>
          <w:sz w:val="20"/>
          <w:szCs w:val="20"/>
        </w:rPr>
        <w:t>ic effect of modifying the fixed interest obligations associated with $2.4 billion of these notes so that the interest payable on these senior notes effectively became variable based on London Interbank Offered Rate (“LIBOR”) plus a spread. There were no i</w:t>
      </w:r>
      <w:r>
        <w:rPr>
          <w:rFonts w:ascii="Arial" w:eastAsia="宋体" w:hAnsi="Arial" w:cs="Arial"/>
          <w:color w:val="000000"/>
          <w:sz w:val="20"/>
          <w:szCs w:val="20"/>
        </w:rPr>
        <w:t>nterest rate swaps designated as fair value hedges outstanding as of March 31, 2020.</w:t>
      </w:r>
    </w:p>
    <w:p w14:paraId="64A89C99" w14:textId="77777777" w:rsidR="008D6614" w:rsidRDefault="008D6614">
      <w:pPr>
        <w:ind w:firstLine="540"/>
        <w:jc w:val="both"/>
      </w:pPr>
    </w:p>
    <w:p w14:paraId="64A89C9A" w14:textId="77777777" w:rsidR="008D6614" w:rsidRDefault="00866AF2">
      <w:pPr>
        <w:jc w:val="both"/>
      </w:pPr>
      <w:r>
        <w:rPr>
          <w:rFonts w:ascii="Arial" w:eastAsia="宋体" w:hAnsi="Arial" w:cs="Arial"/>
          <w:b/>
          <w:bCs/>
          <w:i/>
          <w:iCs/>
          <w:color w:val="000000"/>
          <w:sz w:val="20"/>
          <w:szCs w:val="20"/>
        </w:rPr>
        <w:t>Cash Flow Hedges</w:t>
      </w:r>
    </w:p>
    <w:p w14:paraId="64A89C9B" w14:textId="77777777" w:rsidR="008D6614" w:rsidRDefault="008D6614">
      <w:pPr>
        <w:ind w:firstLine="540"/>
        <w:jc w:val="both"/>
      </w:pPr>
    </w:p>
    <w:p w14:paraId="64A89C9C" w14:textId="77777777" w:rsidR="008D6614" w:rsidRDefault="00866AF2">
      <w:pPr>
        <w:ind w:firstLine="540"/>
        <w:jc w:val="both"/>
      </w:pPr>
      <w:r>
        <w:rPr>
          <w:rFonts w:ascii="Arial" w:eastAsia="宋体" w:hAnsi="Arial" w:cs="Arial"/>
          <w:color w:val="000000"/>
          <w:sz w:val="20"/>
          <w:szCs w:val="20"/>
        </w:rPr>
        <w:t xml:space="preserve">For derivative instruments that are designated as cash flow hedges, the derivative’s gain or loss is initially reported as a component of </w:t>
      </w:r>
      <w:r>
        <w:rPr>
          <w:rFonts w:ascii="Arial" w:eastAsia="宋体" w:hAnsi="Arial" w:cs="Arial"/>
          <w:color w:val="000000"/>
          <w:sz w:val="20"/>
          <w:szCs w:val="20"/>
        </w:rPr>
        <w:t>accumulated other comprehensive income (“AOCI”) and subsequently reclassified into earnings in the same period the forecasted hedged transaction affects earnings. Derivative instruments designated as cash flow hedges must be de-designated as hedges when it</w:t>
      </w:r>
      <w:r>
        <w:rPr>
          <w:rFonts w:ascii="Arial" w:eastAsia="宋体" w:hAnsi="Arial" w:cs="Arial"/>
          <w:color w:val="000000"/>
          <w:sz w:val="20"/>
          <w:szCs w:val="20"/>
        </w:rPr>
        <w:t xml:space="preserve"> is probable the forecasted hedged transaction will not occur in the initially identified time period or within a subsequent two-month time period. Unrealized gains and losses in AOCI associated with such derivative instruments are immediately reclassified</w:t>
      </w:r>
      <w:r>
        <w:rPr>
          <w:rFonts w:ascii="Arial" w:eastAsia="宋体" w:hAnsi="Arial" w:cs="Arial"/>
          <w:color w:val="000000"/>
          <w:sz w:val="20"/>
          <w:szCs w:val="20"/>
        </w:rPr>
        <w:t xml:space="preserve"> into earnings</w:t>
      </w:r>
      <w:r>
        <w:rPr>
          <w:rFonts w:ascii="Times New Roman" w:eastAsia="宋体" w:hAnsi="Times New Roman"/>
          <w:color w:val="000000"/>
          <w:sz w:val="20"/>
          <w:szCs w:val="20"/>
        </w:rPr>
        <w:t xml:space="preserve">. </w:t>
      </w:r>
      <w:r>
        <w:rPr>
          <w:rFonts w:ascii="Arial" w:eastAsia="宋体" w:hAnsi="Arial" w:cs="Arial"/>
          <w:color w:val="000000"/>
          <w:sz w:val="20"/>
          <w:szCs w:val="20"/>
        </w:rPr>
        <w:t xml:space="preserve">As of March 31, 2020, we have estimated that approximately $38 million of net derivative gains related to our cash flow hedges included in accumulated other comprehensive income will be reclassified into earnings within the next 12 months. </w:t>
      </w:r>
      <w:r>
        <w:rPr>
          <w:rFonts w:ascii="Arial" w:eastAsia="宋体" w:hAnsi="Arial" w:cs="Arial"/>
          <w:color w:val="000000"/>
          <w:sz w:val="20"/>
          <w:szCs w:val="20"/>
        </w:rPr>
        <w:t>We classify cash flows related to our cash flow hedges as operating activities in our condensed consolidated statement of cash flows.</w:t>
      </w:r>
    </w:p>
    <w:p w14:paraId="64A89C9D" w14:textId="77777777" w:rsidR="008D6614" w:rsidRDefault="008D6614">
      <w:pPr>
        <w:ind w:firstLine="540"/>
        <w:jc w:val="both"/>
      </w:pPr>
    </w:p>
    <w:p w14:paraId="64A89C9E" w14:textId="77777777" w:rsidR="008D6614" w:rsidRDefault="00866AF2">
      <w:pPr>
        <w:ind w:firstLine="270"/>
        <w:jc w:val="both"/>
      </w:pPr>
      <w:r>
        <w:rPr>
          <w:rFonts w:ascii="Arial" w:eastAsia="宋体" w:hAnsi="Arial" w:cs="Arial"/>
          <w:b/>
          <w:bCs/>
          <w:i/>
          <w:iCs/>
          <w:color w:val="000000"/>
          <w:sz w:val="20"/>
          <w:szCs w:val="20"/>
        </w:rPr>
        <w:t>Net Investment Hedges</w:t>
      </w:r>
    </w:p>
    <w:p w14:paraId="64A89C9F" w14:textId="77777777" w:rsidR="008D6614" w:rsidRDefault="008D6614"/>
    <w:p w14:paraId="64A89CA0" w14:textId="77777777" w:rsidR="008D6614" w:rsidRDefault="00866AF2">
      <w:pPr>
        <w:ind w:firstLine="540"/>
        <w:jc w:val="both"/>
      </w:pPr>
      <w:r>
        <w:rPr>
          <w:rFonts w:ascii="Arial" w:eastAsia="宋体" w:hAnsi="Arial" w:cs="Arial"/>
          <w:color w:val="000000"/>
          <w:sz w:val="20"/>
          <w:szCs w:val="20"/>
        </w:rPr>
        <w:t xml:space="preserve">For derivative instruments that are designated as net investment hedges, the derivative’s gain or </w:t>
      </w:r>
      <w:r>
        <w:rPr>
          <w:rFonts w:ascii="Arial" w:eastAsia="宋体" w:hAnsi="Arial" w:cs="Arial"/>
          <w:color w:val="000000"/>
          <w:sz w:val="20"/>
          <w:szCs w:val="20"/>
        </w:rPr>
        <w:t xml:space="preserve">loss is initially reported in the translation adjustments component of AOCI and is reclassified to net earnings in the period in which the hedged subsidiary is either sold or substantially liquidated. </w:t>
      </w:r>
    </w:p>
    <w:p w14:paraId="64A89CA1" w14:textId="77777777" w:rsidR="008D6614" w:rsidRDefault="008D6614">
      <w:pPr>
        <w:ind w:firstLine="540"/>
        <w:jc w:val="both"/>
      </w:pPr>
    </w:p>
    <w:p w14:paraId="64A89CA2" w14:textId="77777777" w:rsidR="008D6614" w:rsidRDefault="008D6614">
      <w:pPr>
        <w:jc w:val="center"/>
      </w:pPr>
    </w:p>
    <w:p w14:paraId="64A89CA3" w14:textId="77777777" w:rsidR="008D6614" w:rsidRDefault="00866AF2">
      <w:pPr>
        <w:jc w:val="center"/>
      </w:pPr>
      <w:r>
        <w:rPr>
          <w:rFonts w:ascii="Arial" w:eastAsia="宋体" w:hAnsi="Arial" w:cs="Arial"/>
          <w:color w:val="000000"/>
          <w:sz w:val="20"/>
          <w:szCs w:val="20"/>
        </w:rPr>
        <w:t>18</w:t>
      </w:r>
    </w:p>
    <w:p w14:paraId="64A89CA4" w14:textId="77777777" w:rsidR="008D6614" w:rsidRDefault="00866AF2">
      <w:r>
        <w:pict w14:anchorId="64A8B9EF">
          <v:rect id="_x0000_i1042" style="width:415.3pt;height:1.5pt" o:hralign="center" o:hrstd="t" o:hr="t" fillcolor="#a0a0a0" stroked="f"/>
        </w:pict>
      </w:r>
    </w:p>
    <w:p w14:paraId="64A89CA5" w14:textId="77777777" w:rsidR="008D6614" w:rsidRDefault="008D6614">
      <w:pPr>
        <w:jc w:val="center"/>
      </w:pPr>
    </w:p>
    <w:p w14:paraId="64A89CA6" w14:textId="77777777" w:rsidR="008D6614" w:rsidRDefault="00866AF2">
      <w:pPr>
        <w:jc w:val="center"/>
      </w:pPr>
      <w:r>
        <w:rPr>
          <w:rFonts w:ascii="Arial" w:eastAsia="宋体" w:hAnsi="Arial" w:cs="Arial"/>
          <w:b/>
          <w:bCs/>
          <w:color w:val="000000"/>
          <w:sz w:val="20"/>
          <w:szCs w:val="20"/>
        </w:rPr>
        <w:t>eBay Inc.</w:t>
      </w:r>
    </w:p>
    <w:p w14:paraId="64A89CA7" w14:textId="77777777" w:rsidR="008D6614" w:rsidRDefault="00866AF2">
      <w:pPr>
        <w:spacing w:after="240"/>
        <w:jc w:val="center"/>
      </w:pPr>
      <w:r>
        <w:rPr>
          <w:rFonts w:ascii="Arial" w:eastAsia="宋体" w:hAnsi="Arial" w:cs="Arial"/>
          <w:b/>
          <w:bCs/>
          <w:color w:val="000000"/>
          <w:sz w:val="20"/>
          <w:szCs w:val="20"/>
        </w:rPr>
        <w:t xml:space="preserve">NOTES TO CONDENSED </w:t>
      </w:r>
      <w:r>
        <w:rPr>
          <w:rFonts w:ascii="Arial" w:eastAsia="宋体" w:hAnsi="Arial" w:cs="Arial"/>
          <w:b/>
          <w:bCs/>
          <w:color w:val="000000"/>
          <w:sz w:val="20"/>
          <w:szCs w:val="20"/>
        </w:rPr>
        <w:t>CONSOLIDATED FINANCIAL STATEMENTS—(Continued)</w:t>
      </w:r>
    </w:p>
    <w:p w14:paraId="64A89CA8" w14:textId="77777777" w:rsidR="008D6614" w:rsidRDefault="00866AF2">
      <w:pPr>
        <w:ind w:firstLine="270"/>
        <w:jc w:val="both"/>
      </w:pPr>
      <w:r>
        <w:rPr>
          <w:rFonts w:ascii="Arial" w:eastAsia="宋体" w:hAnsi="Arial" w:cs="Arial"/>
          <w:b/>
          <w:bCs/>
          <w:i/>
          <w:iCs/>
          <w:color w:val="000000"/>
          <w:sz w:val="20"/>
          <w:szCs w:val="20"/>
        </w:rPr>
        <w:t>Fair Value Hedges</w:t>
      </w:r>
    </w:p>
    <w:p w14:paraId="64A89CA9" w14:textId="77777777" w:rsidR="008D6614" w:rsidRDefault="008D6614">
      <w:pPr>
        <w:jc w:val="both"/>
      </w:pPr>
    </w:p>
    <w:p w14:paraId="64A89CAA" w14:textId="77777777" w:rsidR="008D6614" w:rsidRDefault="00866AF2">
      <w:pPr>
        <w:ind w:firstLine="540"/>
        <w:jc w:val="both"/>
      </w:pPr>
      <w:r>
        <w:rPr>
          <w:rFonts w:ascii="Arial" w:eastAsia="宋体" w:hAnsi="Arial" w:cs="Arial"/>
          <w:color w:val="000000"/>
          <w:sz w:val="20"/>
          <w:szCs w:val="20"/>
        </w:rPr>
        <w:t>We designated the interest rate swaps used to manage interest rate risk on our fixed rate notes issued in July 2014 and maturing in 2019, 2021 and 2024 as qualifying hedging instruments and a</w:t>
      </w:r>
      <w:r>
        <w:rPr>
          <w:rFonts w:ascii="Arial" w:eastAsia="宋体" w:hAnsi="Arial" w:cs="Arial"/>
          <w:color w:val="000000"/>
          <w:sz w:val="20"/>
          <w:szCs w:val="20"/>
        </w:rPr>
        <w:t xml:space="preserve">ccounted for them as fair value hedges. These transactions were designated as fair value hedges for financial accounting purposes because they protected us against changes in the fair value of certain of our fixed rate borrowings due to benchmark interest </w:t>
      </w:r>
      <w:r>
        <w:rPr>
          <w:rFonts w:ascii="Arial" w:eastAsia="宋体" w:hAnsi="Arial" w:cs="Arial"/>
          <w:color w:val="000000"/>
          <w:sz w:val="20"/>
          <w:szCs w:val="20"/>
        </w:rPr>
        <w:t>rate movements. In 2019, $1.15 billion related to our 2.200% senior notes due 2019 of the $2.4 billion aggregate notional amount matured. In addition, during 2019, we terminated the interest rate swaps related to $750 million of our 2.875% senior notes due</w:t>
      </w:r>
      <w:r>
        <w:rPr>
          <w:rFonts w:ascii="Arial" w:eastAsia="宋体" w:hAnsi="Arial" w:cs="Arial"/>
          <w:color w:val="000000"/>
          <w:sz w:val="20"/>
          <w:szCs w:val="20"/>
        </w:rPr>
        <w:t xml:space="preserve"> July 2021 and $500 million of our 3.450% senior notes due July 2024. As a result of the early termination, hedge accounting was discontinued prospectively and the gain on termination was recorded as an increase to the long-term debt balance and is being r</w:t>
      </w:r>
      <w:r>
        <w:rPr>
          <w:rFonts w:ascii="Arial" w:eastAsia="宋体" w:hAnsi="Arial" w:cs="Arial"/>
          <w:color w:val="000000"/>
          <w:sz w:val="20"/>
          <w:szCs w:val="20"/>
        </w:rPr>
        <w:t>ecognized over the remaining life of the underlying debt as a reduction to interest expense. The gain recognized during the three months ended March 31, 2020 was immaterial</w:t>
      </w:r>
      <w:r>
        <w:rPr>
          <w:rFonts w:ascii="Times New Roman" w:eastAsia="宋体" w:hAnsi="Times New Roman"/>
          <w:color w:val="000000"/>
          <w:sz w:val="20"/>
          <w:szCs w:val="20"/>
        </w:rPr>
        <w:t>.</w:t>
      </w:r>
    </w:p>
    <w:p w14:paraId="64A89CAB" w14:textId="77777777" w:rsidR="008D6614" w:rsidRDefault="008D6614">
      <w:pPr>
        <w:ind w:firstLine="495"/>
        <w:jc w:val="both"/>
      </w:pPr>
    </w:p>
    <w:p w14:paraId="64A89CAC" w14:textId="77777777" w:rsidR="008D6614" w:rsidRDefault="00866AF2">
      <w:pPr>
        <w:jc w:val="both"/>
      </w:pPr>
      <w:r>
        <w:rPr>
          <w:rFonts w:ascii="Arial" w:eastAsia="宋体" w:hAnsi="Arial" w:cs="Arial"/>
          <w:b/>
          <w:bCs/>
          <w:i/>
          <w:iCs/>
          <w:color w:val="000000"/>
          <w:sz w:val="20"/>
          <w:szCs w:val="20"/>
        </w:rPr>
        <w:t>Non-Designated Hedges</w:t>
      </w:r>
    </w:p>
    <w:p w14:paraId="64A89CAD" w14:textId="77777777" w:rsidR="008D6614" w:rsidRDefault="008D6614"/>
    <w:p w14:paraId="64A89CAE" w14:textId="77777777" w:rsidR="008D6614" w:rsidRDefault="00866AF2">
      <w:pPr>
        <w:ind w:firstLine="540"/>
        <w:jc w:val="both"/>
      </w:pPr>
      <w:r>
        <w:rPr>
          <w:rFonts w:ascii="Arial" w:eastAsia="宋体" w:hAnsi="Arial" w:cs="Arial"/>
          <w:color w:val="000000"/>
          <w:sz w:val="20"/>
          <w:szCs w:val="20"/>
        </w:rPr>
        <w:t>Our derivatives not designated as hedging instruments cons</w:t>
      </w:r>
      <w:r>
        <w:rPr>
          <w:rFonts w:ascii="Arial" w:eastAsia="宋体" w:hAnsi="Arial" w:cs="Arial"/>
          <w:color w:val="000000"/>
          <w:sz w:val="20"/>
          <w:szCs w:val="20"/>
        </w:rPr>
        <w:t>ist of foreign currency forward contracts that we primarily use to hedge monetary assets or liabilities, including intercompany balances denominated in non-functional currencies. The gains and losses on our derivatives not designated as hedging instruments</w:t>
      </w:r>
      <w:r>
        <w:rPr>
          <w:rFonts w:ascii="Arial" w:eastAsia="宋体" w:hAnsi="Arial" w:cs="Arial"/>
          <w:color w:val="000000"/>
          <w:sz w:val="20"/>
          <w:szCs w:val="20"/>
        </w:rPr>
        <w:t xml:space="preserve"> are recorded in interest and other</w:t>
      </w:r>
      <w:r>
        <w:rPr>
          <w:rFonts w:ascii="Times New Roman" w:eastAsia="宋体" w:hAnsi="Times New Roman"/>
          <w:color w:val="000000"/>
          <w:sz w:val="20"/>
          <w:szCs w:val="20"/>
        </w:rPr>
        <w:t>,</w:t>
      </w:r>
      <w:r>
        <w:rPr>
          <w:rFonts w:ascii="Arial" w:eastAsia="宋体" w:hAnsi="Arial" w:cs="Arial"/>
          <w:color w:val="000000"/>
          <w:sz w:val="20"/>
          <w:szCs w:val="20"/>
        </w:rPr>
        <w:t xml:space="preserve"> net, which are offset by the foreign currency gains and losses on the related assets and liabilities that are also recorded in interest and other, net. We classify cash flows related to our non-designated hedging instru</w:t>
      </w:r>
      <w:r>
        <w:rPr>
          <w:rFonts w:ascii="Arial" w:eastAsia="宋体" w:hAnsi="Arial" w:cs="Arial"/>
          <w:color w:val="000000"/>
          <w:sz w:val="20"/>
          <w:szCs w:val="20"/>
        </w:rPr>
        <w:t>ments as operating activities in our condensed consolidated statement of cash flows.</w:t>
      </w:r>
    </w:p>
    <w:p w14:paraId="64A89CAF" w14:textId="77777777" w:rsidR="008D6614" w:rsidRDefault="008D6614">
      <w:pPr>
        <w:ind w:firstLine="540"/>
        <w:jc w:val="both"/>
      </w:pPr>
    </w:p>
    <w:p w14:paraId="64A89CB0" w14:textId="77777777" w:rsidR="008D6614" w:rsidRDefault="00866AF2">
      <w:pPr>
        <w:ind w:firstLine="270"/>
      </w:pPr>
      <w:r>
        <w:rPr>
          <w:rFonts w:ascii="Arial" w:eastAsia="宋体" w:hAnsi="Arial" w:cs="Arial"/>
          <w:b/>
          <w:bCs/>
          <w:i/>
          <w:iCs/>
          <w:color w:val="000000"/>
          <w:sz w:val="20"/>
          <w:szCs w:val="20"/>
        </w:rPr>
        <w:t>Warrant</w:t>
      </w:r>
    </w:p>
    <w:p w14:paraId="64A89CB1" w14:textId="77777777" w:rsidR="008D6614" w:rsidRDefault="008D6614"/>
    <w:p w14:paraId="64A89CB2" w14:textId="77777777" w:rsidR="008D6614" w:rsidRDefault="00866AF2">
      <w:pPr>
        <w:ind w:firstLine="540"/>
        <w:jc w:val="both"/>
      </w:pPr>
      <w:r>
        <w:rPr>
          <w:rFonts w:ascii="Arial" w:eastAsia="宋体" w:hAnsi="Arial" w:cs="Arial"/>
          <w:color w:val="000000"/>
          <w:sz w:val="20"/>
          <w:szCs w:val="20"/>
        </w:rPr>
        <w:t>We entered into a warrant agreement in conjunction with a commercial agreement with Adyen that, subject to meeting certain conditions, entitles us to acquire a f</w:t>
      </w:r>
      <w:r>
        <w:rPr>
          <w:rFonts w:ascii="Arial" w:eastAsia="宋体" w:hAnsi="Arial" w:cs="Arial"/>
          <w:color w:val="000000"/>
          <w:sz w:val="20"/>
          <w:szCs w:val="20"/>
        </w:rPr>
        <w:t>ixed number of shares up to 5% of Adyen’s fully diluted issued and outstanding share capital at a specific date. The warrant has a term of seven years and will vest in a series of four tranches, at a specified price per share (fixed for the first two tranc</w:t>
      </w:r>
      <w:r>
        <w:rPr>
          <w:rFonts w:ascii="Arial" w:eastAsia="宋体" w:hAnsi="Arial" w:cs="Arial"/>
          <w:color w:val="000000"/>
          <w:sz w:val="20"/>
          <w:szCs w:val="20"/>
        </w:rPr>
        <w:t>hes) upon meeting processing volume milestone targets on a calendar year basis. If and when a relevant milestone is reached, the warrant becomes exercisable with respect to the corresponding tranche of warrant shares up until the warrant expiration date of</w:t>
      </w:r>
      <w:r>
        <w:rPr>
          <w:rFonts w:ascii="Arial" w:eastAsia="宋体" w:hAnsi="Arial" w:cs="Arial"/>
          <w:color w:val="000000"/>
          <w:sz w:val="20"/>
          <w:szCs w:val="20"/>
        </w:rPr>
        <w:t xml:space="preserve"> January 31, 2025. The maximum number of tranches that can vest in one calendar year is two.</w:t>
      </w:r>
    </w:p>
    <w:p w14:paraId="64A89CB3" w14:textId="77777777" w:rsidR="008D6614" w:rsidRDefault="00866AF2">
      <w:pPr>
        <w:ind w:firstLine="450"/>
        <w:jc w:val="both"/>
      </w:pPr>
      <w:r>
        <w:rPr>
          <w:rFonts w:ascii="Arial" w:eastAsia="宋体" w:hAnsi="Arial" w:cs="Arial"/>
          <w:color w:val="000000"/>
          <w:sz w:val="20"/>
          <w:szCs w:val="20"/>
        </w:rPr>
        <w:t> </w:t>
      </w:r>
    </w:p>
    <w:p w14:paraId="64A89CB4" w14:textId="77777777" w:rsidR="008D6614" w:rsidRDefault="00866AF2">
      <w:pPr>
        <w:ind w:firstLine="540"/>
        <w:jc w:val="both"/>
      </w:pPr>
      <w:r>
        <w:rPr>
          <w:rFonts w:ascii="Arial" w:eastAsia="宋体" w:hAnsi="Arial" w:cs="Arial"/>
          <w:color w:val="000000"/>
          <w:sz w:val="20"/>
          <w:szCs w:val="20"/>
        </w:rPr>
        <w:t xml:space="preserve">The warrant is accounted for as a derivative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We report the warrant at fair value within other assets in our condens</w:t>
      </w:r>
      <w:r>
        <w:rPr>
          <w:rFonts w:ascii="Arial" w:eastAsia="宋体" w:hAnsi="Arial" w:cs="Arial"/>
          <w:color w:val="000000"/>
          <w:sz w:val="20"/>
          <w:szCs w:val="20"/>
        </w:rPr>
        <w:t xml:space="preserve">ed consolidated balance sheets and changes in the fair value of the warrant are recognized in interest and other, net in our condensed consolidated statement of income. The day-one value attributable to the other side of the warrant, which was recorded as </w:t>
      </w:r>
      <w:r>
        <w:rPr>
          <w:rFonts w:ascii="Arial" w:eastAsia="宋体" w:hAnsi="Arial" w:cs="Arial"/>
          <w:color w:val="000000"/>
          <w:sz w:val="20"/>
          <w:szCs w:val="20"/>
        </w:rPr>
        <w:t xml:space="preserve">a deferred credit, is reported within other liabilities in our condensed consolidated balance sheets and will be amortized over the life of the commercial arrangement. </w:t>
      </w:r>
    </w:p>
    <w:p w14:paraId="64A89CB5" w14:textId="77777777" w:rsidR="008D6614" w:rsidRDefault="008D6614">
      <w:pPr>
        <w:jc w:val="center"/>
      </w:pPr>
    </w:p>
    <w:p w14:paraId="64A89CB6" w14:textId="77777777" w:rsidR="008D6614" w:rsidRDefault="00866AF2">
      <w:pPr>
        <w:jc w:val="center"/>
      </w:pPr>
      <w:r>
        <w:rPr>
          <w:rFonts w:ascii="Arial" w:eastAsia="宋体" w:hAnsi="Arial" w:cs="Arial"/>
          <w:color w:val="000000"/>
          <w:sz w:val="20"/>
          <w:szCs w:val="20"/>
        </w:rPr>
        <w:t>19</w:t>
      </w:r>
    </w:p>
    <w:p w14:paraId="64A89CB7" w14:textId="77777777" w:rsidR="008D6614" w:rsidRDefault="00866AF2">
      <w:r>
        <w:pict w14:anchorId="64A8B9F0">
          <v:rect id="_x0000_i1043" style="width:415.3pt;height:1.5pt" o:hralign="center" o:hrstd="t" o:hr="t" fillcolor="#a0a0a0" stroked="f"/>
        </w:pict>
      </w:r>
    </w:p>
    <w:p w14:paraId="64A89CB8" w14:textId="77777777" w:rsidR="008D6614" w:rsidRDefault="008D6614">
      <w:pPr>
        <w:jc w:val="center"/>
      </w:pPr>
    </w:p>
    <w:p w14:paraId="64A89CB9" w14:textId="77777777" w:rsidR="008D6614" w:rsidRDefault="00866AF2">
      <w:pPr>
        <w:jc w:val="center"/>
      </w:pPr>
      <w:r>
        <w:rPr>
          <w:rFonts w:ascii="Arial" w:eastAsia="宋体" w:hAnsi="Arial" w:cs="Arial"/>
          <w:b/>
          <w:bCs/>
          <w:color w:val="000000"/>
          <w:sz w:val="20"/>
          <w:szCs w:val="20"/>
        </w:rPr>
        <w:t>eBay Inc.</w:t>
      </w:r>
    </w:p>
    <w:p w14:paraId="64A89CBA" w14:textId="77777777" w:rsidR="008D6614" w:rsidRDefault="00866AF2">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4A89CBB" w14:textId="77777777" w:rsidR="008D6614" w:rsidRDefault="008D6614"/>
    <w:p w14:paraId="64A89CBC" w14:textId="77777777" w:rsidR="008D6614" w:rsidRDefault="00866AF2">
      <w:r>
        <w:rPr>
          <w:rFonts w:ascii="Arial" w:eastAsia="宋体" w:hAnsi="Arial" w:cs="Arial"/>
          <w:b/>
          <w:bCs/>
          <w:i/>
          <w:iCs/>
          <w:color w:val="000000"/>
          <w:sz w:val="20"/>
          <w:szCs w:val="20"/>
        </w:rPr>
        <w:t>Fair Value of Derivative Contracts</w:t>
      </w:r>
    </w:p>
    <w:p w14:paraId="64A89CBD" w14:textId="77777777" w:rsidR="008D6614" w:rsidRDefault="008D6614">
      <w:pPr>
        <w:ind w:firstLine="720"/>
      </w:pPr>
    </w:p>
    <w:p w14:paraId="64A89CBE" w14:textId="77777777" w:rsidR="008D6614" w:rsidRDefault="00866AF2">
      <w:pPr>
        <w:ind w:firstLine="540"/>
      </w:pPr>
      <w:r>
        <w:rPr>
          <w:rFonts w:ascii="Arial" w:eastAsia="宋体" w:hAnsi="Arial" w:cs="Arial"/>
          <w:color w:val="000000"/>
          <w:sz w:val="20"/>
          <w:szCs w:val="20"/>
        </w:rPr>
        <w:t>The fair values of our outstanding derivative instruments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58"/>
        <w:gridCol w:w="4162"/>
        <w:gridCol w:w="58"/>
        <w:gridCol w:w="58"/>
        <w:gridCol w:w="1527"/>
        <w:gridCol w:w="86"/>
        <w:gridCol w:w="36"/>
        <w:gridCol w:w="36"/>
        <w:gridCol w:w="36"/>
        <w:gridCol w:w="136"/>
        <w:gridCol w:w="850"/>
        <w:gridCol w:w="86"/>
        <w:gridCol w:w="36"/>
        <w:gridCol w:w="36"/>
        <w:gridCol w:w="36"/>
        <w:gridCol w:w="137"/>
        <w:gridCol w:w="851"/>
        <w:gridCol w:w="86"/>
      </w:tblGrid>
      <w:tr w:rsidR="008D6614" w14:paraId="64A89CD1" w14:textId="77777777">
        <w:tc>
          <w:tcPr>
            <w:tcW w:w="50" w:type="pct"/>
            <w:shd w:val="clear" w:color="auto" w:fill="auto"/>
            <w:vAlign w:val="center"/>
          </w:tcPr>
          <w:p w14:paraId="64A89CBF" w14:textId="77777777" w:rsidR="008D6614" w:rsidRDefault="008D6614">
            <w:pPr>
              <w:rPr>
                <w:rFonts w:ascii="宋体"/>
              </w:rPr>
            </w:pPr>
          </w:p>
        </w:tc>
        <w:tc>
          <w:tcPr>
            <w:tcW w:w="2517" w:type="pct"/>
            <w:shd w:val="clear" w:color="auto" w:fill="auto"/>
            <w:vAlign w:val="center"/>
          </w:tcPr>
          <w:p w14:paraId="64A89CC0" w14:textId="77777777" w:rsidR="008D6614" w:rsidRDefault="008D6614">
            <w:pPr>
              <w:rPr>
                <w:rFonts w:ascii="宋体"/>
              </w:rPr>
            </w:pPr>
          </w:p>
        </w:tc>
        <w:tc>
          <w:tcPr>
            <w:tcW w:w="50" w:type="pct"/>
            <w:shd w:val="clear" w:color="auto" w:fill="auto"/>
            <w:vAlign w:val="center"/>
          </w:tcPr>
          <w:p w14:paraId="64A89CC1" w14:textId="77777777" w:rsidR="008D6614" w:rsidRDefault="008D6614">
            <w:pPr>
              <w:rPr>
                <w:rFonts w:ascii="宋体"/>
              </w:rPr>
            </w:pPr>
          </w:p>
        </w:tc>
        <w:tc>
          <w:tcPr>
            <w:tcW w:w="50" w:type="pct"/>
            <w:shd w:val="clear" w:color="auto" w:fill="auto"/>
            <w:vAlign w:val="center"/>
          </w:tcPr>
          <w:p w14:paraId="64A89CC2" w14:textId="77777777" w:rsidR="008D6614" w:rsidRDefault="008D6614">
            <w:pPr>
              <w:rPr>
                <w:rFonts w:ascii="宋体"/>
              </w:rPr>
            </w:pPr>
          </w:p>
        </w:tc>
        <w:tc>
          <w:tcPr>
            <w:tcW w:w="933" w:type="pct"/>
            <w:shd w:val="clear" w:color="auto" w:fill="auto"/>
            <w:vAlign w:val="center"/>
          </w:tcPr>
          <w:p w14:paraId="64A89CC3" w14:textId="77777777" w:rsidR="008D6614" w:rsidRDefault="008D6614">
            <w:pPr>
              <w:rPr>
                <w:rFonts w:ascii="宋体"/>
              </w:rPr>
            </w:pPr>
          </w:p>
        </w:tc>
        <w:tc>
          <w:tcPr>
            <w:tcW w:w="50" w:type="pct"/>
            <w:shd w:val="clear" w:color="auto" w:fill="auto"/>
            <w:vAlign w:val="center"/>
          </w:tcPr>
          <w:p w14:paraId="64A89CC4" w14:textId="77777777" w:rsidR="008D6614" w:rsidRDefault="008D6614">
            <w:pPr>
              <w:rPr>
                <w:rFonts w:ascii="宋体"/>
              </w:rPr>
            </w:pPr>
          </w:p>
        </w:tc>
        <w:tc>
          <w:tcPr>
            <w:tcW w:w="5" w:type="pct"/>
            <w:shd w:val="clear" w:color="auto" w:fill="auto"/>
            <w:vAlign w:val="center"/>
          </w:tcPr>
          <w:p w14:paraId="64A89CC5" w14:textId="77777777" w:rsidR="008D6614" w:rsidRDefault="008D6614">
            <w:pPr>
              <w:rPr>
                <w:rFonts w:ascii="宋体"/>
              </w:rPr>
            </w:pPr>
          </w:p>
        </w:tc>
        <w:tc>
          <w:tcPr>
            <w:tcW w:w="26" w:type="pct"/>
            <w:shd w:val="clear" w:color="auto" w:fill="auto"/>
            <w:vAlign w:val="center"/>
          </w:tcPr>
          <w:p w14:paraId="64A89CC6" w14:textId="77777777" w:rsidR="008D6614" w:rsidRDefault="008D6614">
            <w:pPr>
              <w:rPr>
                <w:rFonts w:ascii="宋体"/>
              </w:rPr>
            </w:pPr>
          </w:p>
        </w:tc>
        <w:tc>
          <w:tcPr>
            <w:tcW w:w="5" w:type="pct"/>
            <w:shd w:val="clear" w:color="auto" w:fill="auto"/>
            <w:vAlign w:val="center"/>
          </w:tcPr>
          <w:p w14:paraId="64A89CC7" w14:textId="77777777" w:rsidR="008D6614" w:rsidRDefault="008D6614">
            <w:pPr>
              <w:rPr>
                <w:rFonts w:ascii="宋体"/>
              </w:rPr>
            </w:pPr>
          </w:p>
        </w:tc>
        <w:tc>
          <w:tcPr>
            <w:tcW w:w="50" w:type="pct"/>
            <w:shd w:val="clear" w:color="auto" w:fill="auto"/>
            <w:vAlign w:val="center"/>
          </w:tcPr>
          <w:p w14:paraId="64A89CC8" w14:textId="77777777" w:rsidR="008D6614" w:rsidRDefault="008D6614">
            <w:pPr>
              <w:rPr>
                <w:rFonts w:ascii="宋体"/>
              </w:rPr>
            </w:pPr>
          </w:p>
        </w:tc>
        <w:tc>
          <w:tcPr>
            <w:tcW w:w="537" w:type="pct"/>
            <w:shd w:val="clear" w:color="auto" w:fill="auto"/>
            <w:vAlign w:val="center"/>
          </w:tcPr>
          <w:p w14:paraId="64A89CC9" w14:textId="77777777" w:rsidR="008D6614" w:rsidRDefault="008D6614">
            <w:pPr>
              <w:rPr>
                <w:rFonts w:ascii="宋体"/>
              </w:rPr>
            </w:pPr>
          </w:p>
        </w:tc>
        <w:tc>
          <w:tcPr>
            <w:tcW w:w="50" w:type="pct"/>
            <w:shd w:val="clear" w:color="auto" w:fill="auto"/>
            <w:vAlign w:val="center"/>
          </w:tcPr>
          <w:p w14:paraId="64A89CCA" w14:textId="77777777" w:rsidR="008D6614" w:rsidRDefault="008D6614">
            <w:pPr>
              <w:rPr>
                <w:rFonts w:ascii="宋体"/>
              </w:rPr>
            </w:pPr>
          </w:p>
        </w:tc>
        <w:tc>
          <w:tcPr>
            <w:tcW w:w="5" w:type="pct"/>
            <w:shd w:val="clear" w:color="auto" w:fill="auto"/>
            <w:vAlign w:val="center"/>
          </w:tcPr>
          <w:p w14:paraId="64A89CCB" w14:textId="77777777" w:rsidR="008D6614" w:rsidRDefault="008D6614">
            <w:pPr>
              <w:rPr>
                <w:rFonts w:ascii="宋体"/>
              </w:rPr>
            </w:pPr>
          </w:p>
        </w:tc>
        <w:tc>
          <w:tcPr>
            <w:tcW w:w="26" w:type="pct"/>
            <w:shd w:val="clear" w:color="auto" w:fill="auto"/>
            <w:vAlign w:val="center"/>
          </w:tcPr>
          <w:p w14:paraId="64A89CCC" w14:textId="77777777" w:rsidR="008D6614" w:rsidRDefault="008D6614">
            <w:pPr>
              <w:rPr>
                <w:rFonts w:ascii="宋体"/>
              </w:rPr>
            </w:pPr>
          </w:p>
        </w:tc>
        <w:tc>
          <w:tcPr>
            <w:tcW w:w="5" w:type="pct"/>
            <w:shd w:val="clear" w:color="auto" w:fill="auto"/>
            <w:vAlign w:val="center"/>
          </w:tcPr>
          <w:p w14:paraId="64A89CCD" w14:textId="77777777" w:rsidR="008D6614" w:rsidRDefault="008D6614">
            <w:pPr>
              <w:rPr>
                <w:rFonts w:ascii="宋体"/>
              </w:rPr>
            </w:pPr>
          </w:p>
        </w:tc>
        <w:tc>
          <w:tcPr>
            <w:tcW w:w="50" w:type="pct"/>
            <w:shd w:val="clear" w:color="auto" w:fill="auto"/>
            <w:vAlign w:val="center"/>
          </w:tcPr>
          <w:p w14:paraId="64A89CCE" w14:textId="77777777" w:rsidR="008D6614" w:rsidRDefault="008D6614">
            <w:pPr>
              <w:rPr>
                <w:rFonts w:ascii="宋体"/>
              </w:rPr>
            </w:pPr>
          </w:p>
        </w:tc>
        <w:tc>
          <w:tcPr>
            <w:tcW w:w="537" w:type="pct"/>
            <w:shd w:val="clear" w:color="auto" w:fill="auto"/>
            <w:vAlign w:val="center"/>
          </w:tcPr>
          <w:p w14:paraId="64A89CCF" w14:textId="77777777" w:rsidR="008D6614" w:rsidRDefault="008D6614">
            <w:pPr>
              <w:rPr>
                <w:rFonts w:ascii="宋体"/>
              </w:rPr>
            </w:pPr>
          </w:p>
        </w:tc>
        <w:tc>
          <w:tcPr>
            <w:tcW w:w="50" w:type="pct"/>
            <w:shd w:val="clear" w:color="auto" w:fill="auto"/>
            <w:vAlign w:val="center"/>
          </w:tcPr>
          <w:p w14:paraId="64A89CD0" w14:textId="77777777" w:rsidR="008D6614" w:rsidRDefault="008D6614">
            <w:pPr>
              <w:rPr>
                <w:rFonts w:ascii="宋体"/>
              </w:rPr>
            </w:pPr>
          </w:p>
        </w:tc>
      </w:tr>
      <w:tr w:rsidR="008D6614" w14:paraId="64A89CD8" w14:textId="77777777">
        <w:tc>
          <w:tcPr>
            <w:tcW w:w="0" w:type="auto"/>
            <w:gridSpan w:val="3"/>
            <w:shd w:val="clear" w:color="auto" w:fill="auto"/>
            <w:tcMar>
              <w:top w:w="40" w:type="dxa"/>
              <w:left w:w="20" w:type="dxa"/>
              <w:bottom w:w="40" w:type="dxa"/>
              <w:right w:w="20" w:type="dxa"/>
            </w:tcMar>
            <w:vAlign w:val="bottom"/>
          </w:tcPr>
          <w:p w14:paraId="64A89CD2"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9CD3" w14:textId="77777777" w:rsidR="008D6614" w:rsidRDefault="00866AF2">
            <w:pPr>
              <w:jc w:val="center"/>
              <w:textAlignment w:val="bottom"/>
            </w:pPr>
            <w:r>
              <w:rPr>
                <w:rFonts w:ascii="Arial" w:eastAsia="宋体" w:hAnsi="Arial" w:cs="Arial"/>
                <w:b/>
                <w:bCs/>
                <w:color w:val="000000"/>
                <w:sz w:val="16"/>
                <w:szCs w:val="16"/>
              </w:rPr>
              <w:t>Balance Sheet Location</w:t>
            </w:r>
          </w:p>
        </w:tc>
        <w:tc>
          <w:tcPr>
            <w:tcW w:w="0" w:type="auto"/>
            <w:gridSpan w:val="3"/>
            <w:shd w:val="clear" w:color="auto" w:fill="auto"/>
            <w:tcMar>
              <w:left w:w="20" w:type="dxa"/>
              <w:right w:w="20" w:type="dxa"/>
            </w:tcMar>
            <w:vAlign w:val="bottom"/>
          </w:tcPr>
          <w:p w14:paraId="64A89CD4"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CD5" w14:textId="77777777" w:rsidR="008D6614" w:rsidRDefault="00866AF2">
            <w:pPr>
              <w:jc w:val="center"/>
              <w:textAlignment w:val="bottom"/>
            </w:pPr>
            <w:r>
              <w:rPr>
                <w:rFonts w:ascii="Arial" w:eastAsia="宋体" w:hAnsi="Arial" w:cs="Arial"/>
                <w:b/>
                <w:bCs/>
                <w:color w:val="000000"/>
                <w:sz w:val="16"/>
                <w:szCs w:val="16"/>
              </w:rPr>
              <w:t>March 31,</w:t>
            </w:r>
            <w:r>
              <w:rPr>
                <w:rFonts w:ascii="Arial" w:eastAsia="宋体" w:hAnsi="Arial" w:cs="Arial"/>
                <w:b/>
                <w:bCs/>
                <w:color w:val="000000"/>
                <w:sz w:val="16"/>
                <w:szCs w:val="16"/>
              </w:rPr>
              <w:br/>
              <w:t>2020</w:t>
            </w:r>
          </w:p>
        </w:tc>
        <w:tc>
          <w:tcPr>
            <w:tcW w:w="0" w:type="auto"/>
            <w:gridSpan w:val="3"/>
            <w:shd w:val="clear" w:color="auto" w:fill="auto"/>
            <w:tcMar>
              <w:left w:w="20" w:type="dxa"/>
              <w:right w:w="20" w:type="dxa"/>
            </w:tcMar>
            <w:vAlign w:val="bottom"/>
          </w:tcPr>
          <w:p w14:paraId="64A89CD6"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9CD7" w14:textId="77777777" w:rsidR="008D6614" w:rsidRDefault="00866AF2">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8D6614" w14:paraId="64A89CDF" w14:textId="77777777">
        <w:tc>
          <w:tcPr>
            <w:tcW w:w="0" w:type="auto"/>
            <w:gridSpan w:val="3"/>
            <w:shd w:val="clear" w:color="auto" w:fill="E2E2E2"/>
            <w:tcMar>
              <w:top w:w="40" w:type="dxa"/>
              <w:left w:w="20" w:type="dxa"/>
              <w:bottom w:w="40" w:type="dxa"/>
              <w:right w:w="20" w:type="dxa"/>
            </w:tcMar>
            <w:vAlign w:val="bottom"/>
          </w:tcPr>
          <w:p w14:paraId="64A89CD9" w14:textId="77777777" w:rsidR="008D6614" w:rsidRDefault="00866AF2">
            <w:pPr>
              <w:textAlignment w:val="bottom"/>
            </w:pPr>
            <w:r>
              <w:rPr>
                <w:rFonts w:ascii="Arial" w:eastAsia="宋体" w:hAnsi="Arial" w:cs="Arial"/>
                <w:b/>
                <w:bCs/>
                <w:color w:val="000000"/>
                <w:sz w:val="18"/>
                <w:szCs w:val="18"/>
              </w:rPr>
              <w:t>Derivative Assets:</w:t>
            </w:r>
          </w:p>
        </w:tc>
        <w:tc>
          <w:tcPr>
            <w:tcW w:w="0" w:type="auto"/>
            <w:gridSpan w:val="3"/>
            <w:tcBorders>
              <w:top w:val="single" w:sz="8" w:space="0" w:color="000000"/>
            </w:tcBorders>
            <w:shd w:val="clear" w:color="auto" w:fill="E2E2E2"/>
            <w:tcMar>
              <w:left w:w="20" w:type="dxa"/>
              <w:right w:w="20" w:type="dxa"/>
            </w:tcMar>
            <w:vAlign w:val="bottom"/>
          </w:tcPr>
          <w:p w14:paraId="64A89CDA"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CDB"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CDC"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CDD"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CDE" w14:textId="77777777" w:rsidR="008D6614" w:rsidRDefault="008D6614">
            <w:pPr>
              <w:rPr>
                <w:rFonts w:ascii="宋体"/>
              </w:rPr>
            </w:pPr>
          </w:p>
        </w:tc>
      </w:tr>
      <w:tr w:rsidR="008D6614" w14:paraId="64A89CEB" w14:textId="77777777">
        <w:tc>
          <w:tcPr>
            <w:tcW w:w="0" w:type="auto"/>
            <w:gridSpan w:val="3"/>
            <w:shd w:val="clear" w:color="auto" w:fill="FFFFFF"/>
            <w:tcMar>
              <w:top w:w="40" w:type="dxa"/>
              <w:left w:w="20" w:type="dxa"/>
              <w:bottom w:w="40" w:type="dxa"/>
              <w:right w:w="20" w:type="dxa"/>
            </w:tcMar>
            <w:vAlign w:val="bottom"/>
          </w:tcPr>
          <w:p w14:paraId="64A89CE0" w14:textId="77777777" w:rsidR="008D6614" w:rsidRDefault="00866AF2">
            <w:pPr>
              <w:textAlignment w:val="bottom"/>
            </w:pPr>
            <w:r>
              <w:rPr>
                <w:rFonts w:ascii="Arial" w:eastAsia="宋体" w:hAnsi="Arial" w:cs="Arial"/>
                <w:color w:val="000000"/>
                <w:sz w:val="18"/>
                <w:szCs w:val="18"/>
              </w:rPr>
              <w:t>Foreign exchange contracts designated as cash flow hedges</w:t>
            </w:r>
          </w:p>
        </w:tc>
        <w:tc>
          <w:tcPr>
            <w:tcW w:w="0" w:type="auto"/>
            <w:gridSpan w:val="2"/>
            <w:shd w:val="clear" w:color="auto" w:fill="FFFFFF"/>
            <w:tcMar>
              <w:top w:w="40" w:type="dxa"/>
              <w:left w:w="20" w:type="dxa"/>
              <w:bottom w:w="40" w:type="dxa"/>
              <w:right w:w="0" w:type="dxa"/>
            </w:tcMar>
            <w:vAlign w:val="bottom"/>
          </w:tcPr>
          <w:p w14:paraId="64A89CE1" w14:textId="77777777" w:rsidR="008D6614" w:rsidRDefault="00866AF2">
            <w:pPr>
              <w:jc w:val="right"/>
              <w:textAlignment w:val="bottom"/>
            </w:pPr>
            <w:r>
              <w:rPr>
                <w:rFonts w:ascii="Arial" w:eastAsia="宋体" w:hAnsi="Arial" w:cs="Arial"/>
                <w:color w:val="000000"/>
                <w:sz w:val="18"/>
                <w:szCs w:val="18"/>
              </w:rPr>
              <w:t>Other Current Assets </w:t>
            </w:r>
          </w:p>
        </w:tc>
        <w:tc>
          <w:tcPr>
            <w:tcW w:w="0" w:type="auto"/>
            <w:shd w:val="clear" w:color="auto" w:fill="FFFFFF"/>
            <w:tcMar>
              <w:top w:w="40" w:type="dxa"/>
              <w:bottom w:w="40" w:type="dxa"/>
              <w:right w:w="20" w:type="dxa"/>
            </w:tcMar>
            <w:vAlign w:val="bottom"/>
          </w:tcPr>
          <w:p w14:paraId="64A89CE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CE3"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CE4"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CE5" w14:textId="77777777" w:rsidR="008D6614" w:rsidRDefault="00866AF2">
            <w:pPr>
              <w:jc w:val="right"/>
              <w:textAlignment w:val="bottom"/>
            </w:pPr>
            <w:r>
              <w:rPr>
                <w:rFonts w:ascii="Arial" w:eastAsia="宋体" w:hAnsi="Arial" w:cs="Arial"/>
                <w:color w:val="000000"/>
                <w:sz w:val="18"/>
                <w:szCs w:val="18"/>
              </w:rPr>
              <w:t>70 </w:t>
            </w:r>
          </w:p>
        </w:tc>
        <w:tc>
          <w:tcPr>
            <w:tcW w:w="0" w:type="auto"/>
            <w:shd w:val="clear" w:color="auto" w:fill="FFFFFF"/>
            <w:tcMar>
              <w:top w:w="40" w:type="dxa"/>
              <w:bottom w:w="40" w:type="dxa"/>
              <w:right w:w="20" w:type="dxa"/>
            </w:tcMar>
            <w:vAlign w:val="bottom"/>
          </w:tcPr>
          <w:p w14:paraId="64A89CE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CE7"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CE8"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CE9" w14:textId="77777777" w:rsidR="008D6614" w:rsidRDefault="00866AF2">
            <w:pPr>
              <w:jc w:val="right"/>
              <w:textAlignment w:val="bottom"/>
            </w:pPr>
            <w:r>
              <w:rPr>
                <w:rFonts w:ascii="Arial" w:eastAsia="宋体" w:hAnsi="Arial" w:cs="Arial"/>
                <w:color w:val="000000"/>
                <w:sz w:val="18"/>
                <w:szCs w:val="18"/>
              </w:rPr>
              <w:t>36 </w:t>
            </w:r>
          </w:p>
        </w:tc>
        <w:tc>
          <w:tcPr>
            <w:tcW w:w="0" w:type="auto"/>
            <w:shd w:val="clear" w:color="auto" w:fill="FFFFFF"/>
            <w:tcMar>
              <w:top w:w="40" w:type="dxa"/>
              <w:bottom w:w="40" w:type="dxa"/>
              <w:right w:w="20" w:type="dxa"/>
            </w:tcMar>
            <w:vAlign w:val="bottom"/>
          </w:tcPr>
          <w:p w14:paraId="64A89CEA" w14:textId="77777777" w:rsidR="008D6614" w:rsidRDefault="00866AF2">
            <w:pPr>
              <w:jc w:val="right"/>
              <w:textAlignment w:val="bottom"/>
            </w:pPr>
            <w:r>
              <w:rPr>
                <w:rFonts w:ascii="Arial" w:eastAsia="宋体" w:hAnsi="Arial" w:cs="Arial"/>
                <w:color w:val="000000"/>
                <w:sz w:val="18"/>
                <w:szCs w:val="18"/>
              </w:rPr>
              <w:t> </w:t>
            </w:r>
          </w:p>
        </w:tc>
      </w:tr>
      <w:tr w:rsidR="008D6614" w14:paraId="64A89CF5" w14:textId="77777777">
        <w:tc>
          <w:tcPr>
            <w:tcW w:w="0" w:type="auto"/>
            <w:gridSpan w:val="3"/>
            <w:shd w:val="clear" w:color="auto" w:fill="E2E2E2"/>
            <w:tcMar>
              <w:top w:w="40" w:type="dxa"/>
              <w:left w:w="20" w:type="dxa"/>
              <w:bottom w:w="40" w:type="dxa"/>
              <w:right w:w="20" w:type="dxa"/>
            </w:tcMar>
            <w:vAlign w:val="bottom"/>
          </w:tcPr>
          <w:p w14:paraId="64A89CEC" w14:textId="77777777" w:rsidR="008D6614" w:rsidRDefault="00866AF2">
            <w:pPr>
              <w:textAlignment w:val="bottom"/>
            </w:pPr>
            <w:r>
              <w:rPr>
                <w:rFonts w:ascii="Arial" w:eastAsia="宋体" w:hAnsi="Arial" w:cs="Arial"/>
                <w:color w:val="000000"/>
                <w:sz w:val="18"/>
                <w:szCs w:val="18"/>
              </w:rPr>
              <w:t>Foreign exchange contracts designated as net investment hedges</w:t>
            </w:r>
          </w:p>
        </w:tc>
        <w:tc>
          <w:tcPr>
            <w:tcW w:w="0" w:type="auto"/>
            <w:gridSpan w:val="2"/>
            <w:shd w:val="clear" w:color="auto" w:fill="E2E2E2"/>
            <w:tcMar>
              <w:top w:w="40" w:type="dxa"/>
              <w:left w:w="20" w:type="dxa"/>
              <w:bottom w:w="40" w:type="dxa"/>
              <w:right w:w="0" w:type="dxa"/>
            </w:tcMar>
            <w:vAlign w:val="bottom"/>
          </w:tcPr>
          <w:p w14:paraId="64A89CED" w14:textId="77777777" w:rsidR="008D6614" w:rsidRDefault="00866AF2">
            <w:pPr>
              <w:jc w:val="right"/>
              <w:textAlignment w:val="bottom"/>
            </w:pPr>
            <w:r>
              <w:rPr>
                <w:rFonts w:ascii="Arial" w:eastAsia="宋体" w:hAnsi="Arial" w:cs="Arial"/>
                <w:color w:val="000000"/>
                <w:sz w:val="18"/>
                <w:szCs w:val="18"/>
              </w:rPr>
              <w:t>Other Current Assets </w:t>
            </w:r>
          </w:p>
        </w:tc>
        <w:tc>
          <w:tcPr>
            <w:tcW w:w="0" w:type="auto"/>
            <w:shd w:val="clear" w:color="auto" w:fill="E2E2E2"/>
            <w:tcMar>
              <w:top w:w="40" w:type="dxa"/>
              <w:bottom w:w="40" w:type="dxa"/>
              <w:right w:w="20" w:type="dxa"/>
            </w:tcMar>
            <w:vAlign w:val="bottom"/>
          </w:tcPr>
          <w:p w14:paraId="64A89CE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CE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CF0" w14:textId="77777777" w:rsidR="008D6614" w:rsidRDefault="00866AF2">
            <w:pPr>
              <w:jc w:val="right"/>
              <w:textAlignment w:val="bottom"/>
            </w:pPr>
            <w:r>
              <w:rPr>
                <w:rFonts w:ascii="Arial" w:eastAsia="宋体" w:hAnsi="Arial" w:cs="Arial"/>
                <w:color w:val="000000"/>
                <w:sz w:val="18"/>
                <w:szCs w:val="18"/>
              </w:rPr>
              <w:t>4 </w:t>
            </w:r>
          </w:p>
        </w:tc>
        <w:tc>
          <w:tcPr>
            <w:tcW w:w="0" w:type="auto"/>
            <w:shd w:val="clear" w:color="auto" w:fill="E2E2E2"/>
            <w:tcMar>
              <w:top w:w="40" w:type="dxa"/>
              <w:bottom w:w="40" w:type="dxa"/>
              <w:right w:w="20" w:type="dxa"/>
            </w:tcMar>
            <w:vAlign w:val="bottom"/>
          </w:tcPr>
          <w:p w14:paraId="64A89CF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CF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CF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9CF4" w14:textId="77777777" w:rsidR="008D6614" w:rsidRDefault="00866AF2">
            <w:pPr>
              <w:jc w:val="right"/>
              <w:textAlignment w:val="bottom"/>
            </w:pPr>
            <w:r>
              <w:rPr>
                <w:rFonts w:ascii="Arial" w:eastAsia="宋体" w:hAnsi="Arial" w:cs="Arial"/>
                <w:color w:val="000000"/>
                <w:sz w:val="18"/>
                <w:szCs w:val="18"/>
              </w:rPr>
              <w:t> </w:t>
            </w:r>
          </w:p>
        </w:tc>
      </w:tr>
      <w:tr w:rsidR="008D6614" w14:paraId="64A89CFF" w14:textId="77777777">
        <w:tc>
          <w:tcPr>
            <w:tcW w:w="0" w:type="auto"/>
            <w:gridSpan w:val="3"/>
            <w:shd w:val="clear" w:color="auto" w:fill="FFFFFF"/>
            <w:tcMar>
              <w:top w:w="40" w:type="dxa"/>
              <w:left w:w="20" w:type="dxa"/>
              <w:bottom w:w="40" w:type="dxa"/>
              <w:right w:w="20" w:type="dxa"/>
            </w:tcMar>
            <w:vAlign w:val="bottom"/>
          </w:tcPr>
          <w:p w14:paraId="64A89CF6" w14:textId="77777777" w:rsidR="008D6614" w:rsidRDefault="00866AF2">
            <w:pPr>
              <w:textAlignment w:val="bottom"/>
            </w:pPr>
            <w:r>
              <w:rPr>
                <w:rFonts w:ascii="Arial" w:eastAsia="宋体" w:hAnsi="Arial" w:cs="Arial"/>
                <w:color w:val="000000"/>
                <w:sz w:val="18"/>
                <w:szCs w:val="18"/>
              </w:rPr>
              <w:t xml:space="preserve">Foreign exchange contracts not designated as </w:t>
            </w:r>
            <w:r>
              <w:rPr>
                <w:rFonts w:ascii="Arial" w:eastAsia="宋体" w:hAnsi="Arial" w:cs="Arial"/>
                <w:color w:val="000000"/>
                <w:sz w:val="18"/>
                <w:szCs w:val="18"/>
              </w:rPr>
              <w:t>hedging instruments</w:t>
            </w:r>
          </w:p>
        </w:tc>
        <w:tc>
          <w:tcPr>
            <w:tcW w:w="0" w:type="auto"/>
            <w:gridSpan w:val="2"/>
            <w:shd w:val="clear" w:color="auto" w:fill="FFFFFF"/>
            <w:tcMar>
              <w:top w:w="40" w:type="dxa"/>
              <w:left w:w="20" w:type="dxa"/>
              <w:bottom w:w="40" w:type="dxa"/>
              <w:right w:w="0" w:type="dxa"/>
            </w:tcMar>
            <w:vAlign w:val="bottom"/>
          </w:tcPr>
          <w:p w14:paraId="64A89CF7" w14:textId="77777777" w:rsidR="008D6614" w:rsidRDefault="00866AF2">
            <w:pPr>
              <w:jc w:val="right"/>
              <w:textAlignment w:val="bottom"/>
            </w:pPr>
            <w:r>
              <w:rPr>
                <w:rFonts w:ascii="Arial" w:eastAsia="宋体" w:hAnsi="Arial" w:cs="Arial"/>
                <w:color w:val="000000"/>
                <w:sz w:val="18"/>
                <w:szCs w:val="18"/>
              </w:rPr>
              <w:t>Other Current Assets </w:t>
            </w:r>
          </w:p>
        </w:tc>
        <w:tc>
          <w:tcPr>
            <w:tcW w:w="0" w:type="auto"/>
            <w:shd w:val="clear" w:color="auto" w:fill="FFFFFF"/>
            <w:tcMar>
              <w:top w:w="40" w:type="dxa"/>
              <w:bottom w:w="40" w:type="dxa"/>
              <w:right w:w="20" w:type="dxa"/>
            </w:tcMar>
            <w:vAlign w:val="bottom"/>
          </w:tcPr>
          <w:p w14:paraId="64A89CF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CF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CFA" w14:textId="77777777" w:rsidR="008D6614" w:rsidRDefault="00866AF2">
            <w:pPr>
              <w:jc w:val="right"/>
              <w:textAlignment w:val="bottom"/>
            </w:pPr>
            <w:r>
              <w:rPr>
                <w:rFonts w:ascii="Arial" w:eastAsia="宋体" w:hAnsi="Arial" w:cs="Arial"/>
                <w:color w:val="000000"/>
                <w:sz w:val="18"/>
                <w:szCs w:val="18"/>
              </w:rPr>
              <w:t>23 </w:t>
            </w:r>
          </w:p>
        </w:tc>
        <w:tc>
          <w:tcPr>
            <w:tcW w:w="0" w:type="auto"/>
            <w:shd w:val="clear" w:color="auto" w:fill="FFFFFF"/>
            <w:tcMar>
              <w:top w:w="40" w:type="dxa"/>
              <w:bottom w:w="40" w:type="dxa"/>
              <w:right w:w="20" w:type="dxa"/>
            </w:tcMar>
            <w:vAlign w:val="bottom"/>
          </w:tcPr>
          <w:p w14:paraId="64A89CF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CF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CFD" w14:textId="77777777" w:rsidR="008D6614" w:rsidRDefault="00866AF2">
            <w:pPr>
              <w:jc w:val="right"/>
              <w:textAlignment w:val="bottom"/>
            </w:pPr>
            <w:r>
              <w:rPr>
                <w:rFonts w:ascii="Arial" w:eastAsia="宋体" w:hAnsi="Arial" w:cs="Arial"/>
                <w:color w:val="000000"/>
                <w:sz w:val="18"/>
                <w:szCs w:val="18"/>
              </w:rPr>
              <w:t>15 </w:t>
            </w:r>
          </w:p>
        </w:tc>
        <w:tc>
          <w:tcPr>
            <w:tcW w:w="0" w:type="auto"/>
            <w:shd w:val="clear" w:color="auto" w:fill="FFFFFF"/>
            <w:tcMar>
              <w:top w:w="40" w:type="dxa"/>
              <w:bottom w:w="40" w:type="dxa"/>
              <w:right w:w="20" w:type="dxa"/>
            </w:tcMar>
            <w:vAlign w:val="bottom"/>
          </w:tcPr>
          <w:p w14:paraId="64A89CFE" w14:textId="77777777" w:rsidR="008D6614" w:rsidRDefault="00866AF2">
            <w:pPr>
              <w:jc w:val="right"/>
              <w:textAlignment w:val="bottom"/>
            </w:pPr>
            <w:r>
              <w:rPr>
                <w:rFonts w:ascii="Arial" w:eastAsia="宋体" w:hAnsi="Arial" w:cs="Arial"/>
                <w:color w:val="000000"/>
                <w:sz w:val="18"/>
                <w:szCs w:val="18"/>
              </w:rPr>
              <w:t> </w:t>
            </w:r>
          </w:p>
        </w:tc>
      </w:tr>
      <w:tr w:rsidR="008D6614" w14:paraId="64A89D09" w14:textId="77777777">
        <w:tc>
          <w:tcPr>
            <w:tcW w:w="0" w:type="auto"/>
            <w:gridSpan w:val="3"/>
            <w:shd w:val="clear" w:color="auto" w:fill="E2E2E2"/>
            <w:tcMar>
              <w:top w:w="40" w:type="dxa"/>
              <w:left w:w="20" w:type="dxa"/>
              <w:bottom w:w="40" w:type="dxa"/>
              <w:right w:w="20" w:type="dxa"/>
            </w:tcMar>
            <w:vAlign w:val="bottom"/>
          </w:tcPr>
          <w:p w14:paraId="64A89D00" w14:textId="77777777" w:rsidR="008D6614" w:rsidRDefault="00866AF2">
            <w:pPr>
              <w:textAlignment w:val="bottom"/>
            </w:pPr>
            <w:r>
              <w:rPr>
                <w:rFonts w:ascii="Arial" w:eastAsia="宋体" w:hAnsi="Arial" w:cs="Arial"/>
                <w:color w:val="000000"/>
                <w:sz w:val="18"/>
                <w:szCs w:val="18"/>
              </w:rPr>
              <w:t>Warrant</w:t>
            </w:r>
          </w:p>
        </w:tc>
        <w:tc>
          <w:tcPr>
            <w:tcW w:w="0" w:type="auto"/>
            <w:gridSpan w:val="2"/>
            <w:shd w:val="clear" w:color="auto" w:fill="E2E2E2"/>
            <w:tcMar>
              <w:top w:w="40" w:type="dxa"/>
              <w:left w:w="20" w:type="dxa"/>
              <w:bottom w:w="40" w:type="dxa"/>
              <w:right w:w="0" w:type="dxa"/>
            </w:tcMar>
            <w:vAlign w:val="bottom"/>
          </w:tcPr>
          <w:p w14:paraId="64A89D01" w14:textId="77777777" w:rsidR="008D6614" w:rsidRDefault="00866AF2">
            <w:pPr>
              <w:jc w:val="right"/>
              <w:textAlignment w:val="bottom"/>
            </w:pPr>
            <w:r>
              <w:rPr>
                <w:rFonts w:ascii="Arial" w:eastAsia="宋体" w:hAnsi="Arial" w:cs="Arial"/>
                <w:color w:val="000000"/>
                <w:sz w:val="18"/>
                <w:szCs w:val="18"/>
              </w:rPr>
              <w:t>Other Assets </w:t>
            </w:r>
          </w:p>
        </w:tc>
        <w:tc>
          <w:tcPr>
            <w:tcW w:w="0" w:type="auto"/>
            <w:shd w:val="clear" w:color="auto" w:fill="E2E2E2"/>
            <w:tcMar>
              <w:top w:w="40" w:type="dxa"/>
              <w:bottom w:w="40" w:type="dxa"/>
              <w:right w:w="20" w:type="dxa"/>
            </w:tcMar>
            <w:vAlign w:val="bottom"/>
          </w:tcPr>
          <w:p w14:paraId="64A89D0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D0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D04" w14:textId="77777777" w:rsidR="008D6614" w:rsidRDefault="00866AF2">
            <w:pPr>
              <w:jc w:val="right"/>
              <w:textAlignment w:val="bottom"/>
            </w:pPr>
            <w:r>
              <w:rPr>
                <w:rFonts w:ascii="Arial" w:eastAsia="宋体" w:hAnsi="Arial" w:cs="Arial"/>
                <w:color w:val="000000"/>
                <w:sz w:val="18"/>
                <w:szCs w:val="18"/>
              </w:rPr>
              <w:t>293 </w:t>
            </w:r>
          </w:p>
        </w:tc>
        <w:tc>
          <w:tcPr>
            <w:tcW w:w="0" w:type="auto"/>
            <w:shd w:val="clear" w:color="auto" w:fill="E2E2E2"/>
            <w:tcMar>
              <w:top w:w="40" w:type="dxa"/>
              <w:bottom w:w="40" w:type="dxa"/>
              <w:right w:w="20" w:type="dxa"/>
            </w:tcMar>
            <w:vAlign w:val="bottom"/>
          </w:tcPr>
          <w:p w14:paraId="64A89D0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D06"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D07" w14:textId="77777777" w:rsidR="008D6614" w:rsidRDefault="00866AF2">
            <w:pPr>
              <w:jc w:val="right"/>
              <w:textAlignment w:val="bottom"/>
            </w:pPr>
            <w:r>
              <w:rPr>
                <w:rFonts w:ascii="Arial" w:eastAsia="宋体" w:hAnsi="Arial" w:cs="Arial"/>
                <w:color w:val="000000"/>
                <w:sz w:val="18"/>
                <w:szCs w:val="18"/>
              </w:rPr>
              <w:t>281 </w:t>
            </w:r>
          </w:p>
        </w:tc>
        <w:tc>
          <w:tcPr>
            <w:tcW w:w="0" w:type="auto"/>
            <w:shd w:val="clear" w:color="auto" w:fill="E2E2E2"/>
            <w:tcMar>
              <w:top w:w="40" w:type="dxa"/>
              <w:bottom w:w="40" w:type="dxa"/>
              <w:right w:w="20" w:type="dxa"/>
            </w:tcMar>
            <w:vAlign w:val="bottom"/>
          </w:tcPr>
          <w:p w14:paraId="64A89D08" w14:textId="77777777" w:rsidR="008D6614" w:rsidRDefault="00866AF2">
            <w:pPr>
              <w:jc w:val="right"/>
              <w:textAlignment w:val="bottom"/>
            </w:pPr>
            <w:r>
              <w:rPr>
                <w:rFonts w:ascii="Arial" w:eastAsia="宋体" w:hAnsi="Arial" w:cs="Arial"/>
                <w:color w:val="000000"/>
                <w:sz w:val="18"/>
                <w:szCs w:val="18"/>
              </w:rPr>
              <w:t> </w:t>
            </w:r>
          </w:p>
        </w:tc>
      </w:tr>
      <w:tr w:rsidR="008D6614" w14:paraId="64A89D13" w14:textId="77777777">
        <w:tc>
          <w:tcPr>
            <w:tcW w:w="0" w:type="auto"/>
            <w:gridSpan w:val="3"/>
            <w:shd w:val="clear" w:color="auto" w:fill="FFFFFF"/>
            <w:tcMar>
              <w:top w:w="40" w:type="dxa"/>
              <w:left w:w="20" w:type="dxa"/>
              <w:bottom w:w="40" w:type="dxa"/>
              <w:right w:w="20" w:type="dxa"/>
            </w:tcMar>
            <w:vAlign w:val="bottom"/>
          </w:tcPr>
          <w:p w14:paraId="64A89D0A" w14:textId="77777777" w:rsidR="008D6614" w:rsidRDefault="00866AF2">
            <w:pPr>
              <w:textAlignment w:val="bottom"/>
            </w:pPr>
            <w:r>
              <w:rPr>
                <w:rFonts w:ascii="Arial" w:eastAsia="宋体" w:hAnsi="Arial" w:cs="Arial"/>
                <w:color w:val="000000"/>
                <w:sz w:val="18"/>
                <w:szCs w:val="18"/>
              </w:rPr>
              <w:t>Foreign exchange contracts designated as cash flow hedges</w:t>
            </w:r>
          </w:p>
        </w:tc>
        <w:tc>
          <w:tcPr>
            <w:tcW w:w="0" w:type="auto"/>
            <w:gridSpan w:val="2"/>
            <w:shd w:val="clear" w:color="auto" w:fill="FFFFFF"/>
            <w:tcMar>
              <w:top w:w="40" w:type="dxa"/>
              <w:left w:w="20" w:type="dxa"/>
              <w:bottom w:w="40" w:type="dxa"/>
              <w:right w:w="0" w:type="dxa"/>
            </w:tcMar>
            <w:vAlign w:val="bottom"/>
          </w:tcPr>
          <w:p w14:paraId="64A89D0B" w14:textId="77777777" w:rsidR="008D6614" w:rsidRDefault="00866AF2">
            <w:pPr>
              <w:jc w:val="right"/>
              <w:textAlignment w:val="bottom"/>
            </w:pPr>
            <w:r>
              <w:rPr>
                <w:rFonts w:ascii="Arial" w:eastAsia="宋体" w:hAnsi="Arial" w:cs="Arial"/>
                <w:color w:val="000000"/>
                <w:sz w:val="18"/>
                <w:szCs w:val="18"/>
              </w:rPr>
              <w:t>Other Assets </w:t>
            </w:r>
          </w:p>
        </w:tc>
        <w:tc>
          <w:tcPr>
            <w:tcW w:w="0" w:type="auto"/>
            <w:shd w:val="clear" w:color="auto" w:fill="FFFFFF"/>
            <w:tcMar>
              <w:top w:w="40" w:type="dxa"/>
              <w:bottom w:w="40" w:type="dxa"/>
              <w:right w:w="20" w:type="dxa"/>
            </w:tcMar>
            <w:vAlign w:val="bottom"/>
          </w:tcPr>
          <w:p w14:paraId="64A89D0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D0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D0E" w14:textId="77777777" w:rsidR="008D6614" w:rsidRDefault="00866AF2">
            <w:pPr>
              <w:jc w:val="right"/>
              <w:textAlignment w:val="bottom"/>
            </w:pPr>
            <w:r>
              <w:rPr>
                <w:rFonts w:ascii="Arial" w:eastAsia="宋体" w:hAnsi="Arial" w:cs="Arial"/>
                <w:color w:val="000000"/>
                <w:sz w:val="18"/>
                <w:szCs w:val="18"/>
              </w:rPr>
              <w:t>24 </w:t>
            </w:r>
          </w:p>
        </w:tc>
        <w:tc>
          <w:tcPr>
            <w:tcW w:w="0" w:type="auto"/>
            <w:shd w:val="clear" w:color="auto" w:fill="FFFFFF"/>
            <w:tcMar>
              <w:top w:w="40" w:type="dxa"/>
              <w:bottom w:w="40" w:type="dxa"/>
              <w:right w:w="20" w:type="dxa"/>
            </w:tcMar>
            <w:vAlign w:val="bottom"/>
          </w:tcPr>
          <w:p w14:paraId="64A89D0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D1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D11" w14:textId="77777777" w:rsidR="008D6614" w:rsidRDefault="00866AF2">
            <w:pPr>
              <w:jc w:val="right"/>
              <w:textAlignment w:val="bottom"/>
            </w:pPr>
            <w:r>
              <w:rPr>
                <w:rFonts w:ascii="Arial" w:eastAsia="宋体" w:hAnsi="Arial" w:cs="Arial"/>
                <w:color w:val="000000"/>
                <w:sz w:val="18"/>
                <w:szCs w:val="18"/>
              </w:rPr>
              <w:t>15 </w:t>
            </w:r>
          </w:p>
        </w:tc>
        <w:tc>
          <w:tcPr>
            <w:tcW w:w="0" w:type="auto"/>
            <w:shd w:val="clear" w:color="auto" w:fill="FFFFFF"/>
            <w:tcMar>
              <w:top w:w="40" w:type="dxa"/>
              <w:bottom w:w="40" w:type="dxa"/>
              <w:right w:w="20" w:type="dxa"/>
            </w:tcMar>
            <w:vAlign w:val="bottom"/>
          </w:tcPr>
          <w:p w14:paraId="64A89D12" w14:textId="77777777" w:rsidR="008D6614" w:rsidRDefault="00866AF2">
            <w:pPr>
              <w:jc w:val="right"/>
              <w:textAlignment w:val="bottom"/>
            </w:pPr>
            <w:r>
              <w:rPr>
                <w:rFonts w:ascii="Arial" w:eastAsia="宋体" w:hAnsi="Arial" w:cs="Arial"/>
                <w:color w:val="000000"/>
                <w:sz w:val="18"/>
                <w:szCs w:val="18"/>
              </w:rPr>
              <w:t> </w:t>
            </w:r>
          </w:p>
        </w:tc>
      </w:tr>
      <w:tr w:rsidR="008D6614" w14:paraId="64A89D1A" w14:textId="77777777">
        <w:trPr>
          <w:hidden/>
        </w:trPr>
        <w:tc>
          <w:tcPr>
            <w:tcW w:w="0" w:type="auto"/>
            <w:gridSpan w:val="3"/>
            <w:shd w:val="clear" w:color="auto" w:fill="auto"/>
            <w:vAlign w:val="center"/>
          </w:tcPr>
          <w:p w14:paraId="64A89D14" w14:textId="77777777" w:rsidR="008D6614" w:rsidRDefault="008D6614">
            <w:pPr>
              <w:rPr>
                <w:rFonts w:ascii="宋体"/>
                <w:vanish/>
              </w:rPr>
            </w:pPr>
          </w:p>
        </w:tc>
        <w:tc>
          <w:tcPr>
            <w:tcW w:w="0" w:type="auto"/>
            <w:gridSpan w:val="3"/>
            <w:shd w:val="clear" w:color="auto" w:fill="auto"/>
            <w:vAlign w:val="center"/>
          </w:tcPr>
          <w:p w14:paraId="64A89D15" w14:textId="77777777" w:rsidR="008D6614" w:rsidRDefault="008D6614">
            <w:pPr>
              <w:rPr>
                <w:rFonts w:ascii="宋体"/>
                <w:vanish/>
              </w:rPr>
            </w:pPr>
          </w:p>
        </w:tc>
        <w:tc>
          <w:tcPr>
            <w:tcW w:w="0" w:type="auto"/>
            <w:gridSpan w:val="3"/>
            <w:shd w:val="clear" w:color="auto" w:fill="auto"/>
            <w:vAlign w:val="center"/>
          </w:tcPr>
          <w:p w14:paraId="64A89D16" w14:textId="77777777" w:rsidR="008D6614" w:rsidRDefault="008D6614">
            <w:pPr>
              <w:rPr>
                <w:rFonts w:ascii="宋体"/>
                <w:vanish/>
              </w:rPr>
            </w:pPr>
          </w:p>
        </w:tc>
        <w:tc>
          <w:tcPr>
            <w:tcW w:w="0" w:type="auto"/>
            <w:gridSpan w:val="3"/>
            <w:shd w:val="clear" w:color="auto" w:fill="auto"/>
            <w:vAlign w:val="center"/>
          </w:tcPr>
          <w:p w14:paraId="64A89D17" w14:textId="77777777" w:rsidR="008D6614" w:rsidRDefault="008D6614">
            <w:pPr>
              <w:rPr>
                <w:rFonts w:ascii="宋体"/>
                <w:vanish/>
              </w:rPr>
            </w:pPr>
          </w:p>
        </w:tc>
        <w:tc>
          <w:tcPr>
            <w:tcW w:w="0" w:type="auto"/>
            <w:gridSpan w:val="3"/>
            <w:shd w:val="clear" w:color="auto" w:fill="auto"/>
            <w:vAlign w:val="center"/>
          </w:tcPr>
          <w:p w14:paraId="64A89D18" w14:textId="77777777" w:rsidR="008D6614" w:rsidRDefault="008D6614">
            <w:pPr>
              <w:rPr>
                <w:rFonts w:ascii="宋体"/>
                <w:vanish/>
              </w:rPr>
            </w:pPr>
          </w:p>
        </w:tc>
        <w:tc>
          <w:tcPr>
            <w:tcW w:w="0" w:type="auto"/>
            <w:gridSpan w:val="3"/>
            <w:shd w:val="clear" w:color="auto" w:fill="auto"/>
            <w:vAlign w:val="center"/>
          </w:tcPr>
          <w:p w14:paraId="64A89D19" w14:textId="77777777" w:rsidR="008D6614" w:rsidRDefault="008D6614">
            <w:pPr>
              <w:rPr>
                <w:rFonts w:ascii="宋体"/>
                <w:vanish/>
              </w:rPr>
            </w:pPr>
          </w:p>
        </w:tc>
      </w:tr>
      <w:tr w:rsidR="008D6614" w14:paraId="64A89D21" w14:textId="77777777">
        <w:trPr>
          <w:hidden/>
        </w:trPr>
        <w:tc>
          <w:tcPr>
            <w:tcW w:w="0" w:type="auto"/>
            <w:gridSpan w:val="3"/>
            <w:shd w:val="clear" w:color="auto" w:fill="auto"/>
            <w:vAlign w:val="center"/>
          </w:tcPr>
          <w:p w14:paraId="64A89D1B" w14:textId="77777777" w:rsidR="008D6614" w:rsidRDefault="008D6614">
            <w:pPr>
              <w:rPr>
                <w:rFonts w:ascii="宋体"/>
                <w:vanish/>
              </w:rPr>
            </w:pPr>
          </w:p>
        </w:tc>
        <w:tc>
          <w:tcPr>
            <w:tcW w:w="0" w:type="auto"/>
            <w:gridSpan w:val="3"/>
            <w:shd w:val="clear" w:color="auto" w:fill="auto"/>
            <w:vAlign w:val="center"/>
          </w:tcPr>
          <w:p w14:paraId="64A89D1C" w14:textId="77777777" w:rsidR="008D6614" w:rsidRDefault="008D6614">
            <w:pPr>
              <w:rPr>
                <w:rFonts w:ascii="宋体"/>
                <w:vanish/>
              </w:rPr>
            </w:pPr>
          </w:p>
        </w:tc>
        <w:tc>
          <w:tcPr>
            <w:tcW w:w="0" w:type="auto"/>
            <w:gridSpan w:val="3"/>
            <w:shd w:val="clear" w:color="auto" w:fill="auto"/>
            <w:vAlign w:val="center"/>
          </w:tcPr>
          <w:p w14:paraId="64A89D1D" w14:textId="77777777" w:rsidR="008D6614" w:rsidRDefault="008D6614">
            <w:pPr>
              <w:rPr>
                <w:rFonts w:ascii="宋体"/>
                <w:vanish/>
              </w:rPr>
            </w:pPr>
          </w:p>
        </w:tc>
        <w:tc>
          <w:tcPr>
            <w:tcW w:w="0" w:type="auto"/>
            <w:gridSpan w:val="3"/>
            <w:shd w:val="clear" w:color="auto" w:fill="auto"/>
            <w:vAlign w:val="center"/>
          </w:tcPr>
          <w:p w14:paraId="64A89D1E" w14:textId="77777777" w:rsidR="008D6614" w:rsidRDefault="008D6614">
            <w:pPr>
              <w:rPr>
                <w:rFonts w:ascii="宋体"/>
                <w:vanish/>
              </w:rPr>
            </w:pPr>
          </w:p>
        </w:tc>
        <w:tc>
          <w:tcPr>
            <w:tcW w:w="0" w:type="auto"/>
            <w:gridSpan w:val="3"/>
            <w:shd w:val="clear" w:color="auto" w:fill="auto"/>
            <w:vAlign w:val="center"/>
          </w:tcPr>
          <w:p w14:paraId="64A89D1F" w14:textId="77777777" w:rsidR="008D6614" w:rsidRDefault="008D6614">
            <w:pPr>
              <w:rPr>
                <w:rFonts w:ascii="宋体"/>
                <w:vanish/>
              </w:rPr>
            </w:pPr>
          </w:p>
        </w:tc>
        <w:tc>
          <w:tcPr>
            <w:tcW w:w="0" w:type="auto"/>
            <w:gridSpan w:val="3"/>
            <w:shd w:val="clear" w:color="auto" w:fill="auto"/>
            <w:vAlign w:val="center"/>
          </w:tcPr>
          <w:p w14:paraId="64A89D20" w14:textId="77777777" w:rsidR="008D6614" w:rsidRDefault="008D6614">
            <w:pPr>
              <w:rPr>
                <w:rFonts w:ascii="宋体"/>
                <w:vanish/>
              </w:rPr>
            </w:pPr>
          </w:p>
        </w:tc>
      </w:tr>
      <w:tr w:rsidR="008D6614" w14:paraId="64A89D2C" w14:textId="77777777">
        <w:tc>
          <w:tcPr>
            <w:tcW w:w="0" w:type="auto"/>
            <w:gridSpan w:val="3"/>
            <w:shd w:val="clear" w:color="auto" w:fill="E2E2E2"/>
            <w:tcMar>
              <w:top w:w="40" w:type="dxa"/>
              <w:left w:w="225" w:type="dxa"/>
              <w:bottom w:w="40" w:type="dxa"/>
              <w:right w:w="20" w:type="dxa"/>
            </w:tcMar>
            <w:vAlign w:val="bottom"/>
          </w:tcPr>
          <w:p w14:paraId="64A89D22" w14:textId="77777777" w:rsidR="008D6614" w:rsidRDefault="00866AF2">
            <w:pPr>
              <w:textAlignment w:val="bottom"/>
            </w:pPr>
            <w:r>
              <w:rPr>
                <w:rFonts w:ascii="Arial" w:eastAsia="宋体" w:hAnsi="Arial" w:cs="Arial"/>
                <w:color w:val="000000"/>
                <w:sz w:val="18"/>
                <w:szCs w:val="18"/>
              </w:rPr>
              <w:t>Total derivative assets</w:t>
            </w:r>
          </w:p>
        </w:tc>
        <w:tc>
          <w:tcPr>
            <w:tcW w:w="0" w:type="auto"/>
            <w:gridSpan w:val="3"/>
            <w:shd w:val="clear" w:color="auto" w:fill="E2E2E2"/>
            <w:tcMar>
              <w:left w:w="20" w:type="dxa"/>
              <w:right w:w="20" w:type="dxa"/>
            </w:tcMar>
            <w:vAlign w:val="bottom"/>
          </w:tcPr>
          <w:p w14:paraId="64A89D23"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D24"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D2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D26" w14:textId="77777777" w:rsidR="008D6614" w:rsidRDefault="00866AF2">
            <w:pPr>
              <w:jc w:val="right"/>
              <w:textAlignment w:val="bottom"/>
            </w:pPr>
            <w:r>
              <w:rPr>
                <w:rFonts w:ascii="Arial" w:eastAsia="宋体" w:hAnsi="Arial" w:cs="Arial"/>
                <w:color w:val="000000"/>
                <w:sz w:val="18"/>
                <w:szCs w:val="18"/>
              </w:rPr>
              <w:t>414 </w:t>
            </w:r>
          </w:p>
        </w:tc>
        <w:tc>
          <w:tcPr>
            <w:tcW w:w="0" w:type="auto"/>
            <w:tcBorders>
              <w:top w:val="single" w:sz="8" w:space="0" w:color="000000"/>
            </w:tcBorders>
            <w:shd w:val="clear" w:color="auto" w:fill="E2E2E2"/>
            <w:tcMar>
              <w:top w:w="40" w:type="dxa"/>
              <w:bottom w:w="40" w:type="dxa"/>
              <w:right w:w="20" w:type="dxa"/>
            </w:tcMar>
            <w:vAlign w:val="bottom"/>
          </w:tcPr>
          <w:p w14:paraId="64A89D2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D28"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D2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D2A" w14:textId="77777777" w:rsidR="008D6614" w:rsidRDefault="00866AF2">
            <w:pPr>
              <w:jc w:val="right"/>
              <w:textAlignment w:val="bottom"/>
            </w:pPr>
            <w:r>
              <w:rPr>
                <w:rFonts w:ascii="Arial" w:eastAsia="宋体" w:hAnsi="Arial" w:cs="Arial"/>
                <w:color w:val="000000"/>
                <w:sz w:val="18"/>
                <w:szCs w:val="18"/>
              </w:rPr>
              <w:t>347 </w:t>
            </w:r>
          </w:p>
        </w:tc>
        <w:tc>
          <w:tcPr>
            <w:tcW w:w="0" w:type="auto"/>
            <w:tcBorders>
              <w:top w:val="single" w:sz="8" w:space="0" w:color="000000"/>
            </w:tcBorders>
            <w:shd w:val="clear" w:color="auto" w:fill="E2E2E2"/>
            <w:tcMar>
              <w:top w:w="40" w:type="dxa"/>
              <w:bottom w:w="40" w:type="dxa"/>
              <w:right w:w="20" w:type="dxa"/>
            </w:tcMar>
            <w:vAlign w:val="bottom"/>
          </w:tcPr>
          <w:p w14:paraId="64A89D2B" w14:textId="77777777" w:rsidR="008D6614" w:rsidRDefault="00866AF2">
            <w:pPr>
              <w:jc w:val="right"/>
              <w:textAlignment w:val="bottom"/>
            </w:pPr>
            <w:r>
              <w:rPr>
                <w:rFonts w:ascii="Arial" w:eastAsia="宋体" w:hAnsi="Arial" w:cs="Arial"/>
                <w:color w:val="000000"/>
                <w:sz w:val="18"/>
                <w:szCs w:val="18"/>
              </w:rPr>
              <w:t> </w:t>
            </w:r>
          </w:p>
        </w:tc>
      </w:tr>
      <w:tr w:rsidR="008D6614" w14:paraId="64A89D33" w14:textId="77777777">
        <w:trPr>
          <w:trHeight w:val="280"/>
        </w:trPr>
        <w:tc>
          <w:tcPr>
            <w:tcW w:w="0" w:type="auto"/>
            <w:gridSpan w:val="3"/>
            <w:shd w:val="clear" w:color="auto" w:fill="FFFFFF"/>
            <w:tcMar>
              <w:left w:w="20" w:type="dxa"/>
              <w:right w:w="20" w:type="dxa"/>
            </w:tcMar>
            <w:vAlign w:val="bottom"/>
          </w:tcPr>
          <w:p w14:paraId="64A89D2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D2E"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D2F"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9D30"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D31" w14:textId="77777777" w:rsidR="008D6614" w:rsidRDefault="008D661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64A89D32" w14:textId="77777777" w:rsidR="008D6614" w:rsidRDefault="008D6614">
            <w:pPr>
              <w:rPr>
                <w:rFonts w:ascii="宋体"/>
              </w:rPr>
            </w:pPr>
          </w:p>
        </w:tc>
      </w:tr>
      <w:tr w:rsidR="008D6614" w14:paraId="64A89D3A" w14:textId="77777777">
        <w:tc>
          <w:tcPr>
            <w:tcW w:w="0" w:type="auto"/>
            <w:gridSpan w:val="3"/>
            <w:shd w:val="clear" w:color="auto" w:fill="E2E2E2"/>
            <w:tcMar>
              <w:top w:w="40" w:type="dxa"/>
              <w:left w:w="20" w:type="dxa"/>
              <w:bottom w:w="40" w:type="dxa"/>
              <w:right w:w="20" w:type="dxa"/>
            </w:tcMar>
            <w:vAlign w:val="bottom"/>
          </w:tcPr>
          <w:p w14:paraId="64A89D34" w14:textId="77777777" w:rsidR="008D6614" w:rsidRDefault="00866AF2">
            <w:pPr>
              <w:textAlignment w:val="bottom"/>
            </w:pPr>
            <w:r>
              <w:rPr>
                <w:rFonts w:ascii="Arial" w:eastAsia="宋体" w:hAnsi="Arial" w:cs="Arial"/>
                <w:b/>
                <w:bCs/>
                <w:color w:val="000000"/>
                <w:sz w:val="18"/>
                <w:szCs w:val="18"/>
              </w:rPr>
              <w:t>Derivative Liabilities:</w:t>
            </w:r>
          </w:p>
        </w:tc>
        <w:tc>
          <w:tcPr>
            <w:tcW w:w="0" w:type="auto"/>
            <w:gridSpan w:val="3"/>
            <w:shd w:val="clear" w:color="auto" w:fill="E2E2E2"/>
            <w:tcMar>
              <w:left w:w="20" w:type="dxa"/>
              <w:right w:w="20" w:type="dxa"/>
            </w:tcMar>
            <w:vAlign w:val="bottom"/>
          </w:tcPr>
          <w:p w14:paraId="64A89D3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D3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D3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D3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D39" w14:textId="77777777" w:rsidR="008D6614" w:rsidRDefault="008D6614">
            <w:pPr>
              <w:rPr>
                <w:rFonts w:ascii="宋体"/>
              </w:rPr>
            </w:pPr>
          </w:p>
        </w:tc>
      </w:tr>
      <w:tr w:rsidR="008D6614" w14:paraId="64A89D46" w14:textId="77777777">
        <w:tc>
          <w:tcPr>
            <w:tcW w:w="0" w:type="auto"/>
            <w:gridSpan w:val="3"/>
            <w:shd w:val="clear" w:color="auto" w:fill="FFFFFF"/>
            <w:tcMar>
              <w:top w:w="40" w:type="dxa"/>
              <w:left w:w="20" w:type="dxa"/>
              <w:bottom w:w="40" w:type="dxa"/>
              <w:right w:w="20" w:type="dxa"/>
            </w:tcMar>
            <w:vAlign w:val="bottom"/>
          </w:tcPr>
          <w:p w14:paraId="64A89D3B" w14:textId="77777777" w:rsidR="008D6614" w:rsidRDefault="00866AF2">
            <w:pPr>
              <w:textAlignment w:val="bottom"/>
            </w:pPr>
            <w:r>
              <w:rPr>
                <w:rFonts w:ascii="Arial" w:eastAsia="宋体" w:hAnsi="Arial" w:cs="Arial"/>
                <w:color w:val="000000"/>
                <w:sz w:val="18"/>
                <w:szCs w:val="18"/>
              </w:rPr>
              <w:t>Foreign exchange contracts designated as cash flow hedges</w:t>
            </w:r>
          </w:p>
        </w:tc>
        <w:tc>
          <w:tcPr>
            <w:tcW w:w="0" w:type="auto"/>
            <w:gridSpan w:val="2"/>
            <w:shd w:val="clear" w:color="auto" w:fill="FFFFFF"/>
            <w:tcMar>
              <w:top w:w="40" w:type="dxa"/>
              <w:left w:w="20" w:type="dxa"/>
              <w:bottom w:w="40" w:type="dxa"/>
              <w:right w:w="0" w:type="dxa"/>
            </w:tcMar>
            <w:vAlign w:val="bottom"/>
          </w:tcPr>
          <w:p w14:paraId="64A89D3C" w14:textId="77777777" w:rsidR="008D6614" w:rsidRDefault="00866AF2">
            <w:pPr>
              <w:jc w:val="right"/>
              <w:textAlignment w:val="bottom"/>
            </w:pPr>
            <w:r>
              <w:rPr>
                <w:rFonts w:ascii="Arial" w:eastAsia="宋体" w:hAnsi="Arial" w:cs="Arial"/>
                <w:color w:val="000000"/>
                <w:sz w:val="18"/>
                <w:szCs w:val="18"/>
              </w:rPr>
              <w:t>Other Current Liabilities </w:t>
            </w:r>
          </w:p>
        </w:tc>
        <w:tc>
          <w:tcPr>
            <w:tcW w:w="0" w:type="auto"/>
            <w:shd w:val="clear" w:color="auto" w:fill="FFFFFF"/>
            <w:tcMar>
              <w:top w:w="40" w:type="dxa"/>
              <w:bottom w:w="40" w:type="dxa"/>
              <w:right w:w="20" w:type="dxa"/>
            </w:tcMar>
            <w:vAlign w:val="bottom"/>
          </w:tcPr>
          <w:p w14:paraId="64A89D3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D3E"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D3F"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D40"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9D4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D42"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9D43"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9D44"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64A89D45" w14:textId="77777777" w:rsidR="008D6614" w:rsidRDefault="00866AF2">
            <w:pPr>
              <w:jc w:val="right"/>
              <w:textAlignment w:val="bottom"/>
            </w:pPr>
            <w:r>
              <w:rPr>
                <w:rFonts w:ascii="Arial" w:eastAsia="宋体" w:hAnsi="Arial" w:cs="Arial"/>
                <w:color w:val="000000"/>
                <w:sz w:val="18"/>
                <w:szCs w:val="18"/>
              </w:rPr>
              <w:t> </w:t>
            </w:r>
          </w:p>
        </w:tc>
      </w:tr>
      <w:tr w:rsidR="008D6614" w14:paraId="64A89D50" w14:textId="77777777">
        <w:tc>
          <w:tcPr>
            <w:tcW w:w="0" w:type="auto"/>
            <w:gridSpan w:val="3"/>
            <w:shd w:val="clear" w:color="auto" w:fill="E2E2E2"/>
            <w:tcMar>
              <w:top w:w="40" w:type="dxa"/>
              <w:left w:w="20" w:type="dxa"/>
              <w:bottom w:w="40" w:type="dxa"/>
              <w:right w:w="20" w:type="dxa"/>
            </w:tcMar>
            <w:vAlign w:val="bottom"/>
          </w:tcPr>
          <w:p w14:paraId="64A89D47" w14:textId="77777777" w:rsidR="008D6614" w:rsidRDefault="00866AF2">
            <w:pPr>
              <w:textAlignment w:val="bottom"/>
            </w:pPr>
            <w:r>
              <w:rPr>
                <w:rFonts w:ascii="Arial" w:eastAsia="宋体" w:hAnsi="Arial" w:cs="Arial"/>
                <w:color w:val="000000"/>
                <w:sz w:val="18"/>
                <w:szCs w:val="18"/>
              </w:rPr>
              <w:t>Foreign exchange contracts designated as net investment hedges</w:t>
            </w:r>
          </w:p>
        </w:tc>
        <w:tc>
          <w:tcPr>
            <w:tcW w:w="0" w:type="auto"/>
            <w:gridSpan w:val="2"/>
            <w:shd w:val="clear" w:color="auto" w:fill="E2E2E2"/>
            <w:tcMar>
              <w:top w:w="40" w:type="dxa"/>
              <w:left w:w="20" w:type="dxa"/>
              <w:bottom w:w="40" w:type="dxa"/>
              <w:right w:w="0" w:type="dxa"/>
            </w:tcMar>
            <w:vAlign w:val="bottom"/>
          </w:tcPr>
          <w:p w14:paraId="64A89D48" w14:textId="77777777" w:rsidR="008D6614" w:rsidRDefault="00866AF2">
            <w:pPr>
              <w:jc w:val="right"/>
              <w:textAlignment w:val="bottom"/>
            </w:pPr>
            <w:r>
              <w:rPr>
                <w:rFonts w:ascii="Arial" w:eastAsia="宋体" w:hAnsi="Arial" w:cs="Arial"/>
                <w:color w:val="000000"/>
                <w:sz w:val="18"/>
                <w:szCs w:val="18"/>
              </w:rPr>
              <w:t>Other Current Liabilities </w:t>
            </w:r>
          </w:p>
        </w:tc>
        <w:tc>
          <w:tcPr>
            <w:tcW w:w="0" w:type="auto"/>
            <w:shd w:val="clear" w:color="auto" w:fill="E2E2E2"/>
            <w:tcMar>
              <w:top w:w="40" w:type="dxa"/>
              <w:bottom w:w="40" w:type="dxa"/>
              <w:right w:w="20" w:type="dxa"/>
            </w:tcMar>
            <w:vAlign w:val="bottom"/>
          </w:tcPr>
          <w:p w14:paraId="64A89D4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D4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D4B" w14:textId="77777777" w:rsidR="008D6614" w:rsidRDefault="00866AF2">
            <w:pPr>
              <w:jc w:val="right"/>
              <w:textAlignment w:val="bottom"/>
            </w:pPr>
            <w:r>
              <w:rPr>
                <w:rFonts w:ascii="Arial" w:eastAsia="宋体" w:hAnsi="Arial" w:cs="Arial"/>
                <w:color w:val="000000"/>
                <w:sz w:val="18"/>
                <w:szCs w:val="18"/>
              </w:rPr>
              <w:t>1 </w:t>
            </w:r>
          </w:p>
        </w:tc>
        <w:tc>
          <w:tcPr>
            <w:tcW w:w="0" w:type="auto"/>
            <w:shd w:val="clear" w:color="auto" w:fill="E2E2E2"/>
            <w:tcMar>
              <w:top w:w="40" w:type="dxa"/>
              <w:bottom w:w="40" w:type="dxa"/>
              <w:right w:w="20" w:type="dxa"/>
            </w:tcMar>
            <w:vAlign w:val="bottom"/>
          </w:tcPr>
          <w:p w14:paraId="64A89D4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D4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D4E" w14:textId="77777777" w:rsidR="008D6614" w:rsidRDefault="00866AF2">
            <w:pPr>
              <w:jc w:val="right"/>
              <w:textAlignment w:val="bottom"/>
            </w:pPr>
            <w:r>
              <w:rPr>
                <w:rFonts w:ascii="Arial" w:eastAsia="宋体" w:hAnsi="Arial" w:cs="Arial"/>
                <w:color w:val="000000"/>
                <w:sz w:val="18"/>
                <w:szCs w:val="18"/>
              </w:rPr>
              <w:t>2 </w:t>
            </w:r>
          </w:p>
        </w:tc>
        <w:tc>
          <w:tcPr>
            <w:tcW w:w="0" w:type="auto"/>
            <w:shd w:val="clear" w:color="auto" w:fill="E2E2E2"/>
            <w:tcMar>
              <w:top w:w="40" w:type="dxa"/>
              <w:bottom w:w="40" w:type="dxa"/>
              <w:right w:w="20" w:type="dxa"/>
            </w:tcMar>
            <w:vAlign w:val="bottom"/>
          </w:tcPr>
          <w:p w14:paraId="64A89D4F" w14:textId="77777777" w:rsidR="008D6614" w:rsidRDefault="00866AF2">
            <w:pPr>
              <w:jc w:val="right"/>
              <w:textAlignment w:val="bottom"/>
            </w:pPr>
            <w:r>
              <w:rPr>
                <w:rFonts w:ascii="Arial" w:eastAsia="宋体" w:hAnsi="Arial" w:cs="Arial"/>
                <w:color w:val="000000"/>
                <w:sz w:val="18"/>
                <w:szCs w:val="18"/>
              </w:rPr>
              <w:t> </w:t>
            </w:r>
          </w:p>
        </w:tc>
      </w:tr>
      <w:tr w:rsidR="008D6614" w14:paraId="64A89D57" w14:textId="77777777">
        <w:trPr>
          <w:hidden/>
        </w:trPr>
        <w:tc>
          <w:tcPr>
            <w:tcW w:w="0" w:type="auto"/>
            <w:gridSpan w:val="3"/>
            <w:shd w:val="clear" w:color="auto" w:fill="auto"/>
            <w:vAlign w:val="center"/>
          </w:tcPr>
          <w:p w14:paraId="64A89D51" w14:textId="77777777" w:rsidR="008D6614" w:rsidRDefault="008D6614">
            <w:pPr>
              <w:rPr>
                <w:rFonts w:ascii="宋体"/>
                <w:vanish/>
              </w:rPr>
            </w:pPr>
          </w:p>
        </w:tc>
        <w:tc>
          <w:tcPr>
            <w:tcW w:w="0" w:type="auto"/>
            <w:gridSpan w:val="3"/>
            <w:shd w:val="clear" w:color="auto" w:fill="auto"/>
            <w:vAlign w:val="center"/>
          </w:tcPr>
          <w:p w14:paraId="64A89D52" w14:textId="77777777" w:rsidR="008D6614" w:rsidRDefault="008D6614">
            <w:pPr>
              <w:rPr>
                <w:rFonts w:ascii="宋体"/>
                <w:vanish/>
              </w:rPr>
            </w:pPr>
          </w:p>
        </w:tc>
        <w:tc>
          <w:tcPr>
            <w:tcW w:w="0" w:type="auto"/>
            <w:gridSpan w:val="3"/>
            <w:shd w:val="clear" w:color="auto" w:fill="auto"/>
            <w:vAlign w:val="center"/>
          </w:tcPr>
          <w:p w14:paraId="64A89D53" w14:textId="77777777" w:rsidR="008D6614" w:rsidRDefault="008D6614">
            <w:pPr>
              <w:rPr>
                <w:rFonts w:ascii="宋体"/>
                <w:vanish/>
              </w:rPr>
            </w:pPr>
          </w:p>
        </w:tc>
        <w:tc>
          <w:tcPr>
            <w:tcW w:w="0" w:type="auto"/>
            <w:gridSpan w:val="3"/>
            <w:shd w:val="clear" w:color="auto" w:fill="auto"/>
            <w:vAlign w:val="center"/>
          </w:tcPr>
          <w:p w14:paraId="64A89D54" w14:textId="77777777" w:rsidR="008D6614" w:rsidRDefault="008D6614">
            <w:pPr>
              <w:rPr>
                <w:rFonts w:ascii="宋体"/>
                <w:vanish/>
              </w:rPr>
            </w:pPr>
          </w:p>
        </w:tc>
        <w:tc>
          <w:tcPr>
            <w:tcW w:w="0" w:type="auto"/>
            <w:gridSpan w:val="3"/>
            <w:shd w:val="clear" w:color="auto" w:fill="auto"/>
            <w:vAlign w:val="center"/>
          </w:tcPr>
          <w:p w14:paraId="64A89D55" w14:textId="77777777" w:rsidR="008D6614" w:rsidRDefault="008D6614">
            <w:pPr>
              <w:rPr>
                <w:rFonts w:ascii="宋体"/>
                <w:vanish/>
              </w:rPr>
            </w:pPr>
          </w:p>
        </w:tc>
        <w:tc>
          <w:tcPr>
            <w:tcW w:w="0" w:type="auto"/>
            <w:gridSpan w:val="3"/>
            <w:shd w:val="clear" w:color="auto" w:fill="auto"/>
            <w:vAlign w:val="center"/>
          </w:tcPr>
          <w:p w14:paraId="64A89D56" w14:textId="77777777" w:rsidR="008D6614" w:rsidRDefault="008D6614">
            <w:pPr>
              <w:rPr>
                <w:rFonts w:ascii="宋体"/>
                <w:vanish/>
              </w:rPr>
            </w:pPr>
          </w:p>
        </w:tc>
      </w:tr>
      <w:tr w:rsidR="008D6614" w14:paraId="64A89D61" w14:textId="77777777">
        <w:tc>
          <w:tcPr>
            <w:tcW w:w="0" w:type="auto"/>
            <w:gridSpan w:val="3"/>
            <w:shd w:val="clear" w:color="auto" w:fill="FFFFFF"/>
            <w:tcMar>
              <w:top w:w="40" w:type="dxa"/>
              <w:left w:w="20" w:type="dxa"/>
              <w:bottom w:w="40" w:type="dxa"/>
              <w:right w:w="20" w:type="dxa"/>
            </w:tcMar>
            <w:vAlign w:val="bottom"/>
          </w:tcPr>
          <w:p w14:paraId="64A89D58" w14:textId="77777777" w:rsidR="008D6614" w:rsidRDefault="00866AF2">
            <w:pPr>
              <w:textAlignment w:val="bottom"/>
            </w:pPr>
            <w:r>
              <w:rPr>
                <w:rFonts w:ascii="Arial" w:eastAsia="宋体" w:hAnsi="Arial" w:cs="Arial"/>
                <w:color w:val="000000"/>
                <w:sz w:val="18"/>
                <w:szCs w:val="18"/>
              </w:rPr>
              <w:t>Foreign exchange contracts not designated as hedging instruments</w:t>
            </w:r>
          </w:p>
        </w:tc>
        <w:tc>
          <w:tcPr>
            <w:tcW w:w="0" w:type="auto"/>
            <w:gridSpan w:val="2"/>
            <w:shd w:val="clear" w:color="auto" w:fill="FFFFFF"/>
            <w:tcMar>
              <w:top w:w="40" w:type="dxa"/>
              <w:left w:w="20" w:type="dxa"/>
              <w:bottom w:w="40" w:type="dxa"/>
              <w:right w:w="0" w:type="dxa"/>
            </w:tcMar>
            <w:vAlign w:val="bottom"/>
          </w:tcPr>
          <w:p w14:paraId="64A89D59" w14:textId="77777777" w:rsidR="008D6614" w:rsidRDefault="00866AF2">
            <w:pPr>
              <w:jc w:val="right"/>
              <w:textAlignment w:val="bottom"/>
            </w:pPr>
            <w:r>
              <w:rPr>
                <w:rFonts w:ascii="Arial" w:eastAsia="宋体" w:hAnsi="Arial" w:cs="Arial"/>
                <w:color w:val="000000"/>
                <w:sz w:val="18"/>
                <w:szCs w:val="18"/>
              </w:rPr>
              <w:t>Other Current Liabilities </w:t>
            </w:r>
          </w:p>
        </w:tc>
        <w:tc>
          <w:tcPr>
            <w:tcW w:w="0" w:type="auto"/>
            <w:shd w:val="clear" w:color="auto" w:fill="FFFFFF"/>
            <w:tcMar>
              <w:top w:w="40" w:type="dxa"/>
              <w:bottom w:w="40" w:type="dxa"/>
              <w:right w:w="20" w:type="dxa"/>
            </w:tcMar>
            <w:vAlign w:val="bottom"/>
          </w:tcPr>
          <w:p w14:paraId="64A89D5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D5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D5C" w14:textId="77777777" w:rsidR="008D6614" w:rsidRDefault="00866AF2">
            <w:pPr>
              <w:jc w:val="right"/>
              <w:textAlignment w:val="bottom"/>
            </w:pPr>
            <w:r>
              <w:rPr>
                <w:rFonts w:ascii="Arial" w:eastAsia="宋体" w:hAnsi="Arial" w:cs="Arial"/>
                <w:color w:val="000000"/>
                <w:sz w:val="18"/>
                <w:szCs w:val="18"/>
              </w:rPr>
              <w:t>18 </w:t>
            </w:r>
          </w:p>
        </w:tc>
        <w:tc>
          <w:tcPr>
            <w:tcW w:w="0" w:type="auto"/>
            <w:shd w:val="clear" w:color="auto" w:fill="FFFFFF"/>
            <w:tcMar>
              <w:top w:w="40" w:type="dxa"/>
              <w:bottom w:w="40" w:type="dxa"/>
              <w:right w:w="20" w:type="dxa"/>
            </w:tcMar>
            <w:vAlign w:val="bottom"/>
          </w:tcPr>
          <w:p w14:paraId="64A89D5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D5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D5F" w14:textId="77777777" w:rsidR="008D6614" w:rsidRDefault="00866AF2">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64A89D60" w14:textId="77777777" w:rsidR="008D6614" w:rsidRDefault="00866AF2">
            <w:pPr>
              <w:jc w:val="right"/>
              <w:textAlignment w:val="bottom"/>
            </w:pPr>
            <w:r>
              <w:rPr>
                <w:rFonts w:ascii="Arial" w:eastAsia="宋体" w:hAnsi="Arial" w:cs="Arial"/>
                <w:color w:val="000000"/>
                <w:sz w:val="18"/>
                <w:szCs w:val="18"/>
              </w:rPr>
              <w:t> </w:t>
            </w:r>
          </w:p>
        </w:tc>
      </w:tr>
      <w:tr w:rsidR="008D6614" w14:paraId="64A89D68" w14:textId="77777777">
        <w:trPr>
          <w:hidden/>
        </w:trPr>
        <w:tc>
          <w:tcPr>
            <w:tcW w:w="0" w:type="auto"/>
            <w:gridSpan w:val="3"/>
            <w:shd w:val="clear" w:color="auto" w:fill="auto"/>
            <w:vAlign w:val="center"/>
          </w:tcPr>
          <w:p w14:paraId="64A89D62" w14:textId="77777777" w:rsidR="008D6614" w:rsidRDefault="008D6614">
            <w:pPr>
              <w:rPr>
                <w:rFonts w:ascii="宋体"/>
                <w:vanish/>
              </w:rPr>
            </w:pPr>
          </w:p>
        </w:tc>
        <w:tc>
          <w:tcPr>
            <w:tcW w:w="0" w:type="auto"/>
            <w:gridSpan w:val="3"/>
            <w:shd w:val="clear" w:color="auto" w:fill="auto"/>
            <w:vAlign w:val="center"/>
          </w:tcPr>
          <w:p w14:paraId="64A89D63" w14:textId="77777777" w:rsidR="008D6614" w:rsidRDefault="008D6614">
            <w:pPr>
              <w:rPr>
                <w:rFonts w:ascii="宋体"/>
                <w:vanish/>
              </w:rPr>
            </w:pPr>
          </w:p>
        </w:tc>
        <w:tc>
          <w:tcPr>
            <w:tcW w:w="0" w:type="auto"/>
            <w:gridSpan w:val="3"/>
            <w:shd w:val="clear" w:color="auto" w:fill="auto"/>
            <w:vAlign w:val="center"/>
          </w:tcPr>
          <w:p w14:paraId="64A89D64" w14:textId="77777777" w:rsidR="008D6614" w:rsidRDefault="008D6614">
            <w:pPr>
              <w:rPr>
                <w:rFonts w:ascii="宋体"/>
                <w:vanish/>
              </w:rPr>
            </w:pPr>
          </w:p>
        </w:tc>
        <w:tc>
          <w:tcPr>
            <w:tcW w:w="0" w:type="auto"/>
            <w:gridSpan w:val="3"/>
            <w:shd w:val="clear" w:color="auto" w:fill="auto"/>
            <w:vAlign w:val="center"/>
          </w:tcPr>
          <w:p w14:paraId="64A89D65" w14:textId="77777777" w:rsidR="008D6614" w:rsidRDefault="008D6614">
            <w:pPr>
              <w:rPr>
                <w:rFonts w:ascii="宋体"/>
                <w:vanish/>
              </w:rPr>
            </w:pPr>
          </w:p>
        </w:tc>
        <w:tc>
          <w:tcPr>
            <w:tcW w:w="0" w:type="auto"/>
            <w:gridSpan w:val="3"/>
            <w:shd w:val="clear" w:color="auto" w:fill="auto"/>
            <w:vAlign w:val="center"/>
          </w:tcPr>
          <w:p w14:paraId="64A89D66" w14:textId="77777777" w:rsidR="008D6614" w:rsidRDefault="008D6614">
            <w:pPr>
              <w:rPr>
                <w:rFonts w:ascii="宋体"/>
                <w:vanish/>
              </w:rPr>
            </w:pPr>
          </w:p>
        </w:tc>
        <w:tc>
          <w:tcPr>
            <w:tcW w:w="0" w:type="auto"/>
            <w:gridSpan w:val="3"/>
            <w:shd w:val="clear" w:color="auto" w:fill="auto"/>
            <w:vAlign w:val="center"/>
          </w:tcPr>
          <w:p w14:paraId="64A89D67" w14:textId="77777777" w:rsidR="008D6614" w:rsidRDefault="008D6614">
            <w:pPr>
              <w:rPr>
                <w:rFonts w:ascii="宋体"/>
                <w:vanish/>
              </w:rPr>
            </w:pPr>
          </w:p>
        </w:tc>
      </w:tr>
      <w:tr w:rsidR="008D6614" w14:paraId="64A89D6F" w14:textId="77777777">
        <w:trPr>
          <w:hidden/>
        </w:trPr>
        <w:tc>
          <w:tcPr>
            <w:tcW w:w="0" w:type="auto"/>
            <w:gridSpan w:val="3"/>
            <w:shd w:val="clear" w:color="auto" w:fill="auto"/>
            <w:vAlign w:val="center"/>
          </w:tcPr>
          <w:p w14:paraId="64A89D69" w14:textId="77777777" w:rsidR="008D6614" w:rsidRDefault="008D6614">
            <w:pPr>
              <w:rPr>
                <w:rFonts w:ascii="宋体"/>
                <w:vanish/>
              </w:rPr>
            </w:pPr>
          </w:p>
        </w:tc>
        <w:tc>
          <w:tcPr>
            <w:tcW w:w="0" w:type="auto"/>
            <w:gridSpan w:val="3"/>
            <w:shd w:val="clear" w:color="auto" w:fill="auto"/>
            <w:vAlign w:val="center"/>
          </w:tcPr>
          <w:p w14:paraId="64A89D6A" w14:textId="77777777" w:rsidR="008D6614" w:rsidRDefault="008D6614">
            <w:pPr>
              <w:rPr>
                <w:rFonts w:ascii="宋体"/>
                <w:vanish/>
              </w:rPr>
            </w:pPr>
          </w:p>
        </w:tc>
        <w:tc>
          <w:tcPr>
            <w:tcW w:w="0" w:type="auto"/>
            <w:gridSpan w:val="3"/>
            <w:shd w:val="clear" w:color="auto" w:fill="auto"/>
            <w:vAlign w:val="center"/>
          </w:tcPr>
          <w:p w14:paraId="64A89D6B" w14:textId="77777777" w:rsidR="008D6614" w:rsidRDefault="008D6614">
            <w:pPr>
              <w:rPr>
                <w:rFonts w:ascii="宋体"/>
                <w:vanish/>
              </w:rPr>
            </w:pPr>
          </w:p>
        </w:tc>
        <w:tc>
          <w:tcPr>
            <w:tcW w:w="0" w:type="auto"/>
            <w:gridSpan w:val="3"/>
            <w:shd w:val="clear" w:color="auto" w:fill="auto"/>
            <w:vAlign w:val="center"/>
          </w:tcPr>
          <w:p w14:paraId="64A89D6C" w14:textId="77777777" w:rsidR="008D6614" w:rsidRDefault="008D6614">
            <w:pPr>
              <w:rPr>
                <w:rFonts w:ascii="宋体"/>
                <w:vanish/>
              </w:rPr>
            </w:pPr>
          </w:p>
        </w:tc>
        <w:tc>
          <w:tcPr>
            <w:tcW w:w="0" w:type="auto"/>
            <w:gridSpan w:val="3"/>
            <w:shd w:val="clear" w:color="auto" w:fill="auto"/>
            <w:vAlign w:val="center"/>
          </w:tcPr>
          <w:p w14:paraId="64A89D6D" w14:textId="77777777" w:rsidR="008D6614" w:rsidRDefault="008D6614">
            <w:pPr>
              <w:rPr>
                <w:rFonts w:ascii="宋体"/>
                <w:vanish/>
              </w:rPr>
            </w:pPr>
          </w:p>
        </w:tc>
        <w:tc>
          <w:tcPr>
            <w:tcW w:w="0" w:type="auto"/>
            <w:gridSpan w:val="3"/>
            <w:shd w:val="clear" w:color="auto" w:fill="auto"/>
            <w:vAlign w:val="center"/>
          </w:tcPr>
          <w:p w14:paraId="64A89D6E" w14:textId="77777777" w:rsidR="008D6614" w:rsidRDefault="008D6614">
            <w:pPr>
              <w:rPr>
                <w:rFonts w:ascii="宋体"/>
                <w:vanish/>
              </w:rPr>
            </w:pPr>
          </w:p>
        </w:tc>
      </w:tr>
      <w:tr w:rsidR="008D6614" w14:paraId="64A89D7A" w14:textId="77777777">
        <w:tc>
          <w:tcPr>
            <w:tcW w:w="0" w:type="auto"/>
            <w:gridSpan w:val="3"/>
            <w:shd w:val="clear" w:color="auto" w:fill="E2E2E2"/>
            <w:tcMar>
              <w:top w:w="40" w:type="dxa"/>
              <w:left w:w="225" w:type="dxa"/>
              <w:bottom w:w="40" w:type="dxa"/>
              <w:right w:w="20" w:type="dxa"/>
            </w:tcMar>
            <w:vAlign w:val="bottom"/>
          </w:tcPr>
          <w:p w14:paraId="64A89D70" w14:textId="77777777" w:rsidR="008D6614" w:rsidRDefault="00866AF2">
            <w:pPr>
              <w:textAlignment w:val="bottom"/>
            </w:pPr>
            <w:r>
              <w:rPr>
                <w:rFonts w:ascii="Arial" w:eastAsia="宋体" w:hAnsi="Arial" w:cs="Arial"/>
                <w:color w:val="000000"/>
                <w:sz w:val="18"/>
                <w:szCs w:val="18"/>
              </w:rPr>
              <w:t>Total derivative liabilities</w:t>
            </w:r>
          </w:p>
        </w:tc>
        <w:tc>
          <w:tcPr>
            <w:tcW w:w="0" w:type="auto"/>
            <w:gridSpan w:val="3"/>
            <w:shd w:val="clear" w:color="auto" w:fill="E2E2E2"/>
            <w:tcMar>
              <w:left w:w="20" w:type="dxa"/>
              <w:right w:w="20" w:type="dxa"/>
            </w:tcMar>
            <w:vAlign w:val="bottom"/>
          </w:tcPr>
          <w:p w14:paraId="64A89D71"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D72"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9D73"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D74" w14:textId="77777777" w:rsidR="008D6614" w:rsidRDefault="00866AF2">
            <w:pPr>
              <w:jc w:val="right"/>
              <w:textAlignment w:val="bottom"/>
            </w:pPr>
            <w:r>
              <w:rPr>
                <w:rFonts w:ascii="Arial" w:eastAsia="宋体" w:hAnsi="Arial" w:cs="Arial"/>
                <w:color w:val="000000"/>
                <w:sz w:val="18"/>
                <w:szCs w:val="18"/>
              </w:rPr>
              <w:t>21 </w:t>
            </w:r>
          </w:p>
        </w:tc>
        <w:tc>
          <w:tcPr>
            <w:tcW w:w="0" w:type="auto"/>
            <w:shd w:val="clear" w:color="auto" w:fill="E2E2E2"/>
            <w:tcMar>
              <w:top w:w="40" w:type="dxa"/>
              <w:bottom w:w="40" w:type="dxa"/>
              <w:right w:w="20" w:type="dxa"/>
            </w:tcMar>
            <w:vAlign w:val="bottom"/>
          </w:tcPr>
          <w:p w14:paraId="64A89D7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D76"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9D77"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9D78" w14:textId="77777777" w:rsidR="008D6614" w:rsidRDefault="00866AF2">
            <w:pPr>
              <w:jc w:val="right"/>
              <w:textAlignment w:val="bottom"/>
            </w:pPr>
            <w:r>
              <w:rPr>
                <w:rFonts w:ascii="Arial" w:eastAsia="宋体" w:hAnsi="Arial" w:cs="Arial"/>
                <w:color w:val="000000"/>
                <w:sz w:val="18"/>
                <w:szCs w:val="18"/>
              </w:rPr>
              <w:t>23 </w:t>
            </w:r>
          </w:p>
        </w:tc>
        <w:tc>
          <w:tcPr>
            <w:tcW w:w="0" w:type="auto"/>
            <w:shd w:val="clear" w:color="auto" w:fill="E2E2E2"/>
            <w:tcMar>
              <w:top w:w="40" w:type="dxa"/>
              <w:bottom w:w="40" w:type="dxa"/>
              <w:right w:w="20" w:type="dxa"/>
            </w:tcMar>
            <w:vAlign w:val="bottom"/>
          </w:tcPr>
          <w:p w14:paraId="64A89D79" w14:textId="77777777" w:rsidR="008D6614" w:rsidRDefault="00866AF2">
            <w:pPr>
              <w:jc w:val="right"/>
              <w:textAlignment w:val="bottom"/>
            </w:pPr>
            <w:r>
              <w:rPr>
                <w:rFonts w:ascii="Arial" w:eastAsia="宋体" w:hAnsi="Arial" w:cs="Arial"/>
                <w:color w:val="000000"/>
                <w:sz w:val="18"/>
                <w:szCs w:val="18"/>
              </w:rPr>
              <w:t> </w:t>
            </w:r>
          </w:p>
        </w:tc>
      </w:tr>
      <w:tr w:rsidR="008D6614" w14:paraId="64A89D81" w14:textId="77777777">
        <w:trPr>
          <w:trHeight w:val="280"/>
        </w:trPr>
        <w:tc>
          <w:tcPr>
            <w:tcW w:w="0" w:type="auto"/>
            <w:gridSpan w:val="3"/>
            <w:shd w:val="clear" w:color="auto" w:fill="FFFFFF"/>
            <w:tcMar>
              <w:left w:w="20" w:type="dxa"/>
              <w:right w:w="20" w:type="dxa"/>
            </w:tcMar>
            <w:vAlign w:val="bottom"/>
          </w:tcPr>
          <w:p w14:paraId="64A89D7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D7C"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D7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D7E"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D7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9D80" w14:textId="77777777" w:rsidR="008D6614" w:rsidRDefault="008D6614">
            <w:pPr>
              <w:rPr>
                <w:rFonts w:ascii="宋体"/>
              </w:rPr>
            </w:pPr>
          </w:p>
        </w:tc>
      </w:tr>
      <w:tr w:rsidR="008D6614" w14:paraId="64A89D8C" w14:textId="77777777">
        <w:tc>
          <w:tcPr>
            <w:tcW w:w="0" w:type="auto"/>
            <w:gridSpan w:val="3"/>
            <w:shd w:val="clear" w:color="auto" w:fill="E2E2E2"/>
            <w:tcMar>
              <w:top w:w="40" w:type="dxa"/>
              <w:left w:w="225" w:type="dxa"/>
              <w:bottom w:w="40" w:type="dxa"/>
              <w:right w:w="20" w:type="dxa"/>
            </w:tcMar>
            <w:vAlign w:val="bottom"/>
          </w:tcPr>
          <w:p w14:paraId="64A89D82" w14:textId="77777777" w:rsidR="008D6614" w:rsidRDefault="00866AF2">
            <w:pPr>
              <w:textAlignment w:val="bottom"/>
            </w:pPr>
            <w:r>
              <w:rPr>
                <w:rFonts w:ascii="Arial" w:eastAsia="宋体" w:hAnsi="Arial" w:cs="Arial"/>
                <w:color w:val="000000"/>
                <w:sz w:val="18"/>
                <w:szCs w:val="18"/>
              </w:rPr>
              <w:t>Total fair value of derivative instruments</w:t>
            </w:r>
          </w:p>
        </w:tc>
        <w:tc>
          <w:tcPr>
            <w:tcW w:w="0" w:type="auto"/>
            <w:gridSpan w:val="3"/>
            <w:shd w:val="clear" w:color="auto" w:fill="E2E2E2"/>
            <w:tcMar>
              <w:left w:w="20" w:type="dxa"/>
              <w:right w:w="20" w:type="dxa"/>
            </w:tcMar>
            <w:vAlign w:val="bottom"/>
          </w:tcPr>
          <w:p w14:paraId="64A89D83"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D84"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D8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D86" w14:textId="77777777" w:rsidR="008D6614" w:rsidRDefault="00866AF2">
            <w:pPr>
              <w:jc w:val="right"/>
              <w:textAlignment w:val="bottom"/>
            </w:pPr>
            <w:r>
              <w:rPr>
                <w:rFonts w:ascii="Arial" w:eastAsia="宋体" w:hAnsi="Arial" w:cs="Arial"/>
                <w:color w:val="000000"/>
                <w:sz w:val="18"/>
                <w:szCs w:val="18"/>
              </w:rPr>
              <w:t>393 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D8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D88"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D8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D8A" w14:textId="77777777" w:rsidR="008D6614" w:rsidRDefault="00866AF2">
            <w:pPr>
              <w:jc w:val="right"/>
              <w:textAlignment w:val="bottom"/>
            </w:pPr>
            <w:r>
              <w:rPr>
                <w:rFonts w:ascii="Arial" w:eastAsia="宋体" w:hAnsi="Arial" w:cs="Arial"/>
                <w:color w:val="000000"/>
                <w:sz w:val="18"/>
                <w:szCs w:val="18"/>
              </w:rPr>
              <w:t>324 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D8B" w14:textId="77777777" w:rsidR="008D6614" w:rsidRDefault="00866AF2">
            <w:pPr>
              <w:jc w:val="right"/>
              <w:textAlignment w:val="bottom"/>
            </w:pPr>
            <w:r>
              <w:rPr>
                <w:rFonts w:ascii="Arial" w:eastAsia="宋体" w:hAnsi="Arial" w:cs="Arial"/>
                <w:color w:val="000000"/>
                <w:sz w:val="18"/>
                <w:szCs w:val="18"/>
              </w:rPr>
              <w:t> </w:t>
            </w:r>
          </w:p>
        </w:tc>
      </w:tr>
    </w:tbl>
    <w:p w14:paraId="64A89D8D" w14:textId="77777777" w:rsidR="008D6614" w:rsidRDefault="008D6614"/>
    <w:p w14:paraId="64A89D8E" w14:textId="77777777" w:rsidR="008D6614" w:rsidRDefault="00866AF2">
      <w:pPr>
        <w:ind w:firstLine="540"/>
        <w:jc w:val="both"/>
      </w:pPr>
      <w:r>
        <w:rPr>
          <w:rFonts w:ascii="Arial" w:eastAsia="宋体" w:hAnsi="Arial" w:cs="Arial"/>
          <w:color w:val="000000"/>
          <w:sz w:val="20"/>
          <w:szCs w:val="20"/>
        </w:rPr>
        <w:t>Under the master netting agreements with the respective counterparties to our derivative contracts, subject to applicable requirements, we are allowed to net settle transactions of the same type with a single net amount payable by one party to the other. H</w:t>
      </w:r>
      <w:r>
        <w:rPr>
          <w:rFonts w:ascii="Arial" w:eastAsia="宋体" w:hAnsi="Arial" w:cs="Arial"/>
          <w:color w:val="000000"/>
          <w:sz w:val="20"/>
          <w:szCs w:val="20"/>
        </w:rPr>
        <w:t>owever, we have elected to present the derivative assets and derivative liabilities on a gross basis on our condensed consolidated balance sheet. As of March 31, 2020, the potential effect of rights of set-off associated with the foreign exchange contracts</w:t>
      </w:r>
      <w:r>
        <w:rPr>
          <w:rFonts w:ascii="Arial" w:eastAsia="宋体" w:hAnsi="Arial" w:cs="Arial"/>
          <w:color w:val="000000"/>
          <w:sz w:val="20"/>
          <w:szCs w:val="20"/>
        </w:rPr>
        <w:t xml:space="preserve"> would be an offset to both assets and liabilities by </w:t>
      </w:r>
      <w:r>
        <w:rPr>
          <w:rFonts w:ascii="Arial" w:eastAsia="宋体" w:hAnsi="Arial" w:cs="Arial"/>
          <w:color w:val="000000"/>
          <w:sz w:val="20"/>
          <w:szCs w:val="20"/>
          <w:shd w:val="clear" w:color="auto" w:fill="FFFFFF"/>
        </w:rPr>
        <w:t xml:space="preserve">$21 million, resulting in net derivative assets of $100 million and net derivative liabilities of zero. </w:t>
      </w:r>
    </w:p>
    <w:p w14:paraId="64A89D8F" w14:textId="77777777" w:rsidR="008D6614" w:rsidRDefault="008D6614"/>
    <w:p w14:paraId="64A89D90" w14:textId="77777777" w:rsidR="008D6614" w:rsidRDefault="00866AF2">
      <w:r>
        <w:rPr>
          <w:rFonts w:ascii="Arial" w:eastAsia="宋体" w:hAnsi="Arial" w:cs="Arial"/>
          <w:b/>
          <w:bCs/>
          <w:i/>
          <w:iCs/>
          <w:color w:val="000000"/>
          <w:sz w:val="20"/>
          <w:szCs w:val="20"/>
        </w:rPr>
        <w:t>Effect of Derivative Contracts on Accumulated Other Comprehensive Income</w:t>
      </w:r>
    </w:p>
    <w:p w14:paraId="64A89D91" w14:textId="77777777" w:rsidR="008D6614" w:rsidRDefault="008D6614">
      <w:pPr>
        <w:ind w:firstLine="495"/>
      </w:pPr>
    </w:p>
    <w:p w14:paraId="64A89D92" w14:textId="77777777" w:rsidR="008D6614" w:rsidRDefault="00866AF2">
      <w:pPr>
        <w:ind w:firstLine="540"/>
        <w:jc w:val="both"/>
      </w:pPr>
      <w:r>
        <w:rPr>
          <w:rFonts w:ascii="Arial" w:eastAsia="宋体" w:hAnsi="Arial" w:cs="Arial"/>
          <w:color w:val="000000"/>
          <w:sz w:val="20"/>
          <w:szCs w:val="20"/>
        </w:rPr>
        <w:t xml:space="preserve">The following </w:t>
      </w:r>
      <w:r>
        <w:rPr>
          <w:rFonts w:ascii="Arial" w:eastAsia="宋体" w:hAnsi="Arial" w:cs="Arial"/>
          <w:color w:val="000000"/>
          <w:sz w:val="20"/>
          <w:szCs w:val="20"/>
        </w:rPr>
        <w:t>tables present the activity of derivative instruments designated as cash flow hedges as of March 31, 2020 and December 31, 2019, and the impact of these derivative contracts on AOCI for the three months ended March 31, 2020 and 2019 (in millions): </w:t>
      </w:r>
    </w:p>
    <w:tbl>
      <w:tblPr>
        <w:tblW w:w="4985" w:type="pct"/>
        <w:jc w:val="center"/>
        <w:tblCellMar>
          <w:top w:w="15" w:type="dxa"/>
          <w:left w:w="15" w:type="dxa"/>
          <w:bottom w:w="15" w:type="dxa"/>
          <w:right w:w="15" w:type="dxa"/>
        </w:tblCellMar>
        <w:tblLook w:val="04A0" w:firstRow="1" w:lastRow="0" w:firstColumn="1" w:lastColumn="0" w:noHBand="0" w:noVBand="1"/>
      </w:tblPr>
      <w:tblGrid>
        <w:gridCol w:w="43"/>
        <w:gridCol w:w="2024"/>
        <w:gridCol w:w="43"/>
        <w:gridCol w:w="137"/>
        <w:gridCol w:w="1099"/>
        <w:gridCol w:w="86"/>
        <w:gridCol w:w="36"/>
        <w:gridCol w:w="36"/>
        <w:gridCol w:w="36"/>
        <w:gridCol w:w="137"/>
        <w:gridCol w:w="1323"/>
        <w:gridCol w:w="86"/>
        <w:gridCol w:w="36"/>
        <w:gridCol w:w="36"/>
        <w:gridCol w:w="36"/>
        <w:gridCol w:w="137"/>
        <w:gridCol w:w="1470"/>
        <w:gridCol w:w="86"/>
        <w:gridCol w:w="36"/>
        <w:gridCol w:w="36"/>
        <w:gridCol w:w="36"/>
        <w:gridCol w:w="137"/>
        <w:gridCol w:w="1093"/>
        <w:gridCol w:w="86"/>
      </w:tblGrid>
      <w:tr w:rsidR="008D6614" w14:paraId="64A89DAB" w14:textId="77777777">
        <w:trPr>
          <w:jc w:val="center"/>
        </w:trPr>
        <w:tc>
          <w:tcPr>
            <w:tcW w:w="50" w:type="pct"/>
            <w:shd w:val="clear" w:color="auto" w:fill="auto"/>
            <w:vAlign w:val="center"/>
          </w:tcPr>
          <w:p w14:paraId="64A89D93" w14:textId="77777777" w:rsidR="008D6614" w:rsidRDefault="008D6614">
            <w:pPr>
              <w:rPr>
                <w:rFonts w:ascii="宋体"/>
              </w:rPr>
            </w:pPr>
          </w:p>
        </w:tc>
        <w:tc>
          <w:tcPr>
            <w:tcW w:w="1241" w:type="pct"/>
            <w:shd w:val="clear" w:color="auto" w:fill="auto"/>
            <w:vAlign w:val="center"/>
          </w:tcPr>
          <w:p w14:paraId="64A89D94" w14:textId="77777777" w:rsidR="008D6614" w:rsidRDefault="008D6614">
            <w:pPr>
              <w:rPr>
                <w:rFonts w:ascii="宋体"/>
              </w:rPr>
            </w:pPr>
          </w:p>
        </w:tc>
        <w:tc>
          <w:tcPr>
            <w:tcW w:w="50" w:type="pct"/>
            <w:shd w:val="clear" w:color="auto" w:fill="auto"/>
            <w:vAlign w:val="center"/>
          </w:tcPr>
          <w:p w14:paraId="64A89D95" w14:textId="77777777" w:rsidR="008D6614" w:rsidRDefault="008D6614">
            <w:pPr>
              <w:rPr>
                <w:rFonts w:ascii="宋体"/>
              </w:rPr>
            </w:pPr>
          </w:p>
        </w:tc>
        <w:tc>
          <w:tcPr>
            <w:tcW w:w="50" w:type="pct"/>
            <w:shd w:val="clear" w:color="auto" w:fill="auto"/>
            <w:vAlign w:val="center"/>
          </w:tcPr>
          <w:p w14:paraId="64A89D96" w14:textId="77777777" w:rsidR="008D6614" w:rsidRDefault="008D6614">
            <w:pPr>
              <w:rPr>
                <w:rFonts w:ascii="宋体"/>
              </w:rPr>
            </w:pPr>
          </w:p>
        </w:tc>
        <w:tc>
          <w:tcPr>
            <w:tcW w:w="684" w:type="pct"/>
            <w:shd w:val="clear" w:color="auto" w:fill="auto"/>
            <w:vAlign w:val="center"/>
          </w:tcPr>
          <w:p w14:paraId="64A89D97" w14:textId="77777777" w:rsidR="008D6614" w:rsidRDefault="008D6614">
            <w:pPr>
              <w:rPr>
                <w:rFonts w:ascii="宋体"/>
              </w:rPr>
            </w:pPr>
          </w:p>
        </w:tc>
        <w:tc>
          <w:tcPr>
            <w:tcW w:w="50" w:type="pct"/>
            <w:shd w:val="clear" w:color="auto" w:fill="auto"/>
            <w:vAlign w:val="center"/>
          </w:tcPr>
          <w:p w14:paraId="64A89D98" w14:textId="77777777" w:rsidR="008D6614" w:rsidRDefault="008D6614">
            <w:pPr>
              <w:rPr>
                <w:rFonts w:ascii="宋体"/>
              </w:rPr>
            </w:pPr>
          </w:p>
        </w:tc>
        <w:tc>
          <w:tcPr>
            <w:tcW w:w="5" w:type="pct"/>
            <w:shd w:val="clear" w:color="auto" w:fill="auto"/>
            <w:vAlign w:val="center"/>
          </w:tcPr>
          <w:p w14:paraId="64A89D99" w14:textId="77777777" w:rsidR="008D6614" w:rsidRDefault="008D6614">
            <w:pPr>
              <w:rPr>
                <w:rFonts w:ascii="宋体"/>
              </w:rPr>
            </w:pPr>
          </w:p>
        </w:tc>
        <w:tc>
          <w:tcPr>
            <w:tcW w:w="26" w:type="pct"/>
            <w:shd w:val="clear" w:color="auto" w:fill="auto"/>
            <w:vAlign w:val="center"/>
          </w:tcPr>
          <w:p w14:paraId="64A89D9A" w14:textId="77777777" w:rsidR="008D6614" w:rsidRDefault="008D6614">
            <w:pPr>
              <w:rPr>
                <w:rFonts w:ascii="宋体"/>
              </w:rPr>
            </w:pPr>
          </w:p>
        </w:tc>
        <w:tc>
          <w:tcPr>
            <w:tcW w:w="5" w:type="pct"/>
            <w:shd w:val="clear" w:color="auto" w:fill="auto"/>
            <w:vAlign w:val="center"/>
          </w:tcPr>
          <w:p w14:paraId="64A89D9B" w14:textId="77777777" w:rsidR="008D6614" w:rsidRDefault="008D6614">
            <w:pPr>
              <w:rPr>
                <w:rFonts w:ascii="宋体"/>
              </w:rPr>
            </w:pPr>
          </w:p>
        </w:tc>
        <w:tc>
          <w:tcPr>
            <w:tcW w:w="50" w:type="pct"/>
            <w:shd w:val="clear" w:color="auto" w:fill="auto"/>
            <w:vAlign w:val="center"/>
          </w:tcPr>
          <w:p w14:paraId="64A89D9C" w14:textId="77777777" w:rsidR="008D6614" w:rsidRDefault="008D6614">
            <w:pPr>
              <w:rPr>
                <w:rFonts w:ascii="宋体"/>
              </w:rPr>
            </w:pPr>
          </w:p>
        </w:tc>
        <w:tc>
          <w:tcPr>
            <w:tcW w:w="838" w:type="pct"/>
            <w:shd w:val="clear" w:color="auto" w:fill="auto"/>
            <w:vAlign w:val="center"/>
          </w:tcPr>
          <w:p w14:paraId="64A89D9D" w14:textId="77777777" w:rsidR="008D6614" w:rsidRDefault="008D6614">
            <w:pPr>
              <w:rPr>
                <w:rFonts w:ascii="宋体"/>
              </w:rPr>
            </w:pPr>
          </w:p>
        </w:tc>
        <w:tc>
          <w:tcPr>
            <w:tcW w:w="50" w:type="pct"/>
            <w:shd w:val="clear" w:color="auto" w:fill="auto"/>
            <w:vAlign w:val="center"/>
          </w:tcPr>
          <w:p w14:paraId="64A89D9E" w14:textId="77777777" w:rsidR="008D6614" w:rsidRDefault="008D6614">
            <w:pPr>
              <w:rPr>
                <w:rFonts w:ascii="宋体"/>
              </w:rPr>
            </w:pPr>
          </w:p>
        </w:tc>
        <w:tc>
          <w:tcPr>
            <w:tcW w:w="5" w:type="pct"/>
            <w:shd w:val="clear" w:color="auto" w:fill="auto"/>
            <w:vAlign w:val="center"/>
          </w:tcPr>
          <w:p w14:paraId="64A89D9F" w14:textId="77777777" w:rsidR="008D6614" w:rsidRDefault="008D6614">
            <w:pPr>
              <w:rPr>
                <w:rFonts w:ascii="宋体"/>
              </w:rPr>
            </w:pPr>
          </w:p>
        </w:tc>
        <w:tc>
          <w:tcPr>
            <w:tcW w:w="26" w:type="pct"/>
            <w:shd w:val="clear" w:color="auto" w:fill="auto"/>
            <w:vAlign w:val="center"/>
          </w:tcPr>
          <w:p w14:paraId="64A89DA0" w14:textId="77777777" w:rsidR="008D6614" w:rsidRDefault="008D6614">
            <w:pPr>
              <w:rPr>
                <w:rFonts w:ascii="宋体"/>
              </w:rPr>
            </w:pPr>
          </w:p>
        </w:tc>
        <w:tc>
          <w:tcPr>
            <w:tcW w:w="5" w:type="pct"/>
            <w:shd w:val="clear" w:color="auto" w:fill="auto"/>
            <w:vAlign w:val="center"/>
          </w:tcPr>
          <w:p w14:paraId="64A89DA1" w14:textId="77777777" w:rsidR="008D6614" w:rsidRDefault="008D6614">
            <w:pPr>
              <w:rPr>
                <w:rFonts w:ascii="宋体"/>
              </w:rPr>
            </w:pPr>
          </w:p>
        </w:tc>
        <w:tc>
          <w:tcPr>
            <w:tcW w:w="50" w:type="pct"/>
            <w:shd w:val="clear" w:color="auto" w:fill="auto"/>
            <w:vAlign w:val="center"/>
          </w:tcPr>
          <w:p w14:paraId="64A89DA2" w14:textId="77777777" w:rsidR="008D6614" w:rsidRDefault="008D6614">
            <w:pPr>
              <w:rPr>
                <w:rFonts w:ascii="宋体"/>
              </w:rPr>
            </w:pPr>
          </w:p>
        </w:tc>
        <w:tc>
          <w:tcPr>
            <w:tcW w:w="926" w:type="pct"/>
            <w:shd w:val="clear" w:color="auto" w:fill="auto"/>
            <w:vAlign w:val="center"/>
          </w:tcPr>
          <w:p w14:paraId="64A89DA3" w14:textId="77777777" w:rsidR="008D6614" w:rsidRDefault="008D6614">
            <w:pPr>
              <w:rPr>
                <w:rFonts w:ascii="宋体"/>
              </w:rPr>
            </w:pPr>
          </w:p>
        </w:tc>
        <w:tc>
          <w:tcPr>
            <w:tcW w:w="50" w:type="pct"/>
            <w:shd w:val="clear" w:color="auto" w:fill="auto"/>
            <w:vAlign w:val="center"/>
          </w:tcPr>
          <w:p w14:paraId="64A89DA4" w14:textId="77777777" w:rsidR="008D6614" w:rsidRDefault="008D6614">
            <w:pPr>
              <w:rPr>
                <w:rFonts w:ascii="宋体"/>
              </w:rPr>
            </w:pPr>
          </w:p>
        </w:tc>
        <w:tc>
          <w:tcPr>
            <w:tcW w:w="5" w:type="pct"/>
            <w:shd w:val="clear" w:color="auto" w:fill="auto"/>
            <w:vAlign w:val="center"/>
          </w:tcPr>
          <w:p w14:paraId="64A89DA5" w14:textId="77777777" w:rsidR="008D6614" w:rsidRDefault="008D6614">
            <w:pPr>
              <w:rPr>
                <w:rFonts w:ascii="宋体"/>
              </w:rPr>
            </w:pPr>
          </w:p>
        </w:tc>
        <w:tc>
          <w:tcPr>
            <w:tcW w:w="26" w:type="pct"/>
            <w:shd w:val="clear" w:color="auto" w:fill="auto"/>
            <w:vAlign w:val="center"/>
          </w:tcPr>
          <w:p w14:paraId="64A89DA6" w14:textId="77777777" w:rsidR="008D6614" w:rsidRDefault="008D6614">
            <w:pPr>
              <w:rPr>
                <w:rFonts w:ascii="宋体"/>
              </w:rPr>
            </w:pPr>
          </w:p>
        </w:tc>
        <w:tc>
          <w:tcPr>
            <w:tcW w:w="5" w:type="pct"/>
            <w:shd w:val="clear" w:color="auto" w:fill="auto"/>
            <w:vAlign w:val="center"/>
          </w:tcPr>
          <w:p w14:paraId="64A89DA7" w14:textId="77777777" w:rsidR="008D6614" w:rsidRDefault="008D6614">
            <w:pPr>
              <w:rPr>
                <w:rFonts w:ascii="宋体"/>
              </w:rPr>
            </w:pPr>
          </w:p>
        </w:tc>
        <w:tc>
          <w:tcPr>
            <w:tcW w:w="50" w:type="pct"/>
            <w:shd w:val="clear" w:color="auto" w:fill="auto"/>
            <w:vAlign w:val="center"/>
          </w:tcPr>
          <w:p w14:paraId="64A89DA8" w14:textId="77777777" w:rsidR="008D6614" w:rsidRDefault="008D6614">
            <w:pPr>
              <w:rPr>
                <w:rFonts w:ascii="宋体"/>
              </w:rPr>
            </w:pPr>
          </w:p>
        </w:tc>
        <w:tc>
          <w:tcPr>
            <w:tcW w:w="699" w:type="pct"/>
            <w:shd w:val="clear" w:color="auto" w:fill="auto"/>
            <w:vAlign w:val="center"/>
          </w:tcPr>
          <w:p w14:paraId="64A89DA9" w14:textId="77777777" w:rsidR="008D6614" w:rsidRDefault="008D6614">
            <w:pPr>
              <w:rPr>
                <w:rFonts w:ascii="宋体"/>
              </w:rPr>
            </w:pPr>
          </w:p>
        </w:tc>
        <w:tc>
          <w:tcPr>
            <w:tcW w:w="50" w:type="pct"/>
            <w:shd w:val="clear" w:color="auto" w:fill="auto"/>
            <w:vAlign w:val="center"/>
          </w:tcPr>
          <w:p w14:paraId="64A89DAA" w14:textId="77777777" w:rsidR="008D6614" w:rsidRDefault="008D6614">
            <w:pPr>
              <w:rPr>
                <w:rFonts w:ascii="宋体"/>
              </w:rPr>
            </w:pPr>
          </w:p>
        </w:tc>
      </w:tr>
      <w:tr w:rsidR="008D6614" w14:paraId="64A89DB7" w14:textId="77777777">
        <w:trPr>
          <w:jc w:val="center"/>
        </w:trPr>
        <w:tc>
          <w:tcPr>
            <w:tcW w:w="0" w:type="auto"/>
            <w:gridSpan w:val="3"/>
            <w:shd w:val="clear" w:color="auto" w:fill="auto"/>
            <w:tcMar>
              <w:top w:w="40" w:type="dxa"/>
              <w:left w:w="20" w:type="dxa"/>
              <w:bottom w:w="40" w:type="dxa"/>
              <w:right w:w="20" w:type="dxa"/>
            </w:tcMar>
            <w:vAlign w:val="bottom"/>
          </w:tcPr>
          <w:p w14:paraId="64A89DAC"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9DAD" w14:textId="77777777" w:rsidR="008D6614" w:rsidRDefault="00866AF2">
            <w:pPr>
              <w:jc w:val="center"/>
              <w:textAlignment w:val="bottom"/>
            </w:pPr>
            <w:r>
              <w:rPr>
                <w:rFonts w:ascii="Arial" w:eastAsia="宋体" w:hAnsi="Arial" w:cs="Arial"/>
                <w:b/>
                <w:bCs/>
                <w:color w:val="000000"/>
                <w:sz w:val="16"/>
                <w:szCs w:val="16"/>
              </w:rPr>
              <w:t>December 31, 2019</w:t>
            </w:r>
          </w:p>
        </w:tc>
        <w:tc>
          <w:tcPr>
            <w:tcW w:w="0" w:type="auto"/>
            <w:gridSpan w:val="3"/>
            <w:shd w:val="clear" w:color="auto" w:fill="auto"/>
            <w:tcMar>
              <w:left w:w="20" w:type="dxa"/>
              <w:right w:w="20" w:type="dxa"/>
            </w:tcMar>
            <w:vAlign w:val="bottom"/>
          </w:tcPr>
          <w:p w14:paraId="64A89DAE"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DAF" w14:textId="77777777" w:rsidR="008D6614" w:rsidRDefault="00866AF2">
            <w:pPr>
              <w:jc w:val="center"/>
              <w:textAlignment w:val="bottom"/>
            </w:pPr>
            <w:r>
              <w:rPr>
                <w:rFonts w:ascii="Arial" w:eastAsia="宋体" w:hAnsi="Arial" w:cs="Arial"/>
                <w:b/>
                <w:bCs/>
                <w:color w:val="000000"/>
                <w:sz w:val="16"/>
                <w:szCs w:val="16"/>
              </w:rPr>
              <w:t>Amount of Gain (Loss)</w:t>
            </w:r>
          </w:p>
          <w:p w14:paraId="64A89DB0" w14:textId="77777777" w:rsidR="008D6614" w:rsidRDefault="00866AF2">
            <w:pPr>
              <w:jc w:val="center"/>
              <w:textAlignment w:val="bottom"/>
            </w:pPr>
            <w:r>
              <w:rPr>
                <w:rFonts w:ascii="Arial" w:eastAsia="宋体" w:hAnsi="Arial" w:cs="Arial"/>
                <w:b/>
                <w:bCs/>
                <w:color w:val="000000"/>
                <w:sz w:val="16"/>
                <w:szCs w:val="16"/>
              </w:rPr>
              <w:t>Recognized in Other</w:t>
            </w:r>
          </w:p>
          <w:p w14:paraId="64A89DB1" w14:textId="77777777" w:rsidR="008D6614" w:rsidRDefault="00866AF2">
            <w:pPr>
              <w:jc w:val="center"/>
              <w:textAlignment w:val="bottom"/>
            </w:pPr>
            <w:r>
              <w:rPr>
                <w:rFonts w:ascii="Arial" w:eastAsia="宋体" w:hAnsi="Arial" w:cs="Arial"/>
                <w:b/>
                <w:bCs/>
                <w:color w:val="000000"/>
                <w:sz w:val="16"/>
                <w:szCs w:val="16"/>
              </w:rPr>
              <w:t>Comprehensive </w:t>
            </w:r>
          </w:p>
          <w:p w14:paraId="64A89DB2" w14:textId="77777777" w:rsidR="008D6614" w:rsidRDefault="00866AF2">
            <w:pPr>
              <w:jc w:val="center"/>
              <w:textAlignment w:val="bottom"/>
            </w:pPr>
            <w:r>
              <w:rPr>
                <w:rFonts w:ascii="Arial" w:eastAsia="宋体" w:hAnsi="Arial" w:cs="Arial"/>
                <w:b/>
                <w:bCs/>
                <w:color w:val="000000"/>
                <w:sz w:val="16"/>
                <w:szCs w:val="16"/>
              </w:rPr>
              <w:t>Income</w:t>
            </w:r>
          </w:p>
        </w:tc>
        <w:tc>
          <w:tcPr>
            <w:tcW w:w="0" w:type="auto"/>
            <w:gridSpan w:val="3"/>
            <w:shd w:val="clear" w:color="auto" w:fill="auto"/>
            <w:tcMar>
              <w:left w:w="20" w:type="dxa"/>
              <w:right w:w="20" w:type="dxa"/>
            </w:tcMar>
            <w:vAlign w:val="bottom"/>
          </w:tcPr>
          <w:p w14:paraId="64A89DB3"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DB4" w14:textId="77777777" w:rsidR="008D6614" w:rsidRDefault="00866AF2">
            <w:pPr>
              <w:jc w:val="center"/>
              <w:textAlignment w:val="bottom"/>
            </w:pPr>
            <w:r>
              <w:rPr>
                <w:rFonts w:ascii="Arial" w:eastAsia="宋体" w:hAnsi="Arial" w:cs="Arial"/>
                <w:b/>
                <w:bCs/>
                <w:color w:val="000000"/>
                <w:sz w:val="16"/>
                <w:szCs w:val="16"/>
              </w:rPr>
              <w:t>Less: Amount of Gain (Loss)</w:t>
            </w:r>
            <w:r>
              <w:rPr>
                <w:rFonts w:ascii="Arial" w:eastAsia="宋体" w:hAnsi="Arial" w:cs="Arial"/>
                <w:b/>
                <w:bCs/>
                <w:color w:val="000000"/>
                <w:sz w:val="16"/>
                <w:szCs w:val="16"/>
              </w:rPr>
              <w:br/>
              <w:t>Reclassified From</w:t>
            </w:r>
            <w:r>
              <w:rPr>
                <w:rFonts w:ascii="Arial" w:eastAsia="宋体" w:hAnsi="Arial" w:cs="Arial"/>
                <w:b/>
                <w:bCs/>
                <w:color w:val="000000"/>
                <w:sz w:val="16"/>
                <w:szCs w:val="16"/>
              </w:rPr>
              <w:br/>
              <w:t>AOCI to Earnings</w:t>
            </w:r>
          </w:p>
        </w:tc>
        <w:tc>
          <w:tcPr>
            <w:tcW w:w="0" w:type="auto"/>
            <w:gridSpan w:val="3"/>
            <w:shd w:val="clear" w:color="auto" w:fill="auto"/>
            <w:tcMar>
              <w:left w:w="20" w:type="dxa"/>
              <w:right w:w="20" w:type="dxa"/>
            </w:tcMar>
            <w:vAlign w:val="bottom"/>
          </w:tcPr>
          <w:p w14:paraId="64A89DB5"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DB6" w14:textId="77777777" w:rsidR="008D6614" w:rsidRDefault="00866AF2">
            <w:pPr>
              <w:jc w:val="center"/>
              <w:textAlignment w:val="bottom"/>
            </w:pPr>
            <w:r>
              <w:rPr>
                <w:rFonts w:ascii="Arial" w:eastAsia="宋体" w:hAnsi="Arial" w:cs="Arial"/>
                <w:b/>
                <w:bCs/>
                <w:color w:val="000000"/>
                <w:sz w:val="16"/>
                <w:szCs w:val="16"/>
              </w:rPr>
              <w:t>March 31, 2020</w:t>
            </w:r>
          </w:p>
        </w:tc>
      </w:tr>
      <w:tr w:rsidR="008D6614" w14:paraId="64A89DC8" w14:textId="77777777">
        <w:trPr>
          <w:jc w:val="center"/>
        </w:trPr>
        <w:tc>
          <w:tcPr>
            <w:tcW w:w="0" w:type="auto"/>
            <w:gridSpan w:val="3"/>
            <w:shd w:val="clear" w:color="auto" w:fill="E2E2E2"/>
            <w:tcMar>
              <w:top w:w="40" w:type="dxa"/>
              <w:left w:w="20" w:type="dxa"/>
              <w:bottom w:w="40" w:type="dxa"/>
              <w:right w:w="20" w:type="dxa"/>
            </w:tcMar>
            <w:vAlign w:val="bottom"/>
          </w:tcPr>
          <w:p w14:paraId="64A89DB8" w14:textId="77777777" w:rsidR="008D6614" w:rsidRDefault="00866AF2">
            <w:pPr>
              <w:textAlignment w:val="bottom"/>
            </w:pPr>
            <w:r>
              <w:rPr>
                <w:rFonts w:ascii="Arial" w:eastAsia="宋体" w:hAnsi="Arial" w:cs="Arial"/>
                <w:color w:val="000000"/>
                <w:sz w:val="18"/>
                <w:szCs w:val="18"/>
              </w:rPr>
              <w:t xml:space="preserve">Foreign exchange contracts </w:t>
            </w:r>
            <w:r>
              <w:rPr>
                <w:rFonts w:ascii="Arial" w:eastAsia="宋体" w:hAnsi="Arial" w:cs="Arial"/>
                <w:color w:val="000000"/>
                <w:sz w:val="18"/>
                <w:szCs w:val="18"/>
              </w:rPr>
              <w:t>designated as cash flow hedges</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DB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DBA" w14:textId="77777777" w:rsidR="008D6614" w:rsidRDefault="00866AF2">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DB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DBC"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DBD"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DBE" w14:textId="77777777" w:rsidR="008D6614" w:rsidRDefault="00866AF2">
            <w:pPr>
              <w:jc w:val="right"/>
              <w:textAlignment w:val="bottom"/>
            </w:pPr>
            <w:r>
              <w:rPr>
                <w:rFonts w:ascii="Arial" w:eastAsia="宋体" w:hAnsi="Arial" w:cs="Arial"/>
                <w:color w:val="000000"/>
                <w:sz w:val="18"/>
                <w:szCs w:val="18"/>
              </w:rPr>
              <w:t>47 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DB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DC0"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DC1"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DC2"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DC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DC4"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DC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DC6" w14:textId="77777777" w:rsidR="008D6614" w:rsidRDefault="00866AF2">
            <w:pPr>
              <w:jc w:val="right"/>
              <w:textAlignment w:val="bottom"/>
            </w:pPr>
            <w:r>
              <w:rPr>
                <w:rFonts w:ascii="Arial" w:eastAsia="宋体" w:hAnsi="Arial" w:cs="Arial"/>
                <w:color w:val="000000"/>
                <w:sz w:val="18"/>
                <w:szCs w:val="18"/>
              </w:rPr>
              <w:t>38 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DC7" w14:textId="77777777" w:rsidR="008D6614" w:rsidRDefault="00866AF2">
            <w:pPr>
              <w:jc w:val="right"/>
              <w:textAlignment w:val="bottom"/>
            </w:pPr>
            <w:r>
              <w:rPr>
                <w:rFonts w:ascii="Arial" w:eastAsia="宋体" w:hAnsi="Arial" w:cs="Arial"/>
                <w:color w:val="000000"/>
                <w:sz w:val="18"/>
                <w:szCs w:val="18"/>
              </w:rPr>
              <w:t> </w:t>
            </w:r>
          </w:p>
        </w:tc>
      </w:tr>
      <w:tr w:rsidR="008D6614" w14:paraId="64A89DD1" w14:textId="77777777">
        <w:trPr>
          <w:jc w:val="center"/>
          <w:hidden/>
        </w:trPr>
        <w:tc>
          <w:tcPr>
            <w:tcW w:w="0" w:type="auto"/>
            <w:gridSpan w:val="3"/>
            <w:shd w:val="clear" w:color="auto" w:fill="auto"/>
            <w:vAlign w:val="center"/>
          </w:tcPr>
          <w:p w14:paraId="64A89DC9" w14:textId="77777777" w:rsidR="008D6614" w:rsidRDefault="008D6614">
            <w:pPr>
              <w:rPr>
                <w:rFonts w:ascii="宋体"/>
                <w:vanish/>
              </w:rPr>
            </w:pPr>
          </w:p>
        </w:tc>
        <w:tc>
          <w:tcPr>
            <w:tcW w:w="0" w:type="auto"/>
            <w:gridSpan w:val="3"/>
            <w:shd w:val="clear" w:color="auto" w:fill="auto"/>
            <w:vAlign w:val="center"/>
          </w:tcPr>
          <w:p w14:paraId="64A89DCA" w14:textId="77777777" w:rsidR="008D6614" w:rsidRDefault="008D6614">
            <w:pPr>
              <w:rPr>
                <w:rFonts w:ascii="宋体"/>
                <w:vanish/>
              </w:rPr>
            </w:pPr>
          </w:p>
        </w:tc>
        <w:tc>
          <w:tcPr>
            <w:tcW w:w="0" w:type="auto"/>
            <w:gridSpan w:val="3"/>
            <w:shd w:val="clear" w:color="auto" w:fill="auto"/>
            <w:vAlign w:val="center"/>
          </w:tcPr>
          <w:p w14:paraId="64A89DCB" w14:textId="77777777" w:rsidR="008D6614" w:rsidRDefault="008D6614">
            <w:pPr>
              <w:rPr>
                <w:rFonts w:ascii="宋体"/>
                <w:vanish/>
              </w:rPr>
            </w:pPr>
          </w:p>
        </w:tc>
        <w:tc>
          <w:tcPr>
            <w:tcW w:w="0" w:type="auto"/>
            <w:gridSpan w:val="3"/>
            <w:shd w:val="clear" w:color="auto" w:fill="auto"/>
            <w:vAlign w:val="center"/>
          </w:tcPr>
          <w:p w14:paraId="64A89DCC" w14:textId="77777777" w:rsidR="008D6614" w:rsidRDefault="008D6614">
            <w:pPr>
              <w:rPr>
                <w:rFonts w:ascii="宋体"/>
                <w:vanish/>
              </w:rPr>
            </w:pPr>
          </w:p>
        </w:tc>
        <w:tc>
          <w:tcPr>
            <w:tcW w:w="0" w:type="auto"/>
            <w:gridSpan w:val="3"/>
            <w:shd w:val="clear" w:color="auto" w:fill="auto"/>
            <w:vAlign w:val="center"/>
          </w:tcPr>
          <w:p w14:paraId="64A89DCD" w14:textId="77777777" w:rsidR="008D6614" w:rsidRDefault="008D6614">
            <w:pPr>
              <w:rPr>
                <w:rFonts w:ascii="宋体"/>
                <w:vanish/>
              </w:rPr>
            </w:pPr>
          </w:p>
        </w:tc>
        <w:tc>
          <w:tcPr>
            <w:tcW w:w="0" w:type="auto"/>
            <w:gridSpan w:val="3"/>
            <w:shd w:val="clear" w:color="auto" w:fill="auto"/>
            <w:vAlign w:val="center"/>
          </w:tcPr>
          <w:p w14:paraId="64A89DCE" w14:textId="77777777" w:rsidR="008D6614" w:rsidRDefault="008D6614">
            <w:pPr>
              <w:rPr>
                <w:rFonts w:ascii="宋体"/>
                <w:vanish/>
              </w:rPr>
            </w:pPr>
          </w:p>
        </w:tc>
        <w:tc>
          <w:tcPr>
            <w:tcW w:w="0" w:type="auto"/>
            <w:gridSpan w:val="3"/>
            <w:shd w:val="clear" w:color="auto" w:fill="auto"/>
            <w:vAlign w:val="center"/>
          </w:tcPr>
          <w:p w14:paraId="64A89DCF" w14:textId="77777777" w:rsidR="008D6614" w:rsidRDefault="008D6614">
            <w:pPr>
              <w:rPr>
                <w:rFonts w:ascii="宋体"/>
                <w:vanish/>
              </w:rPr>
            </w:pPr>
          </w:p>
        </w:tc>
        <w:tc>
          <w:tcPr>
            <w:tcW w:w="0" w:type="auto"/>
            <w:gridSpan w:val="3"/>
            <w:shd w:val="clear" w:color="auto" w:fill="auto"/>
            <w:vAlign w:val="center"/>
          </w:tcPr>
          <w:p w14:paraId="64A89DD0" w14:textId="77777777" w:rsidR="008D6614" w:rsidRDefault="008D6614">
            <w:pPr>
              <w:rPr>
                <w:rFonts w:ascii="宋体"/>
                <w:vanish/>
              </w:rPr>
            </w:pPr>
          </w:p>
        </w:tc>
      </w:tr>
      <w:tr w:rsidR="008D6614" w14:paraId="64A89DDA" w14:textId="77777777">
        <w:trPr>
          <w:jc w:val="center"/>
          <w:hidden/>
        </w:trPr>
        <w:tc>
          <w:tcPr>
            <w:tcW w:w="0" w:type="auto"/>
            <w:gridSpan w:val="3"/>
            <w:shd w:val="clear" w:color="auto" w:fill="auto"/>
            <w:vAlign w:val="center"/>
          </w:tcPr>
          <w:p w14:paraId="64A89DD2" w14:textId="77777777" w:rsidR="008D6614" w:rsidRDefault="008D6614">
            <w:pPr>
              <w:rPr>
                <w:rFonts w:ascii="宋体"/>
                <w:vanish/>
              </w:rPr>
            </w:pPr>
          </w:p>
        </w:tc>
        <w:tc>
          <w:tcPr>
            <w:tcW w:w="0" w:type="auto"/>
            <w:gridSpan w:val="3"/>
            <w:shd w:val="clear" w:color="auto" w:fill="auto"/>
            <w:vAlign w:val="center"/>
          </w:tcPr>
          <w:p w14:paraId="64A89DD3" w14:textId="77777777" w:rsidR="008D6614" w:rsidRDefault="008D6614">
            <w:pPr>
              <w:rPr>
                <w:rFonts w:ascii="宋体"/>
                <w:vanish/>
              </w:rPr>
            </w:pPr>
          </w:p>
        </w:tc>
        <w:tc>
          <w:tcPr>
            <w:tcW w:w="0" w:type="auto"/>
            <w:gridSpan w:val="3"/>
            <w:shd w:val="clear" w:color="auto" w:fill="auto"/>
            <w:vAlign w:val="center"/>
          </w:tcPr>
          <w:p w14:paraId="64A89DD4" w14:textId="77777777" w:rsidR="008D6614" w:rsidRDefault="008D6614">
            <w:pPr>
              <w:rPr>
                <w:rFonts w:ascii="宋体"/>
                <w:vanish/>
              </w:rPr>
            </w:pPr>
          </w:p>
        </w:tc>
        <w:tc>
          <w:tcPr>
            <w:tcW w:w="0" w:type="auto"/>
            <w:gridSpan w:val="3"/>
            <w:shd w:val="clear" w:color="auto" w:fill="auto"/>
            <w:vAlign w:val="center"/>
          </w:tcPr>
          <w:p w14:paraId="64A89DD5" w14:textId="77777777" w:rsidR="008D6614" w:rsidRDefault="008D6614">
            <w:pPr>
              <w:rPr>
                <w:rFonts w:ascii="宋体"/>
                <w:vanish/>
              </w:rPr>
            </w:pPr>
          </w:p>
        </w:tc>
        <w:tc>
          <w:tcPr>
            <w:tcW w:w="0" w:type="auto"/>
            <w:gridSpan w:val="3"/>
            <w:shd w:val="clear" w:color="auto" w:fill="auto"/>
            <w:vAlign w:val="center"/>
          </w:tcPr>
          <w:p w14:paraId="64A89DD6" w14:textId="77777777" w:rsidR="008D6614" w:rsidRDefault="008D6614">
            <w:pPr>
              <w:rPr>
                <w:rFonts w:ascii="宋体"/>
                <w:vanish/>
              </w:rPr>
            </w:pPr>
          </w:p>
        </w:tc>
        <w:tc>
          <w:tcPr>
            <w:tcW w:w="0" w:type="auto"/>
            <w:gridSpan w:val="3"/>
            <w:shd w:val="clear" w:color="auto" w:fill="auto"/>
            <w:vAlign w:val="center"/>
          </w:tcPr>
          <w:p w14:paraId="64A89DD7" w14:textId="77777777" w:rsidR="008D6614" w:rsidRDefault="008D6614">
            <w:pPr>
              <w:rPr>
                <w:rFonts w:ascii="宋体"/>
                <w:vanish/>
              </w:rPr>
            </w:pPr>
          </w:p>
        </w:tc>
        <w:tc>
          <w:tcPr>
            <w:tcW w:w="0" w:type="auto"/>
            <w:gridSpan w:val="3"/>
            <w:shd w:val="clear" w:color="auto" w:fill="auto"/>
            <w:vAlign w:val="center"/>
          </w:tcPr>
          <w:p w14:paraId="64A89DD8" w14:textId="77777777" w:rsidR="008D6614" w:rsidRDefault="008D6614">
            <w:pPr>
              <w:rPr>
                <w:rFonts w:ascii="宋体"/>
                <w:vanish/>
              </w:rPr>
            </w:pPr>
          </w:p>
        </w:tc>
        <w:tc>
          <w:tcPr>
            <w:tcW w:w="0" w:type="auto"/>
            <w:gridSpan w:val="3"/>
            <w:shd w:val="clear" w:color="auto" w:fill="auto"/>
            <w:vAlign w:val="center"/>
          </w:tcPr>
          <w:p w14:paraId="64A89DD9" w14:textId="77777777" w:rsidR="008D6614" w:rsidRDefault="008D6614">
            <w:pPr>
              <w:rPr>
                <w:rFonts w:ascii="宋体"/>
                <w:vanish/>
              </w:rPr>
            </w:pPr>
          </w:p>
        </w:tc>
      </w:tr>
    </w:tbl>
    <w:p w14:paraId="64A89DDB" w14:textId="77777777" w:rsidR="008D6614" w:rsidRDefault="008D6614">
      <w:pPr>
        <w:jc w:val="both"/>
      </w:pPr>
    </w:p>
    <w:tbl>
      <w:tblPr>
        <w:tblW w:w="4985" w:type="pct"/>
        <w:jc w:val="center"/>
        <w:tblCellMar>
          <w:top w:w="15" w:type="dxa"/>
          <w:left w:w="15" w:type="dxa"/>
          <w:bottom w:w="15" w:type="dxa"/>
          <w:right w:w="15" w:type="dxa"/>
        </w:tblCellMar>
        <w:tblLook w:val="04A0" w:firstRow="1" w:lastRow="0" w:firstColumn="1" w:lastColumn="0" w:noHBand="0" w:noVBand="1"/>
      </w:tblPr>
      <w:tblGrid>
        <w:gridCol w:w="43"/>
        <w:gridCol w:w="2024"/>
        <w:gridCol w:w="43"/>
        <w:gridCol w:w="137"/>
        <w:gridCol w:w="1099"/>
        <w:gridCol w:w="86"/>
        <w:gridCol w:w="36"/>
        <w:gridCol w:w="36"/>
        <w:gridCol w:w="36"/>
        <w:gridCol w:w="137"/>
        <w:gridCol w:w="1323"/>
        <w:gridCol w:w="86"/>
        <w:gridCol w:w="36"/>
        <w:gridCol w:w="36"/>
        <w:gridCol w:w="36"/>
        <w:gridCol w:w="137"/>
        <w:gridCol w:w="1470"/>
        <w:gridCol w:w="86"/>
        <w:gridCol w:w="36"/>
        <w:gridCol w:w="36"/>
        <w:gridCol w:w="36"/>
        <w:gridCol w:w="137"/>
        <w:gridCol w:w="1093"/>
        <w:gridCol w:w="86"/>
      </w:tblGrid>
      <w:tr w:rsidR="008D6614" w14:paraId="64A89DF4" w14:textId="77777777">
        <w:trPr>
          <w:jc w:val="center"/>
        </w:trPr>
        <w:tc>
          <w:tcPr>
            <w:tcW w:w="50" w:type="pct"/>
            <w:shd w:val="clear" w:color="auto" w:fill="auto"/>
            <w:vAlign w:val="center"/>
          </w:tcPr>
          <w:p w14:paraId="64A89DDC" w14:textId="77777777" w:rsidR="008D6614" w:rsidRDefault="008D6614">
            <w:pPr>
              <w:rPr>
                <w:rFonts w:ascii="宋体"/>
              </w:rPr>
            </w:pPr>
          </w:p>
        </w:tc>
        <w:tc>
          <w:tcPr>
            <w:tcW w:w="1241" w:type="pct"/>
            <w:shd w:val="clear" w:color="auto" w:fill="auto"/>
            <w:vAlign w:val="center"/>
          </w:tcPr>
          <w:p w14:paraId="64A89DDD" w14:textId="77777777" w:rsidR="008D6614" w:rsidRDefault="008D6614">
            <w:pPr>
              <w:rPr>
                <w:rFonts w:ascii="宋体"/>
              </w:rPr>
            </w:pPr>
          </w:p>
        </w:tc>
        <w:tc>
          <w:tcPr>
            <w:tcW w:w="50" w:type="pct"/>
            <w:shd w:val="clear" w:color="auto" w:fill="auto"/>
            <w:vAlign w:val="center"/>
          </w:tcPr>
          <w:p w14:paraId="64A89DDE" w14:textId="77777777" w:rsidR="008D6614" w:rsidRDefault="008D6614">
            <w:pPr>
              <w:rPr>
                <w:rFonts w:ascii="宋体"/>
              </w:rPr>
            </w:pPr>
          </w:p>
        </w:tc>
        <w:tc>
          <w:tcPr>
            <w:tcW w:w="50" w:type="pct"/>
            <w:shd w:val="clear" w:color="auto" w:fill="auto"/>
            <w:vAlign w:val="center"/>
          </w:tcPr>
          <w:p w14:paraId="64A89DDF" w14:textId="77777777" w:rsidR="008D6614" w:rsidRDefault="008D6614">
            <w:pPr>
              <w:rPr>
                <w:rFonts w:ascii="宋体"/>
              </w:rPr>
            </w:pPr>
          </w:p>
        </w:tc>
        <w:tc>
          <w:tcPr>
            <w:tcW w:w="684" w:type="pct"/>
            <w:shd w:val="clear" w:color="auto" w:fill="auto"/>
            <w:vAlign w:val="center"/>
          </w:tcPr>
          <w:p w14:paraId="64A89DE0" w14:textId="77777777" w:rsidR="008D6614" w:rsidRDefault="008D6614">
            <w:pPr>
              <w:rPr>
                <w:rFonts w:ascii="宋体"/>
              </w:rPr>
            </w:pPr>
          </w:p>
        </w:tc>
        <w:tc>
          <w:tcPr>
            <w:tcW w:w="50" w:type="pct"/>
            <w:shd w:val="clear" w:color="auto" w:fill="auto"/>
            <w:vAlign w:val="center"/>
          </w:tcPr>
          <w:p w14:paraId="64A89DE1" w14:textId="77777777" w:rsidR="008D6614" w:rsidRDefault="008D6614">
            <w:pPr>
              <w:rPr>
                <w:rFonts w:ascii="宋体"/>
              </w:rPr>
            </w:pPr>
          </w:p>
        </w:tc>
        <w:tc>
          <w:tcPr>
            <w:tcW w:w="5" w:type="pct"/>
            <w:shd w:val="clear" w:color="auto" w:fill="auto"/>
            <w:vAlign w:val="center"/>
          </w:tcPr>
          <w:p w14:paraId="64A89DE2" w14:textId="77777777" w:rsidR="008D6614" w:rsidRDefault="008D6614">
            <w:pPr>
              <w:rPr>
                <w:rFonts w:ascii="宋体"/>
              </w:rPr>
            </w:pPr>
          </w:p>
        </w:tc>
        <w:tc>
          <w:tcPr>
            <w:tcW w:w="26" w:type="pct"/>
            <w:shd w:val="clear" w:color="auto" w:fill="auto"/>
            <w:vAlign w:val="center"/>
          </w:tcPr>
          <w:p w14:paraId="64A89DE3" w14:textId="77777777" w:rsidR="008D6614" w:rsidRDefault="008D6614">
            <w:pPr>
              <w:rPr>
                <w:rFonts w:ascii="宋体"/>
              </w:rPr>
            </w:pPr>
          </w:p>
        </w:tc>
        <w:tc>
          <w:tcPr>
            <w:tcW w:w="5" w:type="pct"/>
            <w:shd w:val="clear" w:color="auto" w:fill="auto"/>
            <w:vAlign w:val="center"/>
          </w:tcPr>
          <w:p w14:paraId="64A89DE4" w14:textId="77777777" w:rsidR="008D6614" w:rsidRDefault="008D6614">
            <w:pPr>
              <w:rPr>
                <w:rFonts w:ascii="宋体"/>
              </w:rPr>
            </w:pPr>
          </w:p>
        </w:tc>
        <w:tc>
          <w:tcPr>
            <w:tcW w:w="50" w:type="pct"/>
            <w:shd w:val="clear" w:color="auto" w:fill="auto"/>
            <w:vAlign w:val="center"/>
          </w:tcPr>
          <w:p w14:paraId="64A89DE5" w14:textId="77777777" w:rsidR="008D6614" w:rsidRDefault="008D6614">
            <w:pPr>
              <w:rPr>
                <w:rFonts w:ascii="宋体"/>
              </w:rPr>
            </w:pPr>
          </w:p>
        </w:tc>
        <w:tc>
          <w:tcPr>
            <w:tcW w:w="838" w:type="pct"/>
            <w:shd w:val="clear" w:color="auto" w:fill="auto"/>
            <w:vAlign w:val="center"/>
          </w:tcPr>
          <w:p w14:paraId="64A89DE6" w14:textId="77777777" w:rsidR="008D6614" w:rsidRDefault="008D6614">
            <w:pPr>
              <w:rPr>
                <w:rFonts w:ascii="宋体"/>
              </w:rPr>
            </w:pPr>
          </w:p>
        </w:tc>
        <w:tc>
          <w:tcPr>
            <w:tcW w:w="50" w:type="pct"/>
            <w:shd w:val="clear" w:color="auto" w:fill="auto"/>
            <w:vAlign w:val="center"/>
          </w:tcPr>
          <w:p w14:paraId="64A89DE7" w14:textId="77777777" w:rsidR="008D6614" w:rsidRDefault="008D6614">
            <w:pPr>
              <w:rPr>
                <w:rFonts w:ascii="宋体"/>
              </w:rPr>
            </w:pPr>
          </w:p>
        </w:tc>
        <w:tc>
          <w:tcPr>
            <w:tcW w:w="5" w:type="pct"/>
            <w:shd w:val="clear" w:color="auto" w:fill="auto"/>
            <w:vAlign w:val="center"/>
          </w:tcPr>
          <w:p w14:paraId="64A89DE8" w14:textId="77777777" w:rsidR="008D6614" w:rsidRDefault="008D6614">
            <w:pPr>
              <w:rPr>
                <w:rFonts w:ascii="宋体"/>
              </w:rPr>
            </w:pPr>
          </w:p>
        </w:tc>
        <w:tc>
          <w:tcPr>
            <w:tcW w:w="26" w:type="pct"/>
            <w:shd w:val="clear" w:color="auto" w:fill="auto"/>
            <w:vAlign w:val="center"/>
          </w:tcPr>
          <w:p w14:paraId="64A89DE9" w14:textId="77777777" w:rsidR="008D6614" w:rsidRDefault="008D6614">
            <w:pPr>
              <w:rPr>
                <w:rFonts w:ascii="宋体"/>
              </w:rPr>
            </w:pPr>
          </w:p>
        </w:tc>
        <w:tc>
          <w:tcPr>
            <w:tcW w:w="5" w:type="pct"/>
            <w:shd w:val="clear" w:color="auto" w:fill="auto"/>
            <w:vAlign w:val="center"/>
          </w:tcPr>
          <w:p w14:paraId="64A89DEA" w14:textId="77777777" w:rsidR="008D6614" w:rsidRDefault="008D6614">
            <w:pPr>
              <w:rPr>
                <w:rFonts w:ascii="宋体"/>
              </w:rPr>
            </w:pPr>
          </w:p>
        </w:tc>
        <w:tc>
          <w:tcPr>
            <w:tcW w:w="50" w:type="pct"/>
            <w:shd w:val="clear" w:color="auto" w:fill="auto"/>
            <w:vAlign w:val="center"/>
          </w:tcPr>
          <w:p w14:paraId="64A89DEB" w14:textId="77777777" w:rsidR="008D6614" w:rsidRDefault="008D6614">
            <w:pPr>
              <w:rPr>
                <w:rFonts w:ascii="宋体"/>
              </w:rPr>
            </w:pPr>
          </w:p>
        </w:tc>
        <w:tc>
          <w:tcPr>
            <w:tcW w:w="926" w:type="pct"/>
            <w:shd w:val="clear" w:color="auto" w:fill="auto"/>
            <w:vAlign w:val="center"/>
          </w:tcPr>
          <w:p w14:paraId="64A89DEC" w14:textId="77777777" w:rsidR="008D6614" w:rsidRDefault="008D6614">
            <w:pPr>
              <w:rPr>
                <w:rFonts w:ascii="宋体"/>
              </w:rPr>
            </w:pPr>
          </w:p>
        </w:tc>
        <w:tc>
          <w:tcPr>
            <w:tcW w:w="50" w:type="pct"/>
            <w:shd w:val="clear" w:color="auto" w:fill="auto"/>
            <w:vAlign w:val="center"/>
          </w:tcPr>
          <w:p w14:paraId="64A89DED" w14:textId="77777777" w:rsidR="008D6614" w:rsidRDefault="008D6614">
            <w:pPr>
              <w:rPr>
                <w:rFonts w:ascii="宋体"/>
              </w:rPr>
            </w:pPr>
          </w:p>
        </w:tc>
        <w:tc>
          <w:tcPr>
            <w:tcW w:w="5" w:type="pct"/>
            <w:shd w:val="clear" w:color="auto" w:fill="auto"/>
            <w:vAlign w:val="center"/>
          </w:tcPr>
          <w:p w14:paraId="64A89DEE" w14:textId="77777777" w:rsidR="008D6614" w:rsidRDefault="008D6614">
            <w:pPr>
              <w:rPr>
                <w:rFonts w:ascii="宋体"/>
              </w:rPr>
            </w:pPr>
          </w:p>
        </w:tc>
        <w:tc>
          <w:tcPr>
            <w:tcW w:w="26" w:type="pct"/>
            <w:shd w:val="clear" w:color="auto" w:fill="auto"/>
            <w:vAlign w:val="center"/>
          </w:tcPr>
          <w:p w14:paraId="64A89DEF" w14:textId="77777777" w:rsidR="008D6614" w:rsidRDefault="008D6614">
            <w:pPr>
              <w:rPr>
                <w:rFonts w:ascii="宋体"/>
              </w:rPr>
            </w:pPr>
          </w:p>
        </w:tc>
        <w:tc>
          <w:tcPr>
            <w:tcW w:w="5" w:type="pct"/>
            <w:shd w:val="clear" w:color="auto" w:fill="auto"/>
            <w:vAlign w:val="center"/>
          </w:tcPr>
          <w:p w14:paraId="64A89DF0" w14:textId="77777777" w:rsidR="008D6614" w:rsidRDefault="008D6614">
            <w:pPr>
              <w:rPr>
                <w:rFonts w:ascii="宋体"/>
              </w:rPr>
            </w:pPr>
          </w:p>
        </w:tc>
        <w:tc>
          <w:tcPr>
            <w:tcW w:w="50" w:type="pct"/>
            <w:shd w:val="clear" w:color="auto" w:fill="auto"/>
            <w:vAlign w:val="center"/>
          </w:tcPr>
          <w:p w14:paraId="64A89DF1" w14:textId="77777777" w:rsidR="008D6614" w:rsidRDefault="008D6614">
            <w:pPr>
              <w:rPr>
                <w:rFonts w:ascii="宋体"/>
              </w:rPr>
            </w:pPr>
          </w:p>
        </w:tc>
        <w:tc>
          <w:tcPr>
            <w:tcW w:w="699" w:type="pct"/>
            <w:shd w:val="clear" w:color="auto" w:fill="auto"/>
            <w:vAlign w:val="center"/>
          </w:tcPr>
          <w:p w14:paraId="64A89DF2" w14:textId="77777777" w:rsidR="008D6614" w:rsidRDefault="008D6614">
            <w:pPr>
              <w:rPr>
                <w:rFonts w:ascii="宋体"/>
              </w:rPr>
            </w:pPr>
          </w:p>
        </w:tc>
        <w:tc>
          <w:tcPr>
            <w:tcW w:w="50" w:type="pct"/>
            <w:shd w:val="clear" w:color="auto" w:fill="auto"/>
            <w:vAlign w:val="center"/>
          </w:tcPr>
          <w:p w14:paraId="64A89DF3" w14:textId="77777777" w:rsidR="008D6614" w:rsidRDefault="008D6614">
            <w:pPr>
              <w:rPr>
                <w:rFonts w:ascii="宋体"/>
              </w:rPr>
            </w:pPr>
          </w:p>
        </w:tc>
      </w:tr>
      <w:tr w:rsidR="008D6614" w14:paraId="64A89E00" w14:textId="77777777">
        <w:trPr>
          <w:jc w:val="center"/>
        </w:trPr>
        <w:tc>
          <w:tcPr>
            <w:tcW w:w="0" w:type="auto"/>
            <w:gridSpan w:val="3"/>
            <w:shd w:val="clear" w:color="auto" w:fill="auto"/>
            <w:tcMar>
              <w:top w:w="40" w:type="dxa"/>
              <w:left w:w="20" w:type="dxa"/>
              <w:bottom w:w="40" w:type="dxa"/>
              <w:right w:w="20" w:type="dxa"/>
            </w:tcMar>
            <w:vAlign w:val="bottom"/>
          </w:tcPr>
          <w:p w14:paraId="64A89DF5"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9DF6" w14:textId="77777777" w:rsidR="008D6614" w:rsidRDefault="00866AF2">
            <w:pPr>
              <w:jc w:val="center"/>
              <w:textAlignment w:val="bottom"/>
            </w:pPr>
            <w:r>
              <w:rPr>
                <w:rFonts w:ascii="Arial" w:eastAsia="宋体" w:hAnsi="Arial" w:cs="Arial"/>
                <w:b/>
                <w:bCs/>
                <w:color w:val="000000"/>
                <w:sz w:val="16"/>
                <w:szCs w:val="16"/>
              </w:rPr>
              <w:t>December 31, 2018</w:t>
            </w:r>
          </w:p>
        </w:tc>
        <w:tc>
          <w:tcPr>
            <w:tcW w:w="0" w:type="auto"/>
            <w:gridSpan w:val="3"/>
            <w:shd w:val="clear" w:color="auto" w:fill="auto"/>
            <w:tcMar>
              <w:left w:w="20" w:type="dxa"/>
              <w:right w:w="20" w:type="dxa"/>
            </w:tcMar>
            <w:vAlign w:val="bottom"/>
          </w:tcPr>
          <w:p w14:paraId="64A89DF7"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DF8" w14:textId="77777777" w:rsidR="008D6614" w:rsidRDefault="00866AF2">
            <w:pPr>
              <w:jc w:val="center"/>
              <w:textAlignment w:val="bottom"/>
            </w:pPr>
            <w:r>
              <w:rPr>
                <w:rFonts w:ascii="Arial" w:eastAsia="宋体" w:hAnsi="Arial" w:cs="Arial"/>
                <w:b/>
                <w:bCs/>
                <w:color w:val="000000"/>
                <w:sz w:val="16"/>
                <w:szCs w:val="16"/>
              </w:rPr>
              <w:t>Amount of Gain (Loss)</w:t>
            </w:r>
          </w:p>
          <w:p w14:paraId="64A89DF9" w14:textId="77777777" w:rsidR="008D6614" w:rsidRDefault="00866AF2">
            <w:pPr>
              <w:jc w:val="center"/>
              <w:textAlignment w:val="bottom"/>
            </w:pPr>
            <w:r>
              <w:rPr>
                <w:rFonts w:ascii="Arial" w:eastAsia="宋体" w:hAnsi="Arial" w:cs="Arial"/>
                <w:b/>
                <w:bCs/>
                <w:color w:val="000000"/>
                <w:sz w:val="16"/>
                <w:szCs w:val="16"/>
              </w:rPr>
              <w:t>Recognized in Other</w:t>
            </w:r>
          </w:p>
          <w:p w14:paraId="64A89DFA" w14:textId="77777777" w:rsidR="008D6614" w:rsidRDefault="00866AF2">
            <w:pPr>
              <w:jc w:val="center"/>
              <w:textAlignment w:val="bottom"/>
            </w:pPr>
            <w:r>
              <w:rPr>
                <w:rFonts w:ascii="Arial" w:eastAsia="宋体" w:hAnsi="Arial" w:cs="Arial"/>
                <w:b/>
                <w:bCs/>
                <w:color w:val="000000"/>
                <w:sz w:val="16"/>
                <w:szCs w:val="16"/>
              </w:rPr>
              <w:t>Comprehensive </w:t>
            </w:r>
          </w:p>
          <w:p w14:paraId="64A89DFB" w14:textId="77777777" w:rsidR="008D6614" w:rsidRDefault="00866AF2">
            <w:pPr>
              <w:jc w:val="center"/>
              <w:textAlignment w:val="bottom"/>
            </w:pPr>
            <w:r>
              <w:rPr>
                <w:rFonts w:ascii="Arial" w:eastAsia="宋体" w:hAnsi="Arial" w:cs="Arial"/>
                <w:b/>
                <w:bCs/>
                <w:color w:val="000000"/>
                <w:sz w:val="16"/>
                <w:szCs w:val="16"/>
              </w:rPr>
              <w:t>Income</w:t>
            </w:r>
          </w:p>
        </w:tc>
        <w:tc>
          <w:tcPr>
            <w:tcW w:w="0" w:type="auto"/>
            <w:gridSpan w:val="3"/>
            <w:shd w:val="clear" w:color="auto" w:fill="auto"/>
            <w:tcMar>
              <w:left w:w="20" w:type="dxa"/>
              <w:right w:w="20" w:type="dxa"/>
            </w:tcMar>
            <w:vAlign w:val="bottom"/>
          </w:tcPr>
          <w:p w14:paraId="64A89DFC"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DFD" w14:textId="77777777" w:rsidR="008D6614" w:rsidRDefault="00866AF2">
            <w:pPr>
              <w:jc w:val="center"/>
              <w:textAlignment w:val="bottom"/>
            </w:pPr>
            <w:r>
              <w:rPr>
                <w:rFonts w:ascii="Arial" w:eastAsia="宋体" w:hAnsi="Arial" w:cs="Arial"/>
                <w:b/>
                <w:bCs/>
                <w:color w:val="000000"/>
                <w:sz w:val="16"/>
                <w:szCs w:val="16"/>
              </w:rPr>
              <w:t>Less: Amount of Gain (Loss)</w:t>
            </w:r>
            <w:r>
              <w:rPr>
                <w:rFonts w:ascii="Arial" w:eastAsia="宋体" w:hAnsi="Arial" w:cs="Arial"/>
                <w:b/>
                <w:bCs/>
                <w:color w:val="000000"/>
                <w:sz w:val="16"/>
                <w:szCs w:val="16"/>
              </w:rPr>
              <w:br/>
              <w:t>Reclassified From</w:t>
            </w:r>
            <w:r>
              <w:rPr>
                <w:rFonts w:ascii="Arial" w:eastAsia="宋体" w:hAnsi="Arial" w:cs="Arial"/>
                <w:b/>
                <w:bCs/>
                <w:color w:val="000000"/>
                <w:sz w:val="16"/>
                <w:szCs w:val="16"/>
              </w:rPr>
              <w:br/>
              <w:t>AOCI to Earnings</w:t>
            </w:r>
          </w:p>
        </w:tc>
        <w:tc>
          <w:tcPr>
            <w:tcW w:w="0" w:type="auto"/>
            <w:gridSpan w:val="3"/>
            <w:shd w:val="clear" w:color="auto" w:fill="auto"/>
            <w:tcMar>
              <w:left w:w="20" w:type="dxa"/>
              <w:right w:w="20" w:type="dxa"/>
            </w:tcMar>
            <w:vAlign w:val="bottom"/>
          </w:tcPr>
          <w:p w14:paraId="64A89DFE"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9DFF" w14:textId="77777777" w:rsidR="008D6614" w:rsidRDefault="00866AF2">
            <w:pPr>
              <w:jc w:val="center"/>
              <w:textAlignment w:val="bottom"/>
            </w:pPr>
            <w:r>
              <w:rPr>
                <w:rFonts w:ascii="Arial" w:eastAsia="宋体" w:hAnsi="Arial" w:cs="Arial"/>
                <w:b/>
                <w:bCs/>
                <w:color w:val="000000"/>
                <w:sz w:val="16"/>
                <w:szCs w:val="16"/>
              </w:rPr>
              <w:t>March 31, 2019</w:t>
            </w:r>
          </w:p>
        </w:tc>
      </w:tr>
      <w:tr w:rsidR="008D6614" w14:paraId="64A89E11" w14:textId="77777777">
        <w:trPr>
          <w:jc w:val="center"/>
        </w:trPr>
        <w:tc>
          <w:tcPr>
            <w:tcW w:w="0" w:type="auto"/>
            <w:gridSpan w:val="3"/>
            <w:shd w:val="clear" w:color="auto" w:fill="E2E2E2"/>
            <w:tcMar>
              <w:top w:w="40" w:type="dxa"/>
              <w:left w:w="20" w:type="dxa"/>
              <w:bottom w:w="40" w:type="dxa"/>
              <w:right w:w="20" w:type="dxa"/>
            </w:tcMar>
            <w:vAlign w:val="bottom"/>
          </w:tcPr>
          <w:p w14:paraId="64A89E01" w14:textId="77777777" w:rsidR="008D6614" w:rsidRDefault="00866AF2">
            <w:pPr>
              <w:textAlignment w:val="bottom"/>
            </w:pPr>
            <w:r>
              <w:rPr>
                <w:rFonts w:ascii="Arial" w:eastAsia="宋体" w:hAnsi="Arial" w:cs="Arial"/>
                <w:color w:val="000000"/>
                <w:sz w:val="18"/>
                <w:szCs w:val="18"/>
              </w:rPr>
              <w:t xml:space="preserve">Foreign exchange contracts </w:t>
            </w:r>
            <w:r>
              <w:rPr>
                <w:rFonts w:ascii="Arial" w:eastAsia="宋体" w:hAnsi="Arial" w:cs="Arial"/>
                <w:color w:val="000000"/>
                <w:sz w:val="18"/>
                <w:szCs w:val="18"/>
              </w:rPr>
              <w:t>designated as cash flow hedges</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E0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E03" w14:textId="77777777" w:rsidR="008D6614" w:rsidRDefault="00866AF2">
            <w:pPr>
              <w:jc w:val="right"/>
              <w:textAlignment w:val="bottom"/>
            </w:pPr>
            <w:r>
              <w:rPr>
                <w:rFonts w:ascii="Arial" w:eastAsia="宋体" w:hAnsi="Arial" w:cs="Arial"/>
                <w:color w:val="000000"/>
                <w:sz w:val="18"/>
                <w:szCs w:val="18"/>
              </w:rPr>
              <w:t>68 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E0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E05"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E0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E07" w14:textId="77777777" w:rsidR="008D6614" w:rsidRDefault="00866AF2">
            <w:pPr>
              <w:jc w:val="right"/>
              <w:textAlignment w:val="bottom"/>
            </w:pPr>
            <w:r>
              <w:rPr>
                <w:rFonts w:ascii="Arial" w:eastAsia="宋体" w:hAnsi="Arial" w:cs="Arial"/>
                <w:color w:val="000000"/>
                <w:sz w:val="18"/>
                <w:szCs w:val="18"/>
              </w:rPr>
              <w:t>(21)</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E0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E09"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E0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E0B" w14:textId="77777777" w:rsidR="008D6614" w:rsidRDefault="00866AF2">
            <w:pPr>
              <w:jc w:val="right"/>
              <w:textAlignment w:val="bottom"/>
            </w:pPr>
            <w:r>
              <w:rPr>
                <w:rFonts w:ascii="Arial" w:eastAsia="宋体" w:hAnsi="Arial" w:cs="Arial"/>
                <w:color w:val="000000"/>
                <w:sz w:val="18"/>
                <w:szCs w:val="18"/>
              </w:rPr>
              <w:t>20 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E0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E0D"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E0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E0F" w14:textId="77777777" w:rsidR="008D6614" w:rsidRDefault="00866AF2">
            <w:pPr>
              <w:jc w:val="right"/>
              <w:textAlignment w:val="bottom"/>
            </w:pPr>
            <w:r>
              <w:rPr>
                <w:rFonts w:ascii="Arial" w:eastAsia="宋体" w:hAnsi="Arial" w:cs="Arial"/>
                <w:color w:val="000000"/>
                <w:sz w:val="18"/>
                <w:szCs w:val="18"/>
              </w:rPr>
              <w:t>27 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E10" w14:textId="77777777" w:rsidR="008D6614" w:rsidRDefault="00866AF2">
            <w:pPr>
              <w:jc w:val="right"/>
              <w:textAlignment w:val="bottom"/>
            </w:pPr>
            <w:r>
              <w:rPr>
                <w:rFonts w:ascii="Arial" w:eastAsia="宋体" w:hAnsi="Arial" w:cs="Arial"/>
                <w:color w:val="000000"/>
                <w:sz w:val="18"/>
                <w:szCs w:val="18"/>
              </w:rPr>
              <w:t> </w:t>
            </w:r>
          </w:p>
        </w:tc>
      </w:tr>
    </w:tbl>
    <w:p w14:paraId="64A89E12" w14:textId="77777777" w:rsidR="008D6614" w:rsidRDefault="008D6614">
      <w:pPr>
        <w:jc w:val="center"/>
      </w:pPr>
    </w:p>
    <w:p w14:paraId="64A89E13" w14:textId="77777777" w:rsidR="008D6614" w:rsidRDefault="008D6614">
      <w:pPr>
        <w:jc w:val="center"/>
      </w:pPr>
    </w:p>
    <w:p w14:paraId="64A89E14" w14:textId="77777777" w:rsidR="008D6614" w:rsidRDefault="00866AF2">
      <w:pPr>
        <w:jc w:val="center"/>
      </w:pPr>
      <w:r>
        <w:rPr>
          <w:rFonts w:ascii="Arial" w:eastAsia="宋体" w:hAnsi="Arial" w:cs="Arial"/>
          <w:color w:val="000000"/>
          <w:sz w:val="20"/>
          <w:szCs w:val="20"/>
        </w:rPr>
        <w:t>20</w:t>
      </w:r>
    </w:p>
    <w:p w14:paraId="64A89E15" w14:textId="77777777" w:rsidR="008D6614" w:rsidRDefault="00866AF2">
      <w:r>
        <w:pict w14:anchorId="64A8B9F1">
          <v:rect id="_x0000_i1044" style="width:415.3pt;height:1.5pt" o:hralign="center" o:hrstd="t" o:hr="t" fillcolor="#a0a0a0" stroked="f"/>
        </w:pict>
      </w:r>
    </w:p>
    <w:p w14:paraId="64A89E16" w14:textId="77777777" w:rsidR="008D6614" w:rsidRDefault="008D6614">
      <w:pPr>
        <w:jc w:val="center"/>
      </w:pPr>
    </w:p>
    <w:p w14:paraId="64A89E17" w14:textId="77777777" w:rsidR="008D6614" w:rsidRDefault="00866AF2">
      <w:pPr>
        <w:jc w:val="center"/>
      </w:pPr>
      <w:r>
        <w:rPr>
          <w:rFonts w:ascii="Arial" w:eastAsia="宋体" w:hAnsi="Arial" w:cs="Arial"/>
          <w:b/>
          <w:bCs/>
          <w:color w:val="000000"/>
          <w:sz w:val="20"/>
          <w:szCs w:val="20"/>
        </w:rPr>
        <w:t>eBay Inc.</w:t>
      </w:r>
    </w:p>
    <w:p w14:paraId="64A89E18"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9E19" w14:textId="77777777" w:rsidR="008D6614" w:rsidRDefault="00866AF2">
      <w:r>
        <w:rPr>
          <w:rFonts w:ascii="Arial" w:eastAsia="宋体" w:hAnsi="Arial" w:cs="Arial"/>
          <w:b/>
          <w:bCs/>
          <w:i/>
          <w:iCs/>
          <w:color w:val="000000"/>
          <w:sz w:val="20"/>
          <w:szCs w:val="20"/>
        </w:rPr>
        <w:t xml:space="preserve">Effect of Derivative Contracts on Condensed Consolidated Statement of </w:t>
      </w:r>
      <w:r>
        <w:rPr>
          <w:rFonts w:ascii="Arial" w:eastAsia="宋体" w:hAnsi="Arial" w:cs="Arial"/>
          <w:b/>
          <w:bCs/>
          <w:i/>
          <w:iCs/>
          <w:color w:val="000000"/>
          <w:sz w:val="20"/>
          <w:szCs w:val="20"/>
        </w:rPr>
        <w:t>Income</w:t>
      </w:r>
    </w:p>
    <w:p w14:paraId="64A89E1A" w14:textId="77777777" w:rsidR="008D6614" w:rsidRDefault="008D6614">
      <w:pPr>
        <w:ind w:firstLine="495"/>
      </w:pPr>
    </w:p>
    <w:p w14:paraId="64A89E1B" w14:textId="77777777" w:rsidR="008D6614" w:rsidRDefault="00866AF2">
      <w:pPr>
        <w:ind w:firstLine="540"/>
      </w:pPr>
      <w:r>
        <w:rPr>
          <w:rFonts w:ascii="Arial" w:eastAsia="宋体" w:hAnsi="Arial" w:cs="Arial"/>
          <w:color w:val="000000"/>
          <w:sz w:val="20"/>
          <w:szCs w:val="20"/>
        </w:rPr>
        <w:t>The following table provides a summary of the total gain (loss) recognized in the condensed consolidated statement of income from our foreign exchange derivative contracts by location (in millions): </w:t>
      </w:r>
    </w:p>
    <w:tbl>
      <w:tblPr>
        <w:tblW w:w="4993" w:type="pct"/>
        <w:jc w:val="center"/>
        <w:tblCellMar>
          <w:top w:w="15" w:type="dxa"/>
          <w:left w:w="15" w:type="dxa"/>
          <w:bottom w:w="15" w:type="dxa"/>
          <w:right w:w="15" w:type="dxa"/>
        </w:tblCellMar>
        <w:tblLook w:val="04A0" w:firstRow="1" w:lastRow="0" w:firstColumn="1" w:lastColumn="0" w:noHBand="0" w:noVBand="1"/>
      </w:tblPr>
      <w:tblGrid>
        <w:gridCol w:w="46"/>
        <w:gridCol w:w="5653"/>
        <w:gridCol w:w="47"/>
        <w:gridCol w:w="36"/>
        <w:gridCol w:w="36"/>
        <w:gridCol w:w="36"/>
        <w:gridCol w:w="36"/>
        <w:gridCol w:w="36"/>
        <w:gridCol w:w="36"/>
        <w:gridCol w:w="136"/>
        <w:gridCol w:w="797"/>
        <w:gridCol w:w="86"/>
        <w:gridCol w:w="36"/>
        <w:gridCol w:w="36"/>
        <w:gridCol w:w="36"/>
        <w:gridCol w:w="136"/>
        <w:gridCol w:w="797"/>
        <w:gridCol w:w="86"/>
        <w:gridCol w:w="36"/>
        <w:gridCol w:w="36"/>
        <w:gridCol w:w="36"/>
        <w:gridCol w:w="36"/>
        <w:gridCol w:w="36"/>
        <w:gridCol w:w="36"/>
      </w:tblGrid>
      <w:tr w:rsidR="008D6614" w14:paraId="64A89E2E" w14:textId="77777777">
        <w:trPr>
          <w:gridAfter w:val="6"/>
          <w:jc w:val="center"/>
        </w:trPr>
        <w:tc>
          <w:tcPr>
            <w:tcW w:w="50" w:type="pct"/>
            <w:shd w:val="clear" w:color="auto" w:fill="auto"/>
            <w:vAlign w:val="center"/>
          </w:tcPr>
          <w:p w14:paraId="64A89E1C" w14:textId="77777777" w:rsidR="008D6614" w:rsidRDefault="008D6614">
            <w:pPr>
              <w:rPr>
                <w:rFonts w:ascii="宋体"/>
              </w:rPr>
            </w:pPr>
          </w:p>
        </w:tc>
        <w:tc>
          <w:tcPr>
            <w:tcW w:w="3553" w:type="pct"/>
            <w:shd w:val="clear" w:color="auto" w:fill="auto"/>
            <w:vAlign w:val="center"/>
          </w:tcPr>
          <w:p w14:paraId="64A89E1D" w14:textId="77777777" w:rsidR="008D6614" w:rsidRDefault="008D6614">
            <w:pPr>
              <w:rPr>
                <w:rFonts w:ascii="宋体"/>
              </w:rPr>
            </w:pPr>
          </w:p>
        </w:tc>
        <w:tc>
          <w:tcPr>
            <w:tcW w:w="50" w:type="pct"/>
            <w:shd w:val="clear" w:color="auto" w:fill="auto"/>
            <w:vAlign w:val="center"/>
          </w:tcPr>
          <w:p w14:paraId="64A89E1E" w14:textId="77777777" w:rsidR="008D6614" w:rsidRDefault="008D6614">
            <w:pPr>
              <w:rPr>
                <w:rFonts w:ascii="宋体"/>
              </w:rPr>
            </w:pPr>
          </w:p>
        </w:tc>
        <w:tc>
          <w:tcPr>
            <w:tcW w:w="0" w:type="auto"/>
            <w:shd w:val="clear" w:color="auto" w:fill="auto"/>
            <w:vAlign w:val="center"/>
          </w:tcPr>
          <w:p w14:paraId="64A89E1F" w14:textId="77777777" w:rsidR="008D6614" w:rsidRDefault="008D6614">
            <w:pPr>
              <w:rPr>
                <w:rFonts w:ascii="宋体"/>
                <w:vanish/>
              </w:rPr>
            </w:pPr>
          </w:p>
        </w:tc>
        <w:tc>
          <w:tcPr>
            <w:tcW w:w="0" w:type="auto"/>
            <w:shd w:val="clear" w:color="auto" w:fill="auto"/>
            <w:vAlign w:val="center"/>
          </w:tcPr>
          <w:p w14:paraId="64A89E20" w14:textId="77777777" w:rsidR="008D6614" w:rsidRDefault="008D6614">
            <w:pPr>
              <w:rPr>
                <w:rFonts w:ascii="宋体"/>
                <w:vanish/>
              </w:rPr>
            </w:pPr>
          </w:p>
        </w:tc>
        <w:tc>
          <w:tcPr>
            <w:tcW w:w="0" w:type="auto"/>
            <w:shd w:val="clear" w:color="auto" w:fill="auto"/>
            <w:vAlign w:val="center"/>
          </w:tcPr>
          <w:p w14:paraId="64A89E21" w14:textId="77777777" w:rsidR="008D6614" w:rsidRDefault="008D6614">
            <w:pPr>
              <w:rPr>
                <w:rFonts w:ascii="宋体"/>
                <w:vanish/>
              </w:rPr>
            </w:pPr>
          </w:p>
        </w:tc>
        <w:tc>
          <w:tcPr>
            <w:tcW w:w="5" w:type="pct"/>
            <w:shd w:val="clear" w:color="auto" w:fill="auto"/>
            <w:vAlign w:val="center"/>
          </w:tcPr>
          <w:p w14:paraId="64A89E22" w14:textId="77777777" w:rsidR="008D6614" w:rsidRDefault="008D6614">
            <w:pPr>
              <w:rPr>
                <w:rFonts w:ascii="宋体"/>
              </w:rPr>
            </w:pPr>
          </w:p>
        </w:tc>
        <w:tc>
          <w:tcPr>
            <w:tcW w:w="26" w:type="pct"/>
            <w:shd w:val="clear" w:color="auto" w:fill="auto"/>
            <w:vAlign w:val="center"/>
          </w:tcPr>
          <w:p w14:paraId="64A89E23" w14:textId="77777777" w:rsidR="008D6614" w:rsidRDefault="008D6614">
            <w:pPr>
              <w:rPr>
                <w:rFonts w:ascii="宋体"/>
              </w:rPr>
            </w:pPr>
          </w:p>
        </w:tc>
        <w:tc>
          <w:tcPr>
            <w:tcW w:w="5" w:type="pct"/>
            <w:shd w:val="clear" w:color="auto" w:fill="auto"/>
            <w:vAlign w:val="center"/>
          </w:tcPr>
          <w:p w14:paraId="64A89E24" w14:textId="77777777" w:rsidR="008D6614" w:rsidRDefault="008D6614">
            <w:pPr>
              <w:rPr>
                <w:rFonts w:ascii="宋体"/>
              </w:rPr>
            </w:pPr>
          </w:p>
        </w:tc>
        <w:tc>
          <w:tcPr>
            <w:tcW w:w="50" w:type="pct"/>
            <w:shd w:val="clear" w:color="auto" w:fill="auto"/>
            <w:vAlign w:val="center"/>
          </w:tcPr>
          <w:p w14:paraId="64A89E25" w14:textId="77777777" w:rsidR="008D6614" w:rsidRDefault="008D6614">
            <w:pPr>
              <w:rPr>
                <w:rFonts w:ascii="宋体"/>
              </w:rPr>
            </w:pPr>
          </w:p>
        </w:tc>
        <w:tc>
          <w:tcPr>
            <w:tcW w:w="536" w:type="pct"/>
            <w:shd w:val="clear" w:color="auto" w:fill="auto"/>
            <w:vAlign w:val="center"/>
          </w:tcPr>
          <w:p w14:paraId="64A89E26" w14:textId="77777777" w:rsidR="008D6614" w:rsidRDefault="008D6614">
            <w:pPr>
              <w:rPr>
                <w:rFonts w:ascii="宋体"/>
              </w:rPr>
            </w:pPr>
          </w:p>
        </w:tc>
        <w:tc>
          <w:tcPr>
            <w:tcW w:w="50" w:type="pct"/>
            <w:shd w:val="clear" w:color="auto" w:fill="auto"/>
            <w:vAlign w:val="center"/>
          </w:tcPr>
          <w:p w14:paraId="64A89E27" w14:textId="77777777" w:rsidR="008D6614" w:rsidRDefault="008D6614">
            <w:pPr>
              <w:rPr>
                <w:rFonts w:ascii="宋体"/>
              </w:rPr>
            </w:pPr>
          </w:p>
        </w:tc>
        <w:tc>
          <w:tcPr>
            <w:tcW w:w="5" w:type="pct"/>
            <w:shd w:val="clear" w:color="auto" w:fill="auto"/>
            <w:vAlign w:val="center"/>
          </w:tcPr>
          <w:p w14:paraId="64A89E28" w14:textId="77777777" w:rsidR="008D6614" w:rsidRDefault="008D6614">
            <w:pPr>
              <w:rPr>
                <w:rFonts w:ascii="宋体"/>
              </w:rPr>
            </w:pPr>
          </w:p>
        </w:tc>
        <w:tc>
          <w:tcPr>
            <w:tcW w:w="26" w:type="pct"/>
            <w:shd w:val="clear" w:color="auto" w:fill="auto"/>
            <w:vAlign w:val="center"/>
          </w:tcPr>
          <w:p w14:paraId="64A89E29" w14:textId="77777777" w:rsidR="008D6614" w:rsidRDefault="008D6614">
            <w:pPr>
              <w:rPr>
                <w:rFonts w:ascii="宋体"/>
              </w:rPr>
            </w:pPr>
          </w:p>
        </w:tc>
        <w:tc>
          <w:tcPr>
            <w:tcW w:w="5" w:type="pct"/>
            <w:shd w:val="clear" w:color="auto" w:fill="auto"/>
            <w:vAlign w:val="center"/>
          </w:tcPr>
          <w:p w14:paraId="64A89E2A" w14:textId="77777777" w:rsidR="008D6614" w:rsidRDefault="008D6614">
            <w:pPr>
              <w:rPr>
                <w:rFonts w:ascii="宋体"/>
              </w:rPr>
            </w:pPr>
          </w:p>
        </w:tc>
        <w:tc>
          <w:tcPr>
            <w:tcW w:w="50" w:type="pct"/>
            <w:shd w:val="clear" w:color="auto" w:fill="auto"/>
            <w:vAlign w:val="center"/>
          </w:tcPr>
          <w:p w14:paraId="64A89E2B" w14:textId="77777777" w:rsidR="008D6614" w:rsidRDefault="008D6614">
            <w:pPr>
              <w:rPr>
                <w:rFonts w:ascii="宋体"/>
              </w:rPr>
            </w:pPr>
          </w:p>
        </w:tc>
        <w:tc>
          <w:tcPr>
            <w:tcW w:w="536" w:type="pct"/>
            <w:shd w:val="clear" w:color="auto" w:fill="auto"/>
            <w:vAlign w:val="center"/>
          </w:tcPr>
          <w:p w14:paraId="64A89E2C" w14:textId="77777777" w:rsidR="008D6614" w:rsidRDefault="008D6614">
            <w:pPr>
              <w:rPr>
                <w:rFonts w:ascii="宋体"/>
              </w:rPr>
            </w:pPr>
          </w:p>
        </w:tc>
        <w:tc>
          <w:tcPr>
            <w:tcW w:w="50" w:type="pct"/>
            <w:shd w:val="clear" w:color="auto" w:fill="auto"/>
            <w:vAlign w:val="center"/>
          </w:tcPr>
          <w:p w14:paraId="64A89E2D" w14:textId="77777777" w:rsidR="008D6614" w:rsidRDefault="008D6614">
            <w:pPr>
              <w:rPr>
                <w:rFonts w:ascii="宋体"/>
              </w:rPr>
            </w:pPr>
          </w:p>
        </w:tc>
      </w:tr>
      <w:tr w:rsidR="008D6614" w14:paraId="64A89E37" w14:textId="77777777">
        <w:trPr>
          <w:jc w:val="center"/>
        </w:trPr>
        <w:tc>
          <w:tcPr>
            <w:tcW w:w="0" w:type="auto"/>
            <w:gridSpan w:val="3"/>
            <w:shd w:val="clear" w:color="auto" w:fill="auto"/>
            <w:tcMar>
              <w:left w:w="20" w:type="dxa"/>
              <w:right w:w="20" w:type="dxa"/>
            </w:tcMar>
            <w:vAlign w:val="bottom"/>
          </w:tcPr>
          <w:p w14:paraId="64A89E2F" w14:textId="77777777" w:rsidR="008D6614" w:rsidRDefault="008D6614">
            <w:pPr>
              <w:rPr>
                <w:rFonts w:ascii="宋体"/>
              </w:rPr>
            </w:pPr>
          </w:p>
        </w:tc>
        <w:tc>
          <w:tcPr>
            <w:tcW w:w="0" w:type="auto"/>
            <w:shd w:val="clear" w:color="auto" w:fill="auto"/>
            <w:vAlign w:val="center"/>
          </w:tcPr>
          <w:p w14:paraId="64A89E30" w14:textId="77777777" w:rsidR="008D6614" w:rsidRDefault="008D6614">
            <w:pPr>
              <w:rPr>
                <w:rFonts w:ascii="宋体"/>
                <w:vanish/>
              </w:rPr>
            </w:pPr>
          </w:p>
        </w:tc>
        <w:tc>
          <w:tcPr>
            <w:tcW w:w="0" w:type="auto"/>
            <w:shd w:val="clear" w:color="auto" w:fill="auto"/>
            <w:vAlign w:val="center"/>
          </w:tcPr>
          <w:p w14:paraId="64A89E31" w14:textId="77777777" w:rsidR="008D6614" w:rsidRDefault="008D6614">
            <w:pPr>
              <w:rPr>
                <w:rFonts w:ascii="宋体"/>
                <w:vanish/>
              </w:rPr>
            </w:pPr>
          </w:p>
        </w:tc>
        <w:tc>
          <w:tcPr>
            <w:tcW w:w="0" w:type="auto"/>
            <w:shd w:val="clear" w:color="auto" w:fill="auto"/>
            <w:vAlign w:val="center"/>
          </w:tcPr>
          <w:p w14:paraId="64A89E32"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E33"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9E34"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r>
            <w:r>
              <w:rPr>
                <w:rFonts w:ascii="Arial" w:eastAsia="宋体" w:hAnsi="Arial" w:cs="Arial"/>
                <w:b/>
                <w:bCs/>
                <w:color w:val="000000"/>
                <w:sz w:val="16"/>
                <w:szCs w:val="16"/>
              </w:rPr>
              <w:t>March 31,</w:t>
            </w:r>
          </w:p>
        </w:tc>
        <w:tc>
          <w:tcPr>
            <w:tcW w:w="0" w:type="auto"/>
            <w:gridSpan w:val="3"/>
            <w:shd w:val="clear" w:color="auto" w:fill="auto"/>
            <w:vAlign w:val="center"/>
          </w:tcPr>
          <w:p w14:paraId="64A89E35" w14:textId="77777777" w:rsidR="008D6614" w:rsidRDefault="008D6614">
            <w:pPr>
              <w:rPr>
                <w:rFonts w:ascii="宋体"/>
                <w:vanish/>
              </w:rPr>
            </w:pPr>
          </w:p>
        </w:tc>
        <w:tc>
          <w:tcPr>
            <w:tcW w:w="0" w:type="auto"/>
            <w:gridSpan w:val="3"/>
            <w:shd w:val="clear" w:color="auto" w:fill="auto"/>
            <w:vAlign w:val="center"/>
          </w:tcPr>
          <w:p w14:paraId="64A89E36" w14:textId="77777777" w:rsidR="008D6614" w:rsidRDefault="008D6614">
            <w:pPr>
              <w:rPr>
                <w:rFonts w:ascii="宋体"/>
                <w:vanish/>
              </w:rPr>
            </w:pPr>
          </w:p>
        </w:tc>
      </w:tr>
      <w:tr w:rsidR="008D6614" w14:paraId="64A89E46" w14:textId="77777777">
        <w:trPr>
          <w:jc w:val="center"/>
        </w:trPr>
        <w:tc>
          <w:tcPr>
            <w:tcW w:w="0" w:type="auto"/>
            <w:gridSpan w:val="3"/>
            <w:shd w:val="clear" w:color="auto" w:fill="auto"/>
            <w:tcMar>
              <w:top w:w="40" w:type="dxa"/>
              <w:left w:w="20" w:type="dxa"/>
              <w:bottom w:w="40" w:type="dxa"/>
              <w:right w:w="20" w:type="dxa"/>
            </w:tcMar>
            <w:vAlign w:val="bottom"/>
          </w:tcPr>
          <w:p w14:paraId="64A89E38"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9E39" w14:textId="77777777" w:rsidR="008D6614" w:rsidRDefault="008D6614">
            <w:pPr>
              <w:rPr>
                <w:rFonts w:ascii="宋体"/>
                <w:vanish/>
              </w:rPr>
            </w:pPr>
          </w:p>
        </w:tc>
        <w:tc>
          <w:tcPr>
            <w:tcW w:w="0" w:type="auto"/>
            <w:shd w:val="clear" w:color="auto" w:fill="auto"/>
            <w:vAlign w:val="center"/>
          </w:tcPr>
          <w:p w14:paraId="64A89E3A" w14:textId="77777777" w:rsidR="008D6614" w:rsidRDefault="008D6614">
            <w:pPr>
              <w:rPr>
                <w:rFonts w:ascii="宋体"/>
                <w:vanish/>
              </w:rPr>
            </w:pPr>
          </w:p>
        </w:tc>
        <w:tc>
          <w:tcPr>
            <w:tcW w:w="0" w:type="auto"/>
            <w:shd w:val="clear" w:color="auto" w:fill="auto"/>
            <w:vAlign w:val="center"/>
          </w:tcPr>
          <w:p w14:paraId="64A89E3B"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E3C"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E3D"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64A89E3E" w14:textId="77777777" w:rsidR="008D6614" w:rsidRDefault="008D661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4A89E3F"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9E40" w14:textId="77777777" w:rsidR="008D6614" w:rsidRDefault="008D6614">
            <w:pPr>
              <w:rPr>
                <w:rFonts w:ascii="宋体"/>
              </w:rPr>
            </w:pPr>
          </w:p>
        </w:tc>
        <w:tc>
          <w:tcPr>
            <w:tcW w:w="0" w:type="auto"/>
            <w:shd w:val="clear" w:color="auto" w:fill="auto"/>
            <w:vAlign w:val="center"/>
          </w:tcPr>
          <w:p w14:paraId="64A89E41" w14:textId="77777777" w:rsidR="008D6614" w:rsidRDefault="008D6614">
            <w:pPr>
              <w:rPr>
                <w:rFonts w:ascii="宋体"/>
              </w:rPr>
            </w:pPr>
          </w:p>
        </w:tc>
        <w:tc>
          <w:tcPr>
            <w:tcW w:w="0" w:type="auto"/>
            <w:shd w:val="clear" w:color="auto" w:fill="auto"/>
            <w:vAlign w:val="center"/>
          </w:tcPr>
          <w:p w14:paraId="64A89E42" w14:textId="77777777" w:rsidR="008D6614" w:rsidRDefault="008D6614">
            <w:pPr>
              <w:rPr>
                <w:rFonts w:ascii="宋体"/>
              </w:rPr>
            </w:pPr>
          </w:p>
        </w:tc>
        <w:tc>
          <w:tcPr>
            <w:tcW w:w="0" w:type="auto"/>
            <w:shd w:val="clear" w:color="auto" w:fill="auto"/>
            <w:vAlign w:val="center"/>
          </w:tcPr>
          <w:p w14:paraId="64A89E43" w14:textId="77777777" w:rsidR="008D6614" w:rsidRDefault="008D6614">
            <w:pPr>
              <w:rPr>
                <w:rFonts w:ascii="宋体"/>
              </w:rPr>
            </w:pPr>
          </w:p>
        </w:tc>
        <w:tc>
          <w:tcPr>
            <w:tcW w:w="0" w:type="auto"/>
            <w:shd w:val="clear" w:color="auto" w:fill="auto"/>
            <w:vAlign w:val="center"/>
          </w:tcPr>
          <w:p w14:paraId="64A89E44" w14:textId="77777777" w:rsidR="008D6614" w:rsidRDefault="008D6614">
            <w:pPr>
              <w:rPr>
                <w:rFonts w:ascii="宋体"/>
              </w:rPr>
            </w:pPr>
          </w:p>
        </w:tc>
        <w:tc>
          <w:tcPr>
            <w:tcW w:w="0" w:type="auto"/>
            <w:shd w:val="clear" w:color="auto" w:fill="auto"/>
            <w:vAlign w:val="center"/>
          </w:tcPr>
          <w:p w14:paraId="64A89E45" w14:textId="77777777" w:rsidR="008D6614" w:rsidRDefault="008D6614">
            <w:pPr>
              <w:rPr>
                <w:rFonts w:ascii="宋体"/>
              </w:rPr>
            </w:pPr>
          </w:p>
        </w:tc>
      </w:tr>
      <w:tr w:rsidR="008D6614" w14:paraId="64A89E59" w14:textId="77777777">
        <w:trPr>
          <w:jc w:val="center"/>
        </w:trPr>
        <w:tc>
          <w:tcPr>
            <w:tcW w:w="0" w:type="auto"/>
            <w:gridSpan w:val="3"/>
            <w:shd w:val="clear" w:color="auto" w:fill="E2E2E2"/>
            <w:tcMar>
              <w:top w:w="40" w:type="dxa"/>
              <w:left w:w="20" w:type="dxa"/>
              <w:bottom w:w="40" w:type="dxa"/>
              <w:right w:w="20" w:type="dxa"/>
            </w:tcMar>
            <w:vAlign w:val="bottom"/>
          </w:tcPr>
          <w:p w14:paraId="64A89E47" w14:textId="77777777" w:rsidR="008D6614" w:rsidRDefault="00866AF2">
            <w:pPr>
              <w:textAlignment w:val="bottom"/>
            </w:pPr>
            <w:r>
              <w:rPr>
                <w:rFonts w:ascii="Arial" w:eastAsia="宋体" w:hAnsi="Arial" w:cs="Arial"/>
                <w:color w:val="000000"/>
                <w:sz w:val="18"/>
                <w:szCs w:val="18"/>
              </w:rPr>
              <w:t>Foreign exchange contracts designated as cash flow hedges recognized in net revenues</w:t>
            </w:r>
          </w:p>
        </w:tc>
        <w:tc>
          <w:tcPr>
            <w:tcW w:w="0" w:type="auto"/>
            <w:shd w:val="clear" w:color="auto" w:fill="auto"/>
            <w:vAlign w:val="center"/>
          </w:tcPr>
          <w:p w14:paraId="64A89E48" w14:textId="77777777" w:rsidR="008D6614" w:rsidRDefault="008D6614">
            <w:pPr>
              <w:rPr>
                <w:rFonts w:ascii="宋体"/>
                <w:vanish/>
              </w:rPr>
            </w:pPr>
          </w:p>
        </w:tc>
        <w:tc>
          <w:tcPr>
            <w:tcW w:w="0" w:type="auto"/>
            <w:shd w:val="clear" w:color="auto" w:fill="auto"/>
            <w:vAlign w:val="center"/>
          </w:tcPr>
          <w:p w14:paraId="64A89E49" w14:textId="77777777" w:rsidR="008D6614" w:rsidRDefault="008D6614">
            <w:pPr>
              <w:rPr>
                <w:rFonts w:ascii="宋体"/>
                <w:vanish/>
              </w:rPr>
            </w:pPr>
          </w:p>
        </w:tc>
        <w:tc>
          <w:tcPr>
            <w:tcW w:w="0" w:type="auto"/>
            <w:shd w:val="clear" w:color="auto" w:fill="auto"/>
            <w:vAlign w:val="center"/>
          </w:tcPr>
          <w:p w14:paraId="64A89E4A"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E4B"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E4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E4D" w14:textId="77777777" w:rsidR="008D6614" w:rsidRDefault="00866AF2">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bottom w:w="40" w:type="dxa"/>
              <w:right w:w="20" w:type="dxa"/>
            </w:tcMar>
            <w:vAlign w:val="bottom"/>
          </w:tcPr>
          <w:p w14:paraId="64A89E4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E4F"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E50"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E51" w14:textId="77777777" w:rsidR="008D6614" w:rsidRDefault="00866AF2">
            <w:pPr>
              <w:jc w:val="right"/>
              <w:textAlignment w:val="bottom"/>
            </w:pPr>
            <w:r>
              <w:rPr>
                <w:rFonts w:ascii="Arial" w:eastAsia="宋体" w:hAnsi="Arial" w:cs="Arial"/>
                <w:color w:val="000000"/>
                <w:sz w:val="18"/>
                <w:szCs w:val="18"/>
              </w:rPr>
              <w:t>20 </w:t>
            </w:r>
          </w:p>
        </w:tc>
        <w:tc>
          <w:tcPr>
            <w:tcW w:w="0" w:type="auto"/>
            <w:tcBorders>
              <w:top w:val="single" w:sz="8" w:space="0" w:color="000000"/>
            </w:tcBorders>
            <w:shd w:val="clear" w:color="auto" w:fill="E2E2E2"/>
            <w:tcMar>
              <w:top w:w="40" w:type="dxa"/>
              <w:bottom w:w="40" w:type="dxa"/>
              <w:right w:w="20" w:type="dxa"/>
            </w:tcMar>
            <w:vAlign w:val="bottom"/>
          </w:tcPr>
          <w:p w14:paraId="64A89E5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E53" w14:textId="77777777" w:rsidR="008D6614" w:rsidRDefault="008D6614">
            <w:pPr>
              <w:rPr>
                <w:rFonts w:ascii="宋体"/>
              </w:rPr>
            </w:pPr>
          </w:p>
        </w:tc>
        <w:tc>
          <w:tcPr>
            <w:tcW w:w="0" w:type="auto"/>
            <w:shd w:val="clear" w:color="auto" w:fill="auto"/>
            <w:vAlign w:val="center"/>
          </w:tcPr>
          <w:p w14:paraId="64A89E54" w14:textId="77777777" w:rsidR="008D6614" w:rsidRDefault="008D6614">
            <w:pPr>
              <w:rPr>
                <w:rFonts w:ascii="宋体"/>
              </w:rPr>
            </w:pPr>
          </w:p>
        </w:tc>
        <w:tc>
          <w:tcPr>
            <w:tcW w:w="0" w:type="auto"/>
            <w:shd w:val="clear" w:color="auto" w:fill="auto"/>
            <w:vAlign w:val="center"/>
          </w:tcPr>
          <w:p w14:paraId="64A89E55" w14:textId="77777777" w:rsidR="008D6614" w:rsidRDefault="008D6614">
            <w:pPr>
              <w:rPr>
                <w:rFonts w:ascii="宋体"/>
              </w:rPr>
            </w:pPr>
          </w:p>
        </w:tc>
        <w:tc>
          <w:tcPr>
            <w:tcW w:w="0" w:type="auto"/>
            <w:shd w:val="clear" w:color="auto" w:fill="auto"/>
            <w:vAlign w:val="center"/>
          </w:tcPr>
          <w:p w14:paraId="64A89E56" w14:textId="77777777" w:rsidR="008D6614" w:rsidRDefault="008D6614">
            <w:pPr>
              <w:rPr>
                <w:rFonts w:ascii="宋体"/>
              </w:rPr>
            </w:pPr>
          </w:p>
        </w:tc>
        <w:tc>
          <w:tcPr>
            <w:tcW w:w="0" w:type="auto"/>
            <w:shd w:val="clear" w:color="auto" w:fill="auto"/>
            <w:vAlign w:val="center"/>
          </w:tcPr>
          <w:p w14:paraId="64A89E57" w14:textId="77777777" w:rsidR="008D6614" w:rsidRDefault="008D6614">
            <w:pPr>
              <w:rPr>
                <w:rFonts w:ascii="宋体"/>
              </w:rPr>
            </w:pPr>
          </w:p>
        </w:tc>
        <w:tc>
          <w:tcPr>
            <w:tcW w:w="0" w:type="auto"/>
            <w:shd w:val="clear" w:color="auto" w:fill="auto"/>
            <w:vAlign w:val="center"/>
          </w:tcPr>
          <w:p w14:paraId="64A89E58" w14:textId="77777777" w:rsidR="008D6614" w:rsidRDefault="008D6614">
            <w:pPr>
              <w:rPr>
                <w:rFonts w:ascii="宋体"/>
              </w:rPr>
            </w:pPr>
          </w:p>
        </w:tc>
      </w:tr>
      <w:tr w:rsidR="008D6614" w14:paraId="64A89E68" w14:textId="77777777">
        <w:trPr>
          <w:jc w:val="center"/>
          <w:hidden/>
        </w:trPr>
        <w:tc>
          <w:tcPr>
            <w:tcW w:w="0" w:type="auto"/>
            <w:gridSpan w:val="3"/>
            <w:shd w:val="clear" w:color="auto" w:fill="auto"/>
            <w:vAlign w:val="center"/>
          </w:tcPr>
          <w:p w14:paraId="64A89E5A" w14:textId="77777777" w:rsidR="008D6614" w:rsidRDefault="008D6614">
            <w:pPr>
              <w:rPr>
                <w:rFonts w:ascii="宋体"/>
                <w:vanish/>
              </w:rPr>
            </w:pPr>
          </w:p>
        </w:tc>
        <w:tc>
          <w:tcPr>
            <w:tcW w:w="0" w:type="auto"/>
            <w:shd w:val="clear" w:color="auto" w:fill="auto"/>
            <w:vAlign w:val="center"/>
          </w:tcPr>
          <w:p w14:paraId="64A89E5B" w14:textId="77777777" w:rsidR="008D6614" w:rsidRDefault="008D6614">
            <w:pPr>
              <w:rPr>
                <w:rFonts w:ascii="宋体"/>
                <w:vanish/>
              </w:rPr>
            </w:pPr>
          </w:p>
        </w:tc>
        <w:tc>
          <w:tcPr>
            <w:tcW w:w="0" w:type="auto"/>
            <w:shd w:val="clear" w:color="auto" w:fill="auto"/>
            <w:vAlign w:val="center"/>
          </w:tcPr>
          <w:p w14:paraId="64A89E5C" w14:textId="77777777" w:rsidR="008D6614" w:rsidRDefault="008D6614">
            <w:pPr>
              <w:rPr>
                <w:rFonts w:ascii="宋体"/>
                <w:vanish/>
              </w:rPr>
            </w:pPr>
          </w:p>
        </w:tc>
        <w:tc>
          <w:tcPr>
            <w:tcW w:w="0" w:type="auto"/>
            <w:shd w:val="clear" w:color="auto" w:fill="auto"/>
            <w:vAlign w:val="center"/>
          </w:tcPr>
          <w:p w14:paraId="64A89E5D" w14:textId="77777777" w:rsidR="008D6614" w:rsidRDefault="008D6614">
            <w:pPr>
              <w:rPr>
                <w:rFonts w:ascii="宋体"/>
                <w:vanish/>
              </w:rPr>
            </w:pPr>
          </w:p>
        </w:tc>
        <w:tc>
          <w:tcPr>
            <w:tcW w:w="0" w:type="auto"/>
            <w:gridSpan w:val="3"/>
            <w:shd w:val="clear" w:color="auto" w:fill="auto"/>
            <w:vAlign w:val="center"/>
          </w:tcPr>
          <w:p w14:paraId="64A89E5E" w14:textId="77777777" w:rsidR="008D6614" w:rsidRDefault="008D6614">
            <w:pPr>
              <w:rPr>
                <w:rFonts w:ascii="宋体"/>
                <w:vanish/>
              </w:rPr>
            </w:pPr>
          </w:p>
        </w:tc>
        <w:tc>
          <w:tcPr>
            <w:tcW w:w="0" w:type="auto"/>
            <w:gridSpan w:val="3"/>
            <w:shd w:val="clear" w:color="auto" w:fill="auto"/>
            <w:vAlign w:val="center"/>
          </w:tcPr>
          <w:p w14:paraId="64A89E5F" w14:textId="77777777" w:rsidR="008D6614" w:rsidRDefault="008D6614">
            <w:pPr>
              <w:rPr>
                <w:rFonts w:ascii="宋体"/>
                <w:vanish/>
              </w:rPr>
            </w:pPr>
          </w:p>
        </w:tc>
        <w:tc>
          <w:tcPr>
            <w:tcW w:w="0" w:type="auto"/>
            <w:gridSpan w:val="3"/>
            <w:shd w:val="clear" w:color="auto" w:fill="auto"/>
            <w:vAlign w:val="center"/>
          </w:tcPr>
          <w:p w14:paraId="64A89E60" w14:textId="77777777" w:rsidR="008D6614" w:rsidRDefault="008D6614">
            <w:pPr>
              <w:rPr>
                <w:rFonts w:ascii="宋体"/>
                <w:vanish/>
              </w:rPr>
            </w:pPr>
          </w:p>
        </w:tc>
        <w:tc>
          <w:tcPr>
            <w:tcW w:w="0" w:type="auto"/>
            <w:gridSpan w:val="3"/>
            <w:shd w:val="clear" w:color="auto" w:fill="auto"/>
            <w:vAlign w:val="center"/>
          </w:tcPr>
          <w:p w14:paraId="64A89E61" w14:textId="77777777" w:rsidR="008D6614" w:rsidRDefault="008D6614">
            <w:pPr>
              <w:rPr>
                <w:rFonts w:ascii="宋体"/>
                <w:vanish/>
              </w:rPr>
            </w:pPr>
          </w:p>
        </w:tc>
        <w:tc>
          <w:tcPr>
            <w:tcW w:w="0" w:type="auto"/>
            <w:shd w:val="clear" w:color="auto" w:fill="auto"/>
            <w:vAlign w:val="center"/>
          </w:tcPr>
          <w:p w14:paraId="64A89E62" w14:textId="77777777" w:rsidR="008D6614" w:rsidRDefault="008D6614">
            <w:pPr>
              <w:rPr>
                <w:rFonts w:ascii="宋体"/>
              </w:rPr>
            </w:pPr>
          </w:p>
        </w:tc>
        <w:tc>
          <w:tcPr>
            <w:tcW w:w="0" w:type="auto"/>
            <w:shd w:val="clear" w:color="auto" w:fill="auto"/>
            <w:vAlign w:val="center"/>
          </w:tcPr>
          <w:p w14:paraId="64A89E63" w14:textId="77777777" w:rsidR="008D6614" w:rsidRDefault="008D6614">
            <w:pPr>
              <w:rPr>
                <w:rFonts w:ascii="宋体"/>
              </w:rPr>
            </w:pPr>
          </w:p>
        </w:tc>
        <w:tc>
          <w:tcPr>
            <w:tcW w:w="0" w:type="auto"/>
            <w:shd w:val="clear" w:color="auto" w:fill="auto"/>
            <w:vAlign w:val="center"/>
          </w:tcPr>
          <w:p w14:paraId="64A89E64" w14:textId="77777777" w:rsidR="008D6614" w:rsidRDefault="008D6614">
            <w:pPr>
              <w:rPr>
                <w:rFonts w:ascii="宋体"/>
              </w:rPr>
            </w:pPr>
          </w:p>
        </w:tc>
        <w:tc>
          <w:tcPr>
            <w:tcW w:w="0" w:type="auto"/>
            <w:shd w:val="clear" w:color="auto" w:fill="auto"/>
            <w:vAlign w:val="center"/>
          </w:tcPr>
          <w:p w14:paraId="64A89E65" w14:textId="77777777" w:rsidR="008D6614" w:rsidRDefault="008D6614">
            <w:pPr>
              <w:rPr>
                <w:rFonts w:ascii="宋体"/>
              </w:rPr>
            </w:pPr>
          </w:p>
        </w:tc>
        <w:tc>
          <w:tcPr>
            <w:tcW w:w="0" w:type="auto"/>
            <w:shd w:val="clear" w:color="auto" w:fill="auto"/>
            <w:vAlign w:val="center"/>
          </w:tcPr>
          <w:p w14:paraId="64A89E66" w14:textId="77777777" w:rsidR="008D6614" w:rsidRDefault="008D6614">
            <w:pPr>
              <w:rPr>
                <w:rFonts w:ascii="宋体"/>
              </w:rPr>
            </w:pPr>
          </w:p>
        </w:tc>
        <w:tc>
          <w:tcPr>
            <w:tcW w:w="0" w:type="auto"/>
            <w:shd w:val="clear" w:color="auto" w:fill="auto"/>
            <w:vAlign w:val="center"/>
          </w:tcPr>
          <w:p w14:paraId="64A89E67" w14:textId="77777777" w:rsidR="008D6614" w:rsidRDefault="008D6614">
            <w:pPr>
              <w:rPr>
                <w:rFonts w:ascii="宋体"/>
              </w:rPr>
            </w:pPr>
          </w:p>
        </w:tc>
      </w:tr>
      <w:tr w:rsidR="008D6614" w14:paraId="64A89E77" w14:textId="77777777">
        <w:trPr>
          <w:jc w:val="center"/>
          <w:hidden/>
        </w:trPr>
        <w:tc>
          <w:tcPr>
            <w:tcW w:w="0" w:type="auto"/>
            <w:gridSpan w:val="3"/>
            <w:shd w:val="clear" w:color="auto" w:fill="auto"/>
            <w:vAlign w:val="center"/>
          </w:tcPr>
          <w:p w14:paraId="64A89E69" w14:textId="77777777" w:rsidR="008D6614" w:rsidRDefault="008D6614">
            <w:pPr>
              <w:rPr>
                <w:rFonts w:ascii="宋体"/>
                <w:vanish/>
              </w:rPr>
            </w:pPr>
          </w:p>
        </w:tc>
        <w:tc>
          <w:tcPr>
            <w:tcW w:w="0" w:type="auto"/>
            <w:shd w:val="clear" w:color="auto" w:fill="auto"/>
            <w:vAlign w:val="center"/>
          </w:tcPr>
          <w:p w14:paraId="64A89E6A" w14:textId="77777777" w:rsidR="008D6614" w:rsidRDefault="008D6614">
            <w:pPr>
              <w:rPr>
                <w:rFonts w:ascii="宋体"/>
                <w:vanish/>
              </w:rPr>
            </w:pPr>
          </w:p>
        </w:tc>
        <w:tc>
          <w:tcPr>
            <w:tcW w:w="0" w:type="auto"/>
            <w:shd w:val="clear" w:color="auto" w:fill="auto"/>
            <w:vAlign w:val="center"/>
          </w:tcPr>
          <w:p w14:paraId="64A89E6B" w14:textId="77777777" w:rsidR="008D6614" w:rsidRDefault="008D6614">
            <w:pPr>
              <w:rPr>
                <w:rFonts w:ascii="宋体"/>
                <w:vanish/>
              </w:rPr>
            </w:pPr>
          </w:p>
        </w:tc>
        <w:tc>
          <w:tcPr>
            <w:tcW w:w="0" w:type="auto"/>
            <w:shd w:val="clear" w:color="auto" w:fill="auto"/>
            <w:vAlign w:val="center"/>
          </w:tcPr>
          <w:p w14:paraId="64A89E6C" w14:textId="77777777" w:rsidR="008D6614" w:rsidRDefault="008D6614">
            <w:pPr>
              <w:rPr>
                <w:rFonts w:ascii="宋体"/>
                <w:vanish/>
              </w:rPr>
            </w:pPr>
          </w:p>
        </w:tc>
        <w:tc>
          <w:tcPr>
            <w:tcW w:w="0" w:type="auto"/>
            <w:gridSpan w:val="3"/>
            <w:shd w:val="clear" w:color="auto" w:fill="auto"/>
            <w:vAlign w:val="center"/>
          </w:tcPr>
          <w:p w14:paraId="64A89E6D" w14:textId="77777777" w:rsidR="008D6614" w:rsidRDefault="008D6614">
            <w:pPr>
              <w:rPr>
                <w:rFonts w:ascii="宋体"/>
                <w:vanish/>
              </w:rPr>
            </w:pPr>
          </w:p>
        </w:tc>
        <w:tc>
          <w:tcPr>
            <w:tcW w:w="0" w:type="auto"/>
            <w:gridSpan w:val="3"/>
            <w:shd w:val="clear" w:color="auto" w:fill="auto"/>
            <w:vAlign w:val="center"/>
          </w:tcPr>
          <w:p w14:paraId="64A89E6E" w14:textId="77777777" w:rsidR="008D6614" w:rsidRDefault="008D6614">
            <w:pPr>
              <w:rPr>
                <w:rFonts w:ascii="宋体"/>
                <w:vanish/>
              </w:rPr>
            </w:pPr>
          </w:p>
        </w:tc>
        <w:tc>
          <w:tcPr>
            <w:tcW w:w="0" w:type="auto"/>
            <w:gridSpan w:val="3"/>
            <w:shd w:val="clear" w:color="auto" w:fill="auto"/>
            <w:vAlign w:val="center"/>
          </w:tcPr>
          <w:p w14:paraId="64A89E6F" w14:textId="77777777" w:rsidR="008D6614" w:rsidRDefault="008D6614">
            <w:pPr>
              <w:rPr>
                <w:rFonts w:ascii="宋体"/>
                <w:vanish/>
              </w:rPr>
            </w:pPr>
          </w:p>
        </w:tc>
        <w:tc>
          <w:tcPr>
            <w:tcW w:w="0" w:type="auto"/>
            <w:gridSpan w:val="3"/>
            <w:shd w:val="clear" w:color="auto" w:fill="auto"/>
            <w:vAlign w:val="center"/>
          </w:tcPr>
          <w:p w14:paraId="64A89E70" w14:textId="77777777" w:rsidR="008D6614" w:rsidRDefault="008D6614">
            <w:pPr>
              <w:rPr>
                <w:rFonts w:ascii="宋体"/>
                <w:vanish/>
              </w:rPr>
            </w:pPr>
          </w:p>
        </w:tc>
        <w:tc>
          <w:tcPr>
            <w:tcW w:w="0" w:type="auto"/>
            <w:shd w:val="clear" w:color="auto" w:fill="auto"/>
            <w:vAlign w:val="center"/>
          </w:tcPr>
          <w:p w14:paraId="64A89E71" w14:textId="77777777" w:rsidR="008D6614" w:rsidRDefault="008D6614">
            <w:pPr>
              <w:rPr>
                <w:rFonts w:ascii="宋体"/>
              </w:rPr>
            </w:pPr>
          </w:p>
        </w:tc>
        <w:tc>
          <w:tcPr>
            <w:tcW w:w="0" w:type="auto"/>
            <w:shd w:val="clear" w:color="auto" w:fill="auto"/>
            <w:vAlign w:val="center"/>
          </w:tcPr>
          <w:p w14:paraId="64A89E72" w14:textId="77777777" w:rsidR="008D6614" w:rsidRDefault="008D6614">
            <w:pPr>
              <w:rPr>
                <w:rFonts w:ascii="宋体"/>
              </w:rPr>
            </w:pPr>
          </w:p>
        </w:tc>
        <w:tc>
          <w:tcPr>
            <w:tcW w:w="0" w:type="auto"/>
            <w:shd w:val="clear" w:color="auto" w:fill="auto"/>
            <w:vAlign w:val="center"/>
          </w:tcPr>
          <w:p w14:paraId="64A89E73" w14:textId="77777777" w:rsidR="008D6614" w:rsidRDefault="008D6614">
            <w:pPr>
              <w:rPr>
                <w:rFonts w:ascii="宋体"/>
              </w:rPr>
            </w:pPr>
          </w:p>
        </w:tc>
        <w:tc>
          <w:tcPr>
            <w:tcW w:w="0" w:type="auto"/>
            <w:shd w:val="clear" w:color="auto" w:fill="auto"/>
            <w:vAlign w:val="center"/>
          </w:tcPr>
          <w:p w14:paraId="64A89E74" w14:textId="77777777" w:rsidR="008D6614" w:rsidRDefault="008D6614">
            <w:pPr>
              <w:rPr>
                <w:rFonts w:ascii="宋体"/>
              </w:rPr>
            </w:pPr>
          </w:p>
        </w:tc>
        <w:tc>
          <w:tcPr>
            <w:tcW w:w="0" w:type="auto"/>
            <w:shd w:val="clear" w:color="auto" w:fill="auto"/>
            <w:vAlign w:val="center"/>
          </w:tcPr>
          <w:p w14:paraId="64A89E75" w14:textId="77777777" w:rsidR="008D6614" w:rsidRDefault="008D6614">
            <w:pPr>
              <w:rPr>
                <w:rFonts w:ascii="宋体"/>
              </w:rPr>
            </w:pPr>
          </w:p>
        </w:tc>
        <w:tc>
          <w:tcPr>
            <w:tcW w:w="0" w:type="auto"/>
            <w:shd w:val="clear" w:color="auto" w:fill="auto"/>
            <w:vAlign w:val="center"/>
          </w:tcPr>
          <w:p w14:paraId="64A89E76" w14:textId="77777777" w:rsidR="008D6614" w:rsidRDefault="008D6614">
            <w:pPr>
              <w:rPr>
                <w:rFonts w:ascii="宋体"/>
              </w:rPr>
            </w:pPr>
          </w:p>
        </w:tc>
      </w:tr>
      <w:tr w:rsidR="008D6614" w14:paraId="64A89E88" w14:textId="77777777">
        <w:trPr>
          <w:jc w:val="center"/>
        </w:trPr>
        <w:tc>
          <w:tcPr>
            <w:tcW w:w="0" w:type="auto"/>
            <w:gridSpan w:val="3"/>
            <w:shd w:val="clear" w:color="auto" w:fill="FFFFFF"/>
            <w:tcMar>
              <w:top w:w="40" w:type="dxa"/>
              <w:left w:w="20" w:type="dxa"/>
              <w:bottom w:w="40" w:type="dxa"/>
              <w:right w:w="20" w:type="dxa"/>
            </w:tcMar>
            <w:vAlign w:val="bottom"/>
          </w:tcPr>
          <w:p w14:paraId="64A89E78" w14:textId="77777777" w:rsidR="008D6614" w:rsidRDefault="00866AF2">
            <w:pPr>
              <w:textAlignment w:val="bottom"/>
            </w:pPr>
            <w:r>
              <w:rPr>
                <w:rFonts w:ascii="Arial" w:eastAsia="宋体" w:hAnsi="Arial" w:cs="Arial"/>
                <w:color w:val="000000"/>
                <w:sz w:val="18"/>
                <w:szCs w:val="18"/>
              </w:rPr>
              <w:t>Foreign exchange contracts not designated as hedging instruments recognized in interest and other, net</w:t>
            </w:r>
          </w:p>
        </w:tc>
        <w:tc>
          <w:tcPr>
            <w:tcW w:w="0" w:type="auto"/>
            <w:shd w:val="clear" w:color="auto" w:fill="auto"/>
            <w:vAlign w:val="center"/>
          </w:tcPr>
          <w:p w14:paraId="64A89E79" w14:textId="77777777" w:rsidR="008D6614" w:rsidRDefault="008D6614">
            <w:pPr>
              <w:rPr>
                <w:rFonts w:ascii="宋体"/>
                <w:vanish/>
              </w:rPr>
            </w:pPr>
          </w:p>
        </w:tc>
        <w:tc>
          <w:tcPr>
            <w:tcW w:w="0" w:type="auto"/>
            <w:shd w:val="clear" w:color="auto" w:fill="auto"/>
            <w:vAlign w:val="center"/>
          </w:tcPr>
          <w:p w14:paraId="64A89E7A" w14:textId="77777777" w:rsidR="008D6614" w:rsidRDefault="008D6614">
            <w:pPr>
              <w:rPr>
                <w:rFonts w:ascii="宋体"/>
                <w:vanish/>
              </w:rPr>
            </w:pPr>
          </w:p>
        </w:tc>
        <w:tc>
          <w:tcPr>
            <w:tcW w:w="0" w:type="auto"/>
            <w:shd w:val="clear" w:color="auto" w:fill="auto"/>
            <w:vAlign w:val="center"/>
          </w:tcPr>
          <w:p w14:paraId="64A89E7B"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E7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E7D" w14:textId="77777777" w:rsidR="008D6614" w:rsidRDefault="00866AF2">
            <w:pPr>
              <w:jc w:val="right"/>
              <w:textAlignment w:val="bottom"/>
            </w:pPr>
            <w:r>
              <w:rPr>
                <w:rFonts w:ascii="Arial" w:eastAsia="宋体" w:hAnsi="Arial" w:cs="Arial"/>
                <w:color w:val="000000"/>
                <w:sz w:val="18"/>
                <w:szCs w:val="18"/>
              </w:rPr>
              <w:t>9 </w:t>
            </w:r>
          </w:p>
        </w:tc>
        <w:tc>
          <w:tcPr>
            <w:tcW w:w="0" w:type="auto"/>
            <w:shd w:val="clear" w:color="auto" w:fill="FFFFFF"/>
            <w:tcMar>
              <w:top w:w="40" w:type="dxa"/>
              <w:bottom w:w="40" w:type="dxa"/>
              <w:right w:w="20" w:type="dxa"/>
            </w:tcMar>
            <w:vAlign w:val="bottom"/>
          </w:tcPr>
          <w:p w14:paraId="64A89E7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E7F"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E80" w14:textId="77777777" w:rsidR="008D6614" w:rsidRDefault="00866AF2">
            <w:pPr>
              <w:jc w:val="right"/>
              <w:textAlignment w:val="bottom"/>
            </w:pPr>
            <w:r>
              <w:rPr>
                <w:rFonts w:ascii="Arial" w:eastAsia="宋体" w:hAnsi="Arial" w:cs="Arial"/>
                <w:color w:val="000000"/>
                <w:sz w:val="18"/>
                <w:szCs w:val="18"/>
              </w:rPr>
              <w:t>(5)</w:t>
            </w:r>
          </w:p>
        </w:tc>
        <w:tc>
          <w:tcPr>
            <w:tcW w:w="0" w:type="auto"/>
            <w:shd w:val="clear" w:color="auto" w:fill="FFFFFF"/>
            <w:tcMar>
              <w:top w:w="40" w:type="dxa"/>
              <w:bottom w:w="40" w:type="dxa"/>
              <w:right w:w="20" w:type="dxa"/>
            </w:tcMar>
            <w:vAlign w:val="bottom"/>
          </w:tcPr>
          <w:p w14:paraId="64A89E8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E82" w14:textId="77777777" w:rsidR="008D6614" w:rsidRDefault="008D6614">
            <w:pPr>
              <w:rPr>
                <w:rFonts w:ascii="宋体"/>
              </w:rPr>
            </w:pPr>
          </w:p>
        </w:tc>
        <w:tc>
          <w:tcPr>
            <w:tcW w:w="0" w:type="auto"/>
            <w:shd w:val="clear" w:color="auto" w:fill="auto"/>
            <w:vAlign w:val="center"/>
          </w:tcPr>
          <w:p w14:paraId="64A89E83" w14:textId="77777777" w:rsidR="008D6614" w:rsidRDefault="008D6614">
            <w:pPr>
              <w:rPr>
                <w:rFonts w:ascii="宋体"/>
              </w:rPr>
            </w:pPr>
          </w:p>
        </w:tc>
        <w:tc>
          <w:tcPr>
            <w:tcW w:w="0" w:type="auto"/>
            <w:shd w:val="clear" w:color="auto" w:fill="auto"/>
            <w:vAlign w:val="center"/>
          </w:tcPr>
          <w:p w14:paraId="64A89E84" w14:textId="77777777" w:rsidR="008D6614" w:rsidRDefault="008D6614">
            <w:pPr>
              <w:rPr>
                <w:rFonts w:ascii="宋体"/>
              </w:rPr>
            </w:pPr>
          </w:p>
        </w:tc>
        <w:tc>
          <w:tcPr>
            <w:tcW w:w="0" w:type="auto"/>
            <w:shd w:val="clear" w:color="auto" w:fill="auto"/>
            <w:vAlign w:val="center"/>
          </w:tcPr>
          <w:p w14:paraId="64A89E85" w14:textId="77777777" w:rsidR="008D6614" w:rsidRDefault="008D6614">
            <w:pPr>
              <w:rPr>
                <w:rFonts w:ascii="宋体"/>
              </w:rPr>
            </w:pPr>
          </w:p>
        </w:tc>
        <w:tc>
          <w:tcPr>
            <w:tcW w:w="0" w:type="auto"/>
            <w:shd w:val="clear" w:color="auto" w:fill="auto"/>
            <w:vAlign w:val="center"/>
          </w:tcPr>
          <w:p w14:paraId="64A89E86" w14:textId="77777777" w:rsidR="008D6614" w:rsidRDefault="008D6614">
            <w:pPr>
              <w:rPr>
                <w:rFonts w:ascii="宋体"/>
              </w:rPr>
            </w:pPr>
          </w:p>
        </w:tc>
        <w:tc>
          <w:tcPr>
            <w:tcW w:w="0" w:type="auto"/>
            <w:shd w:val="clear" w:color="auto" w:fill="auto"/>
            <w:vAlign w:val="center"/>
          </w:tcPr>
          <w:p w14:paraId="64A89E87" w14:textId="77777777" w:rsidR="008D6614" w:rsidRDefault="008D6614">
            <w:pPr>
              <w:rPr>
                <w:rFonts w:ascii="宋体"/>
              </w:rPr>
            </w:pPr>
          </w:p>
        </w:tc>
      </w:tr>
      <w:tr w:rsidR="008D6614" w14:paraId="64A89E9B" w14:textId="77777777">
        <w:trPr>
          <w:jc w:val="center"/>
        </w:trPr>
        <w:tc>
          <w:tcPr>
            <w:tcW w:w="0" w:type="auto"/>
            <w:gridSpan w:val="3"/>
            <w:shd w:val="clear" w:color="auto" w:fill="E2E2E2"/>
            <w:tcMar>
              <w:top w:w="40" w:type="dxa"/>
              <w:left w:w="225" w:type="dxa"/>
              <w:bottom w:w="40" w:type="dxa"/>
              <w:right w:w="20" w:type="dxa"/>
            </w:tcMar>
            <w:vAlign w:val="bottom"/>
          </w:tcPr>
          <w:p w14:paraId="64A89E89" w14:textId="77777777" w:rsidR="008D6614" w:rsidRDefault="00866AF2">
            <w:pPr>
              <w:textAlignment w:val="bottom"/>
            </w:pPr>
            <w:r>
              <w:rPr>
                <w:rFonts w:ascii="Arial" w:eastAsia="宋体" w:hAnsi="Arial" w:cs="Arial"/>
                <w:color w:val="000000"/>
                <w:sz w:val="18"/>
                <w:szCs w:val="18"/>
              </w:rPr>
              <w:t xml:space="preserve">Total gain (loss) recognized from foreign exchange derivative contracts in the </w:t>
            </w:r>
            <w:r>
              <w:rPr>
                <w:rFonts w:ascii="Arial" w:eastAsia="宋体" w:hAnsi="Arial" w:cs="Arial"/>
                <w:color w:val="000000"/>
                <w:sz w:val="18"/>
                <w:szCs w:val="18"/>
              </w:rPr>
              <w:t>condensed consolidated statement of income</w:t>
            </w:r>
          </w:p>
        </w:tc>
        <w:tc>
          <w:tcPr>
            <w:tcW w:w="0" w:type="auto"/>
            <w:shd w:val="clear" w:color="auto" w:fill="auto"/>
            <w:vAlign w:val="center"/>
          </w:tcPr>
          <w:p w14:paraId="64A89E8A" w14:textId="77777777" w:rsidR="008D6614" w:rsidRDefault="008D6614">
            <w:pPr>
              <w:rPr>
                <w:rFonts w:ascii="宋体"/>
                <w:vanish/>
              </w:rPr>
            </w:pPr>
          </w:p>
        </w:tc>
        <w:tc>
          <w:tcPr>
            <w:tcW w:w="0" w:type="auto"/>
            <w:shd w:val="clear" w:color="auto" w:fill="auto"/>
            <w:vAlign w:val="center"/>
          </w:tcPr>
          <w:p w14:paraId="64A89E8B" w14:textId="77777777" w:rsidR="008D6614" w:rsidRDefault="008D6614">
            <w:pPr>
              <w:rPr>
                <w:rFonts w:ascii="宋体"/>
                <w:vanish/>
              </w:rPr>
            </w:pPr>
          </w:p>
        </w:tc>
        <w:tc>
          <w:tcPr>
            <w:tcW w:w="0" w:type="auto"/>
            <w:shd w:val="clear" w:color="auto" w:fill="auto"/>
            <w:vAlign w:val="center"/>
          </w:tcPr>
          <w:p w14:paraId="64A89E8C"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E8D"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E8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E8F" w14:textId="77777777" w:rsidR="008D6614" w:rsidRDefault="00866AF2">
            <w:pPr>
              <w:jc w:val="right"/>
              <w:textAlignment w:val="bottom"/>
            </w:pPr>
            <w:r>
              <w:rPr>
                <w:rFonts w:ascii="Arial" w:eastAsia="宋体" w:hAnsi="Arial" w:cs="Arial"/>
                <w:color w:val="000000"/>
                <w:sz w:val="18"/>
                <w:szCs w:val="18"/>
              </w:rPr>
              <w:t>10 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E9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E91"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E9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E93" w14:textId="77777777" w:rsidR="008D6614" w:rsidRDefault="00866AF2">
            <w:pPr>
              <w:jc w:val="right"/>
              <w:textAlignment w:val="bottom"/>
            </w:pPr>
            <w:r>
              <w:rPr>
                <w:rFonts w:ascii="Arial" w:eastAsia="宋体" w:hAnsi="Arial" w:cs="Arial"/>
                <w:color w:val="000000"/>
                <w:sz w:val="18"/>
                <w:szCs w:val="18"/>
              </w:rPr>
              <w:t>15 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E9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E95" w14:textId="77777777" w:rsidR="008D6614" w:rsidRDefault="008D6614">
            <w:pPr>
              <w:rPr>
                <w:rFonts w:ascii="宋体"/>
              </w:rPr>
            </w:pPr>
          </w:p>
        </w:tc>
        <w:tc>
          <w:tcPr>
            <w:tcW w:w="0" w:type="auto"/>
            <w:shd w:val="clear" w:color="auto" w:fill="auto"/>
            <w:vAlign w:val="center"/>
          </w:tcPr>
          <w:p w14:paraId="64A89E96" w14:textId="77777777" w:rsidR="008D6614" w:rsidRDefault="008D6614">
            <w:pPr>
              <w:rPr>
                <w:rFonts w:ascii="宋体"/>
              </w:rPr>
            </w:pPr>
          </w:p>
        </w:tc>
        <w:tc>
          <w:tcPr>
            <w:tcW w:w="0" w:type="auto"/>
            <w:shd w:val="clear" w:color="auto" w:fill="auto"/>
            <w:vAlign w:val="center"/>
          </w:tcPr>
          <w:p w14:paraId="64A89E97" w14:textId="77777777" w:rsidR="008D6614" w:rsidRDefault="008D6614">
            <w:pPr>
              <w:rPr>
                <w:rFonts w:ascii="宋体"/>
              </w:rPr>
            </w:pPr>
          </w:p>
        </w:tc>
        <w:tc>
          <w:tcPr>
            <w:tcW w:w="0" w:type="auto"/>
            <w:shd w:val="clear" w:color="auto" w:fill="auto"/>
            <w:vAlign w:val="center"/>
          </w:tcPr>
          <w:p w14:paraId="64A89E98" w14:textId="77777777" w:rsidR="008D6614" w:rsidRDefault="008D6614">
            <w:pPr>
              <w:rPr>
                <w:rFonts w:ascii="宋体"/>
              </w:rPr>
            </w:pPr>
          </w:p>
        </w:tc>
        <w:tc>
          <w:tcPr>
            <w:tcW w:w="0" w:type="auto"/>
            <w:shd w:val="clear" w:color="auto" w:fill="auto"/>
            <w:vAlign w:val="center"/>
          </w:tcPr>
          <w:p w14:paraId="64A89E99" w14:textId="77777777" w:rsidR="008D6614" w:rsidRDefault="008D6614">
            <w:pPr>
              <w:rPr>
                <w:rFonts w:ascii="宋体"/>
              </w:rPr>
            </w:pPr>
          </w:p>
        </w:tc>
        <w:tc>
          <w:tcPr>
            <w:tcW w:w="0" w:type="auto"/>
            <w:shd w:val="clear" w:color="auto" w:fill="auto"/>
            <w:vAlign w:val="center"/>
          </w:tcPr>
          <w:p w14:paraId="64A89E9A" w14:textId="77777777" w:rsidR="008D6614" w:rsidRDefault="008D6614">
            <w:pPr>
              <w:rPr>
                <w:rFonts w:ascii="宋体"/>
              </w:rPr>
            </w:pPr>
          </w:p>
        </w:tc>
      </w:tr>
    </w:tbl>
    <w:p w14:paraId="64A89E9C" w14:textId="77777777" w:rsidR="008D6614" w:rsidRDefault="008D6614">
      <w:pPr>
        <w:jc w:val="center"/>
      </w:pPr>
    </w:p>
    <w:p w14:paraId="64A89E9D" w14:textId="77777777" w:rsidR="008D6614" w:rsidRDefault="00866AF2">
      <w:pPr>
        <w:ind w:firstLine="540"/>
      </w:pPr>
      <w:r>
        <w:rPr>
          <w:rFonts w:ascii="Arial" w:eastAsia="宋体" w:hAnsi="Arial" w:cs="Arial"/>
          <w:color w:val="000000"/>
          <w:sz w:val="20"/>
          <w:szCs w:val="20"/>
        </w:rPr>
        <w:t>The following table provides a summary of the total gain (loss) recognized in the condensed consolidated statement of income from our interest rate derivative contracts by location (in millions): </w:t>
      </w:r>
    </w:p>
    <w:tbl>
      <w:tblPr>
        <w:tblW w:w="4993" w:type="pct"/>
        <w:jc w:val="center"/>
        <w:tblCellMar>
          <w:top w:w="15" w:type="dxa"/>
          <w:left w:w="15" w:type="dxa"/>
          <w:bottom w:w="15" w:type="dxa"/>
          <w:right w:w="15" w:type="dxa"/>
        </w:tblCellMar>
        <w:tblLook w:val="04A0" w:firstRow="1" w:lastRow="0" w:firstColumn="1" w:lastColumn="0" w:noHBand="0" w:noVBand="1"/>
      </w:tblPr>
      <w:tblGrid>
        <w:gridCol w:w="46"/>
        <w:gridCol w:w="5653"/>
        <w:gridCol w:w="47"/>
        <w:gridCol w:w="36"/>
        <w:gridCol w:w="36"/>
        <w:gridCol w:w="36"/>
        <w:gridCol w:w="36"/>
        <w:gridCol w:w="36"/>
        <w:gridCol w:w="36"/>
        <w:gridCol w:w="136"/>
        <w:gridCol w:w="797"/>
        <w:gridCol w:w="86"/>
        <w:gridCol w:w="36"/>
        <w:gridCol w:w="36"/>
        <w:gridCol w:w="36"/>
        <w:gridCol w:w="136"/>
        <w:gridCol w:w="797"/>
        <w:gridCol w:w="86"/>
        <w:gridCol w:w="36"/>
        <w:gridCol w:w="36"/>
        <w:gridCol w:w="36"/>
        <w:gridCol w:w="36"/>
        <w:gridCol w:w="36"/>
        <w:gridCol w:w="36"/>
      </w:tblGrid>
      <w:tr w:rsidR="008D6614" w14:paraId="64A89EB0" w14:textId="77777777">
        <w:trPr>
          <w:gridAfter w:val="6"/>
          <w:jc w:val="center"/>
        </w:trPr>
        <w:tc>
          <w:tcPr>
            <w:tcW w:w="50" w:type="pct"/>
            <w:shd w:val="clear" w:color="auto" w:fill="auto"/>
            <w:vAlign w:val="center"/>
          </w:tcPr>
          <w:p w14:paraId="64A89E9E" w14:textId="77777777" w:rsidR="008D6614" w:rsidRDefault="008D6614">
            <w:pPr>
              <w:rPr>
                <w:rFonts w:ascii="宋体"/>
              </w:rPr>
            </w:pPr>
          </w:p>
        </w:tc>
        <w:tc>
          <w:tcPr>
            <w:tcW w:w="3553" w:type="pct"/>
            <w:shd w:val="clear" w:color="auto" w:fill="auto"/>
            <w:vAlign w:val="center"/>
          </w:tcPr>
          <w:p w14:paraId="64A89E9F" w14:textId="77777777" w:rsidR="008D6614" w:rsidRDefault="008D6614">
            <w:pPr>
              <w:rPr>
                <w:rFonts w:ascii="宋体"/>
              </w:rPr>
            </w:pPr>
          </w:p>
        </w:tc>
        <w:tc>
          <w:tcPr>
            <w:tcW w:w="50" w:type="pct"/>
            <w:shd w:val="clear" w:color="auto" w:fill="auto"/>
            <w:vAlign w:val="center"/>
          </w:tcPr>
          <w:p w14:paraId="64A89EA0" w14:textId="77777777" w:rsidR="008D6614" w:rsidRDefault="008D6614">
            <w:pPr>
              <w:rPr>
                <w:rFonts w:ascii="宋体"/>
              </w:rPr>
            </w:pPr>
          </w:p>
        </w:tc>
        <w:tc>
          <w:tcPr>
            <w:tcW w:w="0" w:type="auto"/>
            <w:shd w:val="clear" w:color="auto" w:fill="auto"/>
            <w:vAlign w:val="center"/>
          </w:tcPr>
          <w:p w14:paraId="64A89EA1" w14:textId="77777777" w:rsidR="008D6614" w:rsidRDefault="008D6614">
            <w:pPr>
              <w:rPr>
                <w:rFonts w:ascii="宋体"/>
                <w:vanish/>
              </w:rPr>
            </w:pPr>
          </w:p>
        </w:tc>
        <w:tc>
          <w:tcPr>
            <w:tcW w:w="0" w:type="auto"/>
            <w:shd w:val="clear" w:color="auto" w:fill="auto"/>
            <w:vAlign w:val="center"/>
          </w:tcPr>
          <w:p w14:paraId="64A89EA2" w14:textId="77777777" w:rsidR="008D6614" w:rsidRDefault="008D6614">
            <w:pPr>
              <w:rPr>
                <w:rFonts w:ascii="宋体"/>
                <w:vanish/>
              </w:rPr>
            </w:pPr>
          </w:p>
        </w:tc>
        <w:tc>
          <w:tcPr>
            <w:tcW w:w="0" w:type="auto"/>
            <w:shd w:val="clear" w:color="auto" w:fill="auto"/>
            <w:vAlign w:val="center"/>
          </w:tcPr>
          <w:p w14:paraId="64A89EA3" w14:textId="77777777" w:rsidR="008D6614" w:rsidRDefault="008D6614">
            <w:pPr>
              <w:rPr>
                <w:rFonts w:ascii="宋体"/>
                <w:vanish/>
              </w:rPr>
            </w:pPr>
          </w:p>
        </w:tc>
        <w:tc>
          <w:tcPr>
            <w:tcW w:w="5" w:type="pct"/>
            <w:shd w:val="clear" w:color="auto" w:fill="auto"/>
            <w:vAlign w:val="center"/>
          </w:tcPr>
          <w:p w14:paraId="64A89EA4" w14:textId="77777777" w:rsidR="008D6614" w:rsidRDefault="008D6614">
            <w:pPr>
              <w:rPr>
                <w:rFonts w:ascii="宋体"/>
              </w:rPr>
            </w:pPr>
          </w:p>
        </w:tc>
        <w:tc>
          <w:tcPr>
            <w:tcW w:w="26" w:type="pct"/>
            <w:shd w:val="clear" w:color="auto" w:fill="auto"/>
            <w:vAlign w:val="center"/>
          </w:tcPr>
          <w:p w14:paraId="64A89EA5" w14:textId="77777777" w:rsidR="008D6614" w:rsidRDefault="008D6614">
            <w:pPr>
              <w:rPr>
                <w:rFonts w:ascii="宋体"/>
              </w:rPr>
            </w:pPr>
          </w:p>
        </w:tc>
        <w:tc>
          <w:tcPr>
            <w:tcW w:w="5" w:type="pct"/>
            <w:shd w:val="clear" w:color="auto" w:fill="auto"/>
            <w:vAlign w:val="center"/>
          </w:tcPr>
          <w:p w14:paraId="64A89EA6" w14:textId="77777777" w:rsidR="008D6614" w:rsidRDefault="008D6614">
            <w:pPr>
              <w:rPr>
                <w:rFonts w:ascii="宋体"/>
              </w:rPr>
            </w:pPr>
          </w:p>
        </w:tc>
        <w:tc>
          <w:tcPr>
            <w:tcW w:w="50" w:type="pct"/>
            <w:shd w:val="clear" w:color="auto" w:fill="auto"/>
            <w:vAlign w:val="center"/>
          </w:tcPr>
          <w:p w14:paraId="64A89EA7" w14:textId="77777777" w:rsidR="008D6614" w:rsidRDefault="008D6614">
            <w:pPr>
              <w:rPr>
                <w:rFonts w:ascii="宋体"/>
              </w:rPr>
            </w:pPr>
          </w:p>
        </w:tc>
        <w:tc>
          <w:tcPr>
            <w:tcW w:w="536" w:type="pct"/>
            <w:shd w:val="clear" w:color="auto" w:fill="auto"/>
            <w:vAlign w:val="center"/>
          </w:tcPr>
          <w:p w14:paraId="64A89EA8" w14:textId="77777777" w:rsidR="008D6614" w:rsidRDefault="008D6614">
            <w:pPr>
              <w:rPr>
                <w:rFonts w:ascii="宋体"/>
              </w:rPr>
            </w:pPr>
          </w:p>
        </w:tc>
        <w:tc>
          <w:tcPr>
            <w:tcW w:w="50" w:type="pct"/>
            <w:shd w:val="clear" w:color="auto" w:fill="auto"/>
            <w:vAlign w:val="center"/>
          </w:tcPr>
          <w:p w14:paraId="64A89EA9" w14:textId="77777777" w:rsidR="008D6614" w:rsidRDefault="008D6614">
            <w:pPr>
              <w:rPr>
                <w:rFonts w:ascii="宋体"/>
              </w:rPr>
            </w:pPr>
          </w:p>
        </w:tc>
        <w:tc>
          <w:tcPr>
            <w:tcW w:w="5" w:type="pct"/>
            <w:shd w:val="clear" w:color="auto" w:fill="auto"/>
            <w:vAlign w:val="center"/>
          </w:tcPr>
          <w:p w14:paraId="64A89EAA" w14:textId="77777777" w:rsidR="008D6614" w:rsidRDefault="008D6614">
            <w:pPr>
              <w:rPr>
                <w:rFonts w:ascii="宋体"/>
              </w:rPr>
            </w:pPr>
          </w:p>
        </w:tc>
        <w:tc>
          <w:tcPr>
            <w:tcW w:w="26" w:type="pct"/>
            <w:shd w:val="clear" w:color="auto" w:fill="auto"/>
            <w:vAlign w:val="center"/>
          </w:tcPr>
          <w:p w14:paraId="64A89EAB" w14:textId="77777777" w:rsidR="008D6614" w:rsidRDefault="008D6614">
            <w:pPr>
              <w:rPr>
                <w:rFonts w:ascii="宋体"/>
              </w:rPr>
            </w:pPr>
          </w:p>
        </w:tc>
        <w:tc>
          <w:tcPr>
            <w:tcW w:w="5" w:type="pct"/>
            <w:shd w:val="clear" w:color="auto" w:fill="auto"/>
            <w:vAlign w:val="center"/>
          </w:tcPr>
          <w:p w14:paraId="64A89EAC" w14:textId="77777777" w:rsidR="008D6614" w:rsidRDefault="008D6614">
            <w:pPr>
              <w:rPr>
                <w:rFonts w:ascii="宋体"/>
              </w:rPr>
            </w:pPr>
          </w:p>
        </w:tc>
        <w:tc>
          <w:tcPr>
            <w:tcW w:w="50" w:type="pct"/>
            <w:shd w:val="clear" w:color="auto" w:fill="auto"/>
            <w:vAlign w:val="center"/>
          </w:tcPr>
          <w:p w14:paraId="64A89EAD" w14:textId="77777777" w:rsidR="008D6614" w:rsidRDefault="008D6614">
            <w:pPr>
              <w:rPr>
                <w:rFonts w:ascii="宋体"/>
              </w:rPr>
            </w:pPr>
          </w:p>
        </w:tc>
        <w:tc>
          <w:tcPr>
            <w:tcW w:w="536" w:type="pct"/>
            <w:shd w:val="clear" w:color="auto" w:fill="auto"/>
            <w:vAlign w:val="center"/>
          </w:tcPr>
          <w:p w14:paraId="64A89EAE" w14:textId="77777777" w:rsidR="008D6614" w:rsidRDefault="008D6614">
            <w:pPr>
              <w:rPr>
                <w:rFonts w:ascii="宋体"/>
              </w:rPr>
            </w:pPr>
          </w:p>
        </w:tc>
        <w:tc>
          <w:tcPr>
            <w:tcW w:w="50" w:type="pct"/>
            <w:shd w:val="clear" w:color="auto" w:fill="auto"/>
            <w:vAlign w:val="center"/>
          </w:tcPr>
          <w:p w14:paraId="64A89EAF" w14:textId="77777777" w:rsidR="008D6614" w:rsidRDefault="008D6614">
            <w:pPr>
              <w:rPr>
                <w:rFonts w:ascii="宋体"/>
              </w:rPr>
            </w:pPr>
          </w:p>
        </w:tc>
      </w:tr>
      <w:tr w:rsidR="008D6614" w14:paraId="64A89EB9" w14:textId="77777777">
        <w:trPr>
          <w:jc w:val="center"/>
        </w:trPr>
        <w:tc>
          <w:tcPr>
            <w:tcW w:w="0" w:type="auto"/>
            <w:gridSpan w:val="3"/>
            <w:shd w:val="clear" w:color="auto" w:fill="auto"/>
            <w:tcMar>
              <w:left w:w="20" w:type="dxa"/>
              <w:right w:w="20" w:type="dxa"/>
            </w:tcMar>
            <w:vAlign w:val="bottom"/>
          </w:tcPr>
          <w:p w14:paraId="64A89EB1" w14:textId="77777777" w:rsidR="008D6614" w:rsidRDefault="008D6614">
            <w:pPr>
              <w:rPr>
                <w:rFonts w:ascii="宋体"/>
              </w:rPr>
            </w:pPr>
          </w:p>
        </w:tc>
        <w:tc>
          <w:tcPr>
            <w:tcW w:w="0" w:type="auto"/>
            <w:shd w:val="clear" w:color="auto" w:fill="auto"/>
            <w:vAlign w:val="center"/>
          </w:tcPr>
          <w:p w14:paraId="64A89EB2" w14:textId="77777777" w:rsidR="008D6614" w:rsidRDefault="008D6614">
            <w:pPr>
              <w:rPr>
                <w:rFonts w:ascii="宋体"/>
                <w:vanish/>
              </w:rPr>
            </w:pPr>
          </w:p>
        </w:tc>
        <w:tc>
          <w:tcPr>
            <w:tcW w:w="0" w:type="auto"/>
            <w:shd w:val="clear" w:color="auto" w:fill="auto"/>
            <w:vAlign w:val="center"/>
          </w:tcPr>
          <w:p w14:paraId="64A89EB3" w14:textId="77777777" w:rsidR="008D6614" w:rsidRDefault="008D6614">
            <w:pPr>
              <w:rPr>
                <w:rFonts w:ascii="宋体"/>
                <w:vanish/>
              </w:rPr>
            </w:pPr>
          </w:p>
        </w:tc>
        <w:tc>
          <w:tcPr>
            <w:tcW w:w="0" w:type="auto"/>
            <w:shd w:val="clear" w:color="auto" w:fill="auto"/>
            <w:vAlign w:val="center"/>
          </w:tcPr>
          <w:p w14:paraId="64A89EB4"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EB5"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9EB6" w14:textId="77777777" w:rsidR="008D6614" w:rsidRDefault="00866AF2">
            <w:pPr>
              <w:jc w:val="center"/>
              <w:textAlignment w:val="bottom"/>
            </w:pPr>
            <w:r>
              <w:rPr>
                <w:rFonts w:ascii="Arial" w:eastAsia="宋体" w:hAnsi="Arial" w:cs="Arial"/>
                <w:b/>
                <w:bCs/>
                <w:color w:val="000000"/>
                <w:sz w:val="16"/>
                <w:szCs w:val="16"/>
              </w:rPr>
              <w:t xml:space="preserve">Three </w:t>
            </w:r>
            <w:r>
              <w:rPr>
                <w:rFonts w:ascii="Arial" w:eastAsia="宋体" w:hAnsi="Arial" w:cs="Arial"/>
                <w:b/>
                <w:bCs/>
                <w:color w:val="000000"/>
                <w:sz w:val="16"/>
                <w:szCs w:val="16"/>
              </w:rPr>
              <w:t>Months Ended</w:t>
            </w:r>
            <w:r>
              <w:rPr>
                <w:rFonts w:ascii="Arial" w:eastAsia="宋体" w:hAnsi="Arial" w:cs="Arial"/>
                <w:b/>
                <w:bCs/>
                <w:color w:val="000000"/>
                <w:sz w:val="16"/>
                <w:szCs w:val="16"/>
              </w:rPr>
              <w:br/>
              <w:t>March 31,</w:t>
            </w:r>
          </w:p>
        </w:tc>
        <w:tc>
          <w:tcPr>
            <w:tcW w:w="0" w:type="auto"/>
            <w:gridSpan w:val="3"/>
            <w:shd w:val="clear" w:color="auto" w:fill="auto"/>
            <w:vAlign w:val="center"/>
          </w:tcPr>
          <w:p w14:paraId="64A89EB7" w14:textId="77777777" w:rsidR="008D6614" w:rsidRDefault="008D6614">
            <w:pPr>
              <w:rPr>
                <w:rFonts w:ascii="宋体"/>
                <w:vanish/>
              </w:rPr>
            </w:pPr>
          </w:p>
        </w:tc>
        <w:tc>
          <w:tcPr>
            <w:tcW w:w="0" w:type="auto"/>
            <w:gridSpan w:val="3"/>
            <w:shd w:val="clear" w:color="auto" w:fill="auto"/>
            <w:vAlign w:val="center"/>
          </w:tcPr>
          <w:p w14:paraId="64A89EB8" w14:textId="77777777" w:rsidR="008D6614" w:rsidRDefault="008D6614">
            <w:pPr>
              <w:rPr>
                <w:rFonts w:ascii="宋体"/>
                <w:vanish/>
              </w:rPr>
            </w:pPr>
          </w:p>
        </w:tc>
      </w:tr>
      <w:tr w:rsidR="008D6614" w14:paraId="64A89EC8" w14:textId="77777777">
        <w:trPr>
          <w:jc w:val="center"/>
        </w:trPr>
        <w:tc>
          <w:tcPr>
            <w:tcW w:w="0" w:type="auto"/>
            <w:gridSpan w:val="3"/>
            <w:shd w:val="clear" w:color="auto" w:fill="auto"/>
            <w:tcMar>
              <w:top w:w="40" w:type="dxa"/>
              <w:left w:w="20" w:type="dxa"/>
              <w:bottom w:w="40" w:type="dxa"/>
              <w:right w:w="20" w:type="dxa"/>
            </w:tcMar>
            <w:vAlign w:val="bottom"/>
          </w:tcPr>
          <w:p w14:paraId="64A89EBA"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9EBB" w14:textId="77777777" w:rsidR="008D6614" w:rsidRDefault="008D6614">
            <w:pPr>
              <w:rPr>
                <w:rFonts w:ascii="宋体"/>
                <w:vanish/>
              </w:rPr>
            </w:pPr>
          </w:p>
        </w:tc>
        <w:tc>
          <w:tcPr>
            <w:tcW w:w="0" w:type="auto"/>
            <w:shd w:val="clear" w:color="auto" w:fill="auto"/>
            <w:vAlign w:val="center"/>
          </w:tcPr>
          <w:p w14:paraId="64A89EBC" w14:textId="77777777" w:rsidR="008D6614" w:rsidRDefault="008D6614">
            <w:pPr>
              <w:rPr>
                <w:rFonts w:ascii="宋体"/>
                <w:vanish/>
              </w:rPr>
            </w:pPr>
          </w:p>
        </w:tc>
        <w:tc>
          <w:tcPr>
            <w:tcW w:w="0" w:type="auto"/>
            <w:shd w:val="clear" w:color="auto" w:fill="auto"/>
            <w:vAlign w:val="center"/>
          </w:tcPr>
          <w:p w14:paraId="64A89EBD"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EBE"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EBF"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64A89EC0" w14:textId="77777777" w:rsidR="008D6614" w:rsidRDefault="008D661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4A89EC1"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9EC2" w14:textId="77777777" w:rsidR="008D6614" w:rsidRDefault="008D6614">
            <w:pPr>
              <w:rPr>
                <w:rFonts w:ascii="宋体"/>
              </w:rPr>
            </w:pPr>
          </w:p>
        </w:tc>
        <w:tc>
          <w:tcPr>
            <w:tcW w:w="0" w:type="auto"/>
            <w:shd w:val="clear" w:color="auto" w:fill="auto"/>
            <w:vAlign w:val="center"/>
          </w:tcPr>
          <w:p w14:paraId="64A89EC3" w14:textId="77777777" w:rsidR="008D6614" w:rsidRDefault="008D6614">
            <w:pPr>
              <w:rPr>
                <w:rFonts w:ascii="宋体"/>
              </w:rPr>
            </w:pPr>
          </w:p>
        </w:tc>
        <w:tc>
          <w:tcPr>
            <w:tcW w:w="0" w:type="auto"/>
            <w:shd w:val="clear" w:color="auto" w:fill="auto"/>
            <w:vAlign w:val="center"/>
          </w:tcPr>
          <w:p w14:paraId="64A89EC4" w14:textId="77777777" w:rsidR="008D6614" w:rsidRDefault="008D6614">
            <w:pPr>
              <w:rPr>
                <w:rFonts w:ascii="宋体"/>
              </w:rPr>
            </w:pPr>
          </w:p>
        </w:tc>
        <w:tc>
          <w:tcPr>
            <w:tcW w:w="0" w:type="auto"/>
            <w:shd w:val="clear" w:color="auto" w:fill="auto"/>
            <w:vAlign w:val="center"/>
          </w:tcPr>
          <w:p w14:paraId="64A89EC5" w14:textId="77777777" w:rsidR="008D6614" w:rsidRDefault="008D6614">
            <w:pPr>
              <w:rPr>
                <w:rFonts w:ascii="宋体"/>
              </w:rPr>
            </w:pPr>
          </w:p>
        </w:tc>
        <w:tc>
          <w:tcPr>
            <w:tcW w:w="0" w:type="auto"/>
            <w:shd w:val="clear" w:color="auto" w:fill="auto"/>
            <w:vAlign w:val="center"/>
          </w:tcPr>
          <w:p w14:paraId="64A89EC6" w14:textId="77777777" w:rsidR="008D6614" w:rsidRDefault="008D6614">
            <w:pPr>
              <w:rPr>
                <w:rFonts w:ascii="宋体"/>
              </w:rPr>
            </w:pPr>
          </w:p>
        </w:tc>
        <w:tc>
          <w:tcPr>
            <w:tcW w:w="0" w:type="auto"/>
            <w:shd w:val="clear" w:color="auto" w:fill="auto"/>
            <w:vAlign w:val="center"/>
          </w:tcPr>
          <w:p w14:paraId="64A89EC7" w14:textId="77777777" w:rsidR="008D6614" w:rsidRDefault="008D6614">
            <w:pPr>
              <w:rPr>
                <w:rFonts w:ascii="宋体"/>
              </w:rPr>
            </w:pPr>
          </w:p>
        </w:tc>
      </w:tr>
      <w:tr w:rsidR="008D6614" w14:paraId="64A89EDB" w14:textId="77777777">
        <w:trPr>
          <w:jc w:val="center"/>
        </w:trPr>
        <w:tc>
          <w:tcPr>
            <w:tcW w:w="0" w:type="auto"/>
            <w:gridSpan w:val="3"/>
            <w:shd w:val="clear" w:color="auto" w:fill="E2E2E2"/>
            <w:tcMar>
              <w:top w:w="40" w:type="dxa"/>
              <w:left w:w="20" w:type="dxa"/>
              <w:bottom w:w="40" w:type="dxa"/>
              <w:right w:w="20" w:type="dxa"/>
            </w:tcMar>
            <w:vAlign w:val="bottom"/>
          </w:tcPr>
          <w:p w14:paraId="64A89EC9" w14:textId="77777777" w:rsidR="008D6614" w:rsidRDefault="00866AF2">
            <w:pPr>
              <w:textAlignment w:val="bottom"/>
            </w:pPr>
            <w:r>
              <w:rPr>
                <w:rFonts w:ascii="Arial" w:eastAsia="宋体" w:hAnsi="Arial" w:cs="Arial"/>
                <w:color w:val="000000"/>
                <w:sz w:val="18"/>
                <w:szCs w:val="18"/>
              </w:rPr>
              <w:t>Gain (loss) from interest rate contracts designated as fair value hedges recognized in interest and other, net</w:t>
            </w:r>
          </w:p>
        </w:tc>
        <w:tc>
          <w:tcPr>
            <w:tcW w:w="0" w:type="auto"/>
            <w:shd w:val="clear" w:color="auto" w:fill="auto"/>
            <w:vAlign w:val="center"/>
          </w:tcPr>
          <w:p w14:paraId="64A89ECA" w14:textId="77777777" w:rsidR="008D6614" w:rsidRDefault="008D6614">
            <w:pPr>
              <w:rPr>
                <w:rFonts w:ascii="宋体"/>
                <w:vanish/>
              </w:rPr>
            </w:pPr>
          </w:p>
        </w:tc>
        <w:tc>
          <w:tcPr>
            <w:tcW w:w="0" w:type="auto"/>
            <w:shd w:val="clear" w:color="auto" w:fill="auto"/>
            <w:vAlign w:val="center"/>
          </w:tcPr>
          <w:p w14:paraId="64A89ECB" w14:textId="77777777" w:rsidR="008D6614" w:rsidRDefault="008D6614">
            <w:pPr>
              <w:rPr>
                <w:rFonts w:ascii="宋体"/>
                <w:vanish/>
              </w:rPr>
            </w:pPr>
          </w:p>
        </w:tc>
        <w:tc>
          <w:tcPr>
            <w:tcW w:w="0" w:type="auto"/>
            <w:shd w:val="clear" w:color="auto" w:fill="auto"/>
            <w:vAlign w:val="center"/>
          </w:tcPr>
          <w:p w14:paraId="64A89ECC"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ECD"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EC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ECF"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64A89ED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ED1"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ED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ED3" w14:textId="77777777" w:rsidR="008D6614" w:rsidRDefault="00866AF2">
            <w:pPr>
              <w:jc w:val="right"/>
              <w:textAlignment w:val="bottom"/>
            </w:pPr>
            <w:r>
              <w:rPr>
                <w:rFonts w:ascii="Arial" w:eastAsia="宋体" w:hAnsi="Arial" w:cs="Arial"/>
                <w:color w:val="000000"/>
                <w:sz w:val="18"/>
                <w:szCs w:val="18"/>
              </w:rPr>
              <w:t>15 </w:t>
            </w:r>
          </w:p>
        </w:tc>
        <w:tc>
          <w:tcPr>
            <w:tcW w:w="0" w:type="auto"/>
            <w:tcBorders>
              <w:top w:val="single" w:sz="8" w:space="0" w:color="000000"/>
            </w:tcBorders>
            <w:shd w:val="clear" w:color="auto" w:fill="E2E2E2"/>
            <w:tcMar>
              <w:top w:w="40" w:type="dxa"/>
              <w:bottom w:w="40" w:type="dxa"/>
              <w:right w:w="20" w:type="dxa"/>
            </w:tcMar>
            <w:vAlign w:val="bottom"/>
          </w:tcPr>
          <w:p w14:paraId="64A89ED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ED5" w14:textId="77777777" w:rsidR="008D6614" w:rsidRDefault="008D6614">
            <w:pPr>
              <w:rPr>
                <w:rFonts w:ascii="宋体"/>
              </w:rPr>
            </w:pPr>
          </w:p>
        </w:tc>
        <w:tc>
          <w:tcPr>
            <w:tcW w:w="0" w:type="auto"/>
            <w:shd w:val="clear" w:color="auto" w:fill="auto"/>
            <w:vAlign w:val="center"/>
          </w:tcPr>
          <w:p w14:paraId="64A89ED6" w14:textId="77777777" w:rsidR="008D6614" w:rsidRDefault="008D6614">
            <w:pPr>
              <w:rPr>
                <w:rFonts w:ascii="宋体"/>
              </w:rPr>
            </w:pPr>
          </w:p>
        </w:tc>
        <w:tc>
          <w:tcPr>
            <w:tcW w:w="0" w:type="auto"/>
            <w:shd w:val="clear" w:color="auto" w:fill="auto"/>
            <w:vAlign w:val="center"/>
          </w:tcPr>
          <w:p w14:paraId="64A89ED7" w14:textId="77777777" w:rsidR="008D6614" w:rsidRDefault="008D6614">
            <w:pPr>
              <w:rPr>
                <w:rFonts w:ascii="宋体"/>
              </w:rPr>
            </w:pPr>
          </w:p>
        </w:tc>
        <w:tc>
          <w:tcPr>
            <w:tcW w:w="0" w:type="auto"/>
            <w:shd w:val="clear" w:color="auto" w:fill="auto"/>
            <w:vAlign w:val="center"/>
          </w:tcPr>
          <w:p w14:paraId="64A89ED8" w14:textId="77777777" w:rsidR="008D6614" w:rsidRDefault="008D6614">
            <w:pPr>
              <w:rPr>
                <w:rFonts w:ascii="宋体"/>
              </w:rPr>
            </w:pPr>
          </w:p>
        </w:tc>
        <w:tc>
          <w:tcPr>
            <w:tcW w:w="0" w:type="auto"/>
            <w:shd w:val="clear" w:color="auto" w:fill="auto"/>
            <w:vAlign w:val="center"/>
          </w:tcPr>
          <w:p w14:paraId="64A89ED9" w14:textId="77777777" w:rsidR="008D6614" w:rsidRDefault="008D6614">
            <w:pPr>
              <w:rPr>
                <w:rFonts w:ascii="宋体"/>
              </w:rPr>
            </w:pPr>
          </w:p>
        </w:tc>
        <w:tc>
          <w:tcPr>
            <w:tcW w:w="0" w:type="auto"/>
            <w:shd w:val="clear" w:color="auto" w:fill="auto"/>
            <w:vAlign w:val="center"/>
          </w:tcPr>
          <w:p w14:paraId="64A89EDA" w14:textId="77777777" w:rsidR="008D6614" w:rsidRDefault="008D6614">
            <w:pPr>
              <w:rPr>
                <w:rFonts w:ascii="宋体"/>
              </w:rPr>
            </w:pPr>
          </w:p>
        </w:tc>
      </w:tr>
      <w:tr w:rsidR="008D6614" w14:paraId="64A89EEC" w14:textId="77777777">
        <w:trPr>
          <w:jc w:val="center"/>
        </w:trPr>
        <w:tc>
          <w:tcPr>
            <w:tcW w:w="0" w:type="auto"/>
            <w:gridSpan w:val="3"/>
            <w:shd w:val="clear" w:color="auto" w:fill="FFFFFF"/>
            <w:tcMar>
              <w:top w:w="40" w:type="dxa"/>
              <w:left w:w="20" w:type="dxa"/>
              <w:bottom w:w="40" w:type="dxa"/>
              <w:right w:w="20" w:type="dxa"/>
            </w:tcMar>
            <w:vAlign w:val="bottom"/>
          </w:tcPr>
          <w:p w14:paraId="64A89EDC" w14:textId="77777777" w:rsidR="008D6614" w:rsidRDefault="00866AF2">
            <w:pPr>
              <w:textAlignment w:val="bottom"/>
            </w:pPr>
            <w:r>
              <w:rPr>
                <w:rFonts w:ascii="Arial" w:eastAsia="宋体" w:hAnsi="Arial" w:cs="Arial"/>
                <w:color w:val="000000"/>
                <w:sz w:val="18"/>
                <w:szCs w:val="18"/>
              </w:rPr>
              <w:t>Gain (loss) from hedged items attributable to hedged risk recognized in interest and other, net</w:t>
            </w:r>
          </w:p>
        </w:tc>
        <w:tc>
          <w:tcPr>
            <w:tcW w:w="0" w:type="auto"/>
            <w:shd w:val="clear" w:color="auto" w:fill="auto"/>
            <w:vAlign w:val="center"/>
          </w:tcPr>
          <w:p w14:paraId="64A89EDD" w14:textId="77777777" w:rsidR="008D6614" w:rsidRDefault="008D6614">
            <w:pPr>
              <w:rPr>
                <w:rFonts w:ascii="宋体"/>
                <w:vanish/>
              </w:rPr>
            </w:pPr>
          </w:p>
        </w:tc>
        <w:tc>
          <w:tcPr>
            <w:tcW w:w="0" w:type="auto"/>
            <w:shd w:val="clear" w:color="auto" w:fill="auto"/>
            <w:vAlign w:val="center"/>
          </w:tcPr>
          <w:p w14:paraId="64A89EDE" w14:textId="77777777" w:rsidR="008D6614" w:rsidRDefault="008D6614">
            <w:pPr>
              <w:rPr>
                <w:rFonts w:ascii="宋体"/>
                <w:vanish/>
              </w:rPr>
            </w:pPr>
          </w:p>
        </w:tc>
        <w:tc>
          <w:tcPr>
            <w:tcW w:w="0" w:type="auto"/>
            <w:shd w:val="clear" w:color="auto" w:fill="auto"/>
            <w:vAlign w:val="center"/>
          </w:tcPr>
          <w:p w14:paraId="64A89EDF"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9EE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EE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EE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EE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EE4" w14:textId="77777777" w:rsidR="008D6614" w:rsidRDefault="00866AF2">
            <w:pPr>
              <w:jc w:val="right"/>
              <w:textAlignment w:val="bottom"/>
            </w:pPr>
            <w:r>
              <w:rPr>
                <w:rFonts w:ascii="Arial" w:eastAsia="宋体" w:hAnsi="Arial" w:cs="Arial"/>
                <w:color w:val="000000"/>
                <w:sz w:val="18"/>
                <w:szCs w:val="18"/>
              </w:rPr>
              <w:t>(15)</w:t>
            </w:r>
          </w:p>
        </w:tc>
        <w:tc>
          <w:tcPr>
            <w:tcW w:w="0" w:type="auto"/>
            <w:shd w:val="clear" w:color="auto" w:fill="FFFFFF"/>
            <w:tcMar>
              <w:top w:w="40" w:type="dxa"/>
              <w:bottom w:w="40" w:type="dxa"/>
              <w:right w:w="20" w:type="dxa"/>
            </w:tcMar>
            <w:vAlign w:val="bottom"/>
          </w:tcPr>
          <w:p w14:paraId="64A89EE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EE6" w14:textId="77777777" w:rsidR="008D6614" w:rsidRDefault="008D6614">
            <w:pPr>
              <w:rPr>
                <w:rFonts w:ascii="宋体"/>
              </w:rPr>
            </w:pPr>
          </w:p>
        </w:tc>
        <w:tc>
          <w:tcPr>
            <w:tcW w:w="0" w:type="auto"/>
            <w:shd w:val="clear" w:color="auto" w:fill="auto"/>
            <w:vAlign w:val="center"/>
          </w:tcPr>
          <w:p w14:paraId="64A89EE7" w14:textId="77777777" w:rsidR="008D6614" w:rsidRDefault="008D6614">
            <w:pPr>
              <w:rPr>
                <w:rFonts w:ascii="宋体"/>
              </w:rPr>
            </w:pPr>
          </w:p>
        </w:tc>
        <w:tc>
          <w:tcPr>
            <w:tcW w:w="0" w:type="auto"/>
            <w:shd w:val="clear" w:color="auto" w:fill="auto"/>
            <w:vAlign w:val="center"/>
          </w:tcPr>
          <w:p w14:paraId="64A89EE8" w14:textId="77777777" w:rsidR="008D6614" w:rsidRDefault="008D6614">
            <w:pPr>
              <w:rPr>
                <w:rFonts w:ascii="宋体"/>
              </w:rPr>
            </w:pPr>
          </w:p>
        </w:tc>
        <w:tc>
          <w:tcPr>
            <w:tcW w:w="0" w:type="auto"/>
            <w:shd w:val="clear" w:color="auto" w:fill="auto"/>
            <w:vAlign w:val="center"/>
          </w:tcPr>
          <w:p w14:paraId="64A89EE9" w14:textId="77777777" w:rsidR="008D6614" w:rsidRDefault="008D6614">
            <w:pPr>
              <w:rPr>
                <w:rFonts w:ascii="宋体"/>
              </w:rPr>
            </w:pPr>
          </w:p>
        </w:tc>
        <w:tc>
          <w:tcPr>
            <w:tcW w:w="0" w:type="auto"/>
            <w:shd w:val="clear" w:color="auto" w:fill="auto"/>
            <w:vAlign w:val="center"/>
          </w:tcPr>
          <w:p w14:paraId="64A89EEA" w14:textId="77777777" w:rsidR="008D6614" w:rsidRDefault="008D6614">
            <w:pPr>
              <w:rPr>
                <w:rFonts w:ascii="宋体"/>
              </w:rPr>
            </w:pPr>
          </w:p>
        </w:tc>
        <w:tc>
          <w:tcPr>
            <w:tcW w:w="0" w:type="auto"/>
            <w:shd w:val="clear" w:color="auto" w:fill="auto"/>
            <w:vAlign w:val="center"/>
          </w:tcPr>
          <w:p w14:paraId="64A89EEB" w14:textId="77777777" w:rsidR="008D6614" w:rsidRDefault="008D6614">
            <w:pPr>
              <w:rPr>
                <w:rFonts w:ascii="宋体"/>
              </w:rPr>
            </w:pPr>
          </w:p>
        </w:tc>
      </w:tr>
      <w:tr w:rsidR="008D6614" w14:paraId="64A89EFF" w14:textId="77777777">
        <w:trPr>
          <w:jc w:val="center"/>
        </w:trPr>
        <w:tc>
          <w:tcPr>
            <w:tcW w:w="0" w:type="auto"/>
            <w:gridSpan w:val="3"/>
            <w:shd w:val="clear" w:color="auto" w:fill="E2E2E2"/>
            <w:tcMar>
              <w:top w:w="40" w:type="dxa"/>
              <w:left w:w="225" w:type="dxa"/>
              <w:bottom w:w="40" w:type="dxa"/>
              <w:right w:w="20" w:type="dxa"/>
            </w:tcMar>
            <w:vAlign w:val="bottom"/>
          </w:tcPr>
          <w:p w14:paraId="64A89EED" w14:textId="77777777" w:rsidR="008D6614" w:rsidRDefault="00866AF2">
            <w:pPr>
              <w:textAlignment w:val="bottom"/>
            </w:pPr>
            <w:r>
              <w:rPr>
                <w:rFonts w:ascii="Arial" w:eastAsia="宋体" w:hAnsi="Arial" w:cs="Arial"/>
                <w:color w:val="000000"/>
                <w:sz w:val="18"/>
                <w:szCs w:val="18"/>
              </w:rPr>
              <w:t>Total gain (loss) recognized from interest rate derivative contracts in the condensed consolidated statement of income</w:t>
            </w:r>
          </w:p>
        </w:tc>
        <w:tc>
          <w:tcPr>
            <w:tcW w:w="0" w:type="auto"/>
            <w:shd w:val="clear" w:color="auto" w:fill="auto"/>
            <w:vAlign w:val="center"/>
          </w:tcPr>
          <w:p w14:paraId="64A89EEE" w14:textId="77777777" w:rsidR="008D6614" w:rsidRDefault="008D6614">
            <w:pPr>
              <w:rPr>
                <w:rFonts w:ascii="宋体"/>
                <w:vanish/>
              </w:rPr>
            </w:pPr>
          </w:p>
        </w:tc>
        <w:tc>
          <w:tcPr>
            <w:tcW w:w="0" w:type="auto"/>
            <w:shd w:val="clear" w:color="auto" w:fill="auto"/>
            <w:vAlign w:val="center"/>
          </w:tcPr>
          <w:p w14:paraId="64A89EEF" w14:textId="77777777" w:rsidR="008D6614" w:rsidRDefault="008D6614">
            <w:pPr>
              <w:rPr>
                <w:rFonts w:ascii="宋体"/>
                <w:vanish/>
              </w:rPr>
            </w:pPr>
          </w:p>
        </w:tc>
        <w:tc>
          <w:tcPr>
            <w:tcW w:w="0" w:type="auto"/>
            <w:shd w:val="clear" w:color="auto" w:fill="auto"/>
            <w:vAlign w:val="center"/>
          </w:tcPr>
          <w:p w14:paraId="64A89EF0"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EF1"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EF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EF3"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EF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EF5"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EF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EF7"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EF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EF9" w14:textId="77777777" w:rsidR="008D6614" w:rsidRDefault="008D6614">
            <w:pPr>
              <w:rPr>
                <w:rFonts w:ascii="宋体"/>
              </w:rPr>
            </w:pPr>
          </w:p>
        </w:tc>
        <w:tc>
          <w:tcPr>
            <w:tcW w:w="0" w:type="auto"/>
            <w:shd w:val="clear" w:color="auto" w:fill="auto"/>
            <w:vAlign w:val="center"/>
          </w:tcPr>
          <w:p w14:paraId="64A89EFA" w14:textId="77777777" w:rsidR="008D6614" w:rsidRDefault="008D6614">
            <w:pPr>
              <w:rPr>
                <w:rFonts w:ascii="宋体"/>
              </w:rPr>
            </w:pPr>
          </w:p>
        </w:tc>
        <w:tc>
          <w:tcPr>
            <w:tcW w:w="0" w:type="auto"/>
            <w:shd w:val="clear" w:color="auto" w:fill="auto"/>
            <w:vAlign w:val="center"/>
          </w:tcPr>
          <w:p w14:paraId="64A89EFB" w14:textId="77777777" w:rsidR="008D6614" w:rsidRDefault="008D6614">
            <w:pPr>
              <w:rPr>
                <w:rFonts w:ascii="宋体"/>
              </w:rPr>
            </w:pPr>
          </w:p>
        </w:tc>
        <w:tc>
          <w:tcPr>
            <w:tcW w:w="0" w:type="auto"/>
            <w:shd w:val="clear" w:color="auto" w:fill="auto"/>
            <w:vAlign w:val="center"/>
          </w:tcPr>
          <w:p w14:paraId="64A89EFC" w14:textId="77777777" w:rsidR="008D6614" w:rsidRDefault="008D6614">
            <w:pPr>
              <w:rPr>
                <w:rFonts w:ascii="宋体"/>
              </w:rPr>
            </w:pPr>
          </w:p>
        </w:tc>
        <w:tc>
          <w:tcPr>
            <w:tcW w:w="0" w:type="auto"/>
            <w:shd w:val="clear" w:color="auto" w:fill="auto"/>
            <w:vAlign w:val="center"/>
          </w:tcPr>
          <w:p w14:paraId="64A89EFD" w14:textId="77777777" w:rsidR="008D6614" w:rsidRDefault="008D6614">
            <w:pPr>
              <w:rPr>
                <w:rFonts w:ascii="宋体"/>
              </w:rPr>
            </w:pPr>
          </w:p>
        </w:tc>
        <w:tc>
          <w:tcPr>
            <w:tcW w:w="0" w:type="auto"/>
            <w:shd w:val="clear" w:color="auto" w:fill="auto"/>
            <w:vAlign w:val="center"/>
          </w:tcPr>
          <w:p w14:paraId="64A89EFE" w14:textId="77777777" w:rsidR="008D6614" w:rsidRDefault="008D6614">
            <w:pPr>
              <w:rPr>
                <w:rFonts w:ascii="宋体"/>
              </w:rPr>
            </w:pPr>
          </w:p>
        </w:tc>
      </w:tr>
    </w:tbl>
    <w:p w14:paraId="64A89F00" w14:textId="77777777" w:rsidR="008D6614" w:rsidRDefault="008D6614"/>
    <w:p w14:paraId="64A89F01" w14:textId="77777777" w:rsidR="008D6614" w:rsidRDefault="00866AF2">
      <w:pPr>
        <w:ind w:firstLine="540"/>
      </w:pPr>
      <w:r>
        <w:rPr>
          <w:rFonts w:ascii="Arial" w:eastAsia="宋体" w:hAnsi="Arial" w:cs="Arial"/>
          <w:color w:val="000000"/>
          <w:sz w:val="20"/>
          <w:szCs w:val="20"/>
        </w:rPr>
        <w:t>The following table provides a summary of the total gain (loss) recognized in the condensed consolidated statement of income due to changes in the fair value of the warrant (in millions): </w:t>
      </w:r>
    </w:p>
    <w:tbl>
      <w:tblPr>
        <w:tblW w:w="4993" w:type="pct"/>
        <w:jc w:val="center"/>
        <w:tblCellMar>
          <w:top w:w="15" w:type="dxa"/>
          <w:left w:w="15" w:type="dxa"/>
          <w:bottom w:w="15" w:type="dxa"/>
          <w:right w:w="15" w:type="dxa"/>
        </w:tblCellMar>
        <w:tblLook w:val="04A0" w:firstRow="1" w:lastRow="0" w:firstColumn="1" w:lastColumn="0" w:noHBand="0" w:noVBand="1"/>
      </w:tblPr>
      <w:tblGrid>
        <w:gridCol w:w="46"/>
        <w:gridCol w:w="5653"/>
        <w:gridCol w:w="47"/>
        <w:gridCol w:w="36"/>
        <w:gridCol w:w="36"/>
        <w:gridCol w:w="36"/>
        <w:gridCol w:w="36"/>
        <w:gridCol w:w="36"/>
        <w:gridCol w:w="36"/>
        <w:gridCol w:w="136"/>
        <w:gridCol w:w="797"/>
        <w:gridCol w:w="86"/>
        <w:gridCol w:w="36"/>
        <w:gridCol w:w="36"/>
        <w:gridCol w:w="36"/>
        <w:gridCol w:w="136"/>
        <w:gridCol w:w="797"/>
        <w:gridCol w:w="86"/>
        <w:gridCol w:w="36"/>
        <w:gridCol w:w="36"/>
        <w:gridCol w:w="36"/>
        <w:gridCol w:w="36"/>
        <w:gridCol w:w="36"/>
        <w:gridCol w:w="36"/>
      </w:tblGrid>
      <w:tr w:rsidR="008D6614" w14:paraId="64A89F14" w14:textId="77777777">
        <w:trPr>
          <w:gridAfter w:val="6"/>
          <w:jc w:val="center"/>
        </w:trPr>
        <w:tc>
          <w:tcPr>
            <w:tcW w:w="50" w:type="pct"/>
            <w:shd w:val="clear" w:color="auto" w:fill="auto"/>
            <w:vAlign w:val="center"/>
          </w:tcPr>
          <w:p w14:paraId="64A89F02" w14:textId="77777777" w:rsidR="008D6614" w:rsidRDefault="008D6614">
            <w:pPr>
              <w:rPr>
                <w:rFonts w:ascii="宋体"/>
              </w:rPr>
            </w:pPr>
          </w:p>
        </w:tc>
        <w:tc>
          <w:tcPr>
            <w:tcW w:w="3553" w:type="pct"/>
            <w:shd w:val="clear" w:color="auto" w:fill="auto"/>
            <w:vAlign w:val="center"/>
          </w:tcPr>
          <w:p w14:paraId="64A89F03" w14:textId="77777777" w:rsidR="008D6614" w:rsidRDefault="008D6614">
            <w:pPr>
              <w:rPr>
                <w:rFonts w:ascii="宋体"/>
              </w:rPr>
            </w:pPr>
          </w:p>
        </w:tc>
        <w:tc>
          <w:tcPr>
            <w:tcW w:w="50" w:type="pct"/>
            <w:shd w:val="clear" w:color="auto" w:fill="auto"/>
            <w:vAlign w:val="center"/>
          </w:tcPr>
          <w:p w14:paraId="64A89F04" w14:textId="77777777" w:rsidR="008D6614" w:rsidRDefault="008D6614">
            <w:pPr>
              <w:rPr>
                <w:rFonts w:ascii="宋体"/>
              </w:rPr>
            </w:pPr>
          </w:p>
        </w:tc>
        <w:tc>
          <w:tcPr>
            <w:tcW w:w="0" w:type="auto"/>
            <w:shd w:val="clear" w:color="auto" w:fill="auto"/>
            <w:vAlign w:val="center"/>
          </w:tcPr>
          <w:p w14:paraId="64A89F05" w14:textId="77777777" w:rsidR="008D6614" w:rsidRDefault="008D6614">
            <w:pPr>
              <w:rPr>
                <w:rFonts w:ascii="宋体"/>
                <w:vanish/>
              </w:rPr>
            </w:pPr>
          </w:p>
        </w:tc>
        <w:tc>
          <w:tcPr>
            <w:tcW w:w="0" w:type="auto"/>
            <w:shd w:val="clear" w:color="auto" w:fill="auto"/>
            <w:vAlign w:val="center"/>
          </w:tcPr>
          <w:p w14:paraId="64A89F06" w14:textId="77777777" w:rsidR="008D6614" w:rsidRDefault="008D6614">
            <w:pPr>
              <w:rPr>
                <w:rFonts w:ascii="宋体"/>
                <w:vanish/>
              </w:rPr>
            </w:pPr>
          </w:p>
        </w:tc>
        <w:tc>
          <w:tcPr>
            <w:tcW w:w="0" w:type="auto"/>
            <w:shd w:val="clear" w:color="auto" w:fill="auto"/>
            <w:vAlign w:val="center"/>
          </w:tcPr>
          <w:p w14:paraId="64A89F07" w14:textId="77777777" w:rsidR="008D6614" w:rsidRDefault="008D6614">
            <w:pPr>
              <w:rPr>
                <w:rFonts w:ascii="宋体"/>
                <w:vanish/>
              </w:rPr>
            </w:pPr>
          </w:p>
        </w:tc>
        <w:tc>
          <w:tcPr>
            <w:tcW w:w="5" w:type="pct"/>
            <w:shd w:val="clear" w:color="auto" w:fill="auto"/>
            <w:vAlign w:val="center"/>
          </w:tcPr>
          <w:p w14:paraId="64A89F08" w14:textId="77777777" w:rsidR="008D6614" w:rsidRDefault="008D6614">
            <w:pPr>
              <w:rPr>
                <w:rFonts w:ascii="宋体"/>
              </w:rPr>
            </w:pPr>
          </w:p>
        </w:tc>
        <w:tc>
          <w:tcPr>
            <w:tcW w:w="26" w:type="pct"/>
            <w:shd w:val="clear" w:color="auto" w:fill="auto"/>
            <w:vAlign w:val="center"/>
          </w:tcPr>
          <w:p w14:paraId="64A89F09" w14:textId="77777777" w:rsidR="008D6614" w:rsidRDefault="008D6614">
            <w:pPr>
              <w:rPr>
                <w:rFonts w:ascii="宋体"/>
              </w:rPr>
            </w:pPr>
          </w:p>
        </w:tc>
        <w:tc>
          <w:tcPr>
            <w:tcW w:w="5" w:type="pct"/>
            <w:shd w:val="clear" w:color="auto" w:fill="auto"/>
            <w:vAlign w:val="center"/>
          </w:tcPr>
          <w:p w14:paraId="64A89F0A" w14:textId="77777777" w:rsidR="008D6614" w:rsidRDefault="008D6614">
            <w:pPr>
              <w:rPr>
                <w:rFonts w:ascii="宋体"/>
              </w:rPr>
            </w:pPr>
          </w:p>
        </w:tc>
        <w:tc>
          <w:tcPr>
            <w:tcW w:w="50" w:type="pct"/>
            <w:shd w:val="clear" w:color="auto" w:fill="auto"/>
            <w:vAlign w:val="center"/>
          </w:tcPr>
          <w:p w14:paraId="64A89F0B" w14:textId="77777777" w:rsidR="008D6614" w:rsidRDefault="008D6614">
            <w:pPr>
              <w:rPr>
                <w:rFonts w:ascii="宋体"/>
              </w:rPr>
            </w:pPr>
          </w:p>
        </w:tc>
        <w:tc>
          <w:tcPr>
            <w:tcW w:w="536" w:type="pct"/>
            <w:shd w:val="clear" w:color="auto" w:fill="auto"/>
            <w:vAlign w:val="center"/>
          </w:tcPr>
          <w:p w14:paraId="64A89F0C" w14:textId="77777777" w:rsidR="008D6614" w:rsidRDefault="008D6614">
            <w:pPr>
              <w:rPr>
                <w:rFonts w:ascii="宋体"/>
              </w:rPr>
            </w:pPr>
          </w:p>
        </w:tc>
        <w:tc>
          <w:tcPr>
            <w:tcW w:w="50" w:type="pct"/>
            <w:shd w:val="clear" w:color="auto" w:fill="auto"/>
            <w:vAlign w:val="center"/>
          </w:tcPr>
          <w:p w14:paraId="64A89F0D" w14:textId="77777777" w:rsidR="008D6614" w:rsidRDefault="008D6614">
            <w:pPr>
              <w:rPr>
                <w:rFonts w:ascii="宋体"/>
              </w:rPr>
            </w:pPr>
          </w:p>
        </w:tc>
        <w:tc>
          <w:tcPr>
            <w:tcW w:w="5" w:type="pct"/>
            <w:shd w:val="clear" w:color="auto" w:fill="auto"/>
            <w:vAlign w:val="center"/>
          </w:tcPr>
          <w:p w14:paraId="64A89F0E" w14:textId="77777777" w:rsidR="008D6614" w:rsidRDefault="008D6614">
            <w:pPr>
              <w:rPr>
                <w:rFonts w:ascii="宋体"/>
              </w:rPr>
            </w:pPr>
          </w:p>
        </w:tc>
        <w:tc>
          <w:tcPr>
            <w:tcW w:w="26" w:type="pct"/>
            <w:shd w:val="clear" w:color="auto" w:fill="auto"/>
            <w:vAlign w:val="center"/>
          </w:tcPr>
          <w:p w14:paraId="64A89F0F" w14:textId="77777777" w:rsidR="008D6614" w:rsidRDefault="008D6614">
            <w:pPr>
              <w:rPr>
                <w:rFonts w:ascii="宋体"/>
              </w:rPr>
            </w:pPr>
          </w:p>
        </w:tc>
        <w:tc>
          <w:tcPr>
            <w:tcW w:w="5" w:type="pct"/>
            <w:shd w:val="clear" w:color="auto" w:fill="auto"/>
            <w:vAlign w:val="center"/>
          </w:tcPr>
          <w:p w14:paraId="64A89F10" w14:textId="77777777" w:rsidR="008D6614" w:rsidRDefault="008D6614">
            <w:pPr>
              <w:rPr>
                <w:rFonts w:ascii="宋体"/>
              </w:rPr>
            </w:pPr>
          </w:p>
        </w:tc>
        <w:tc>
          <w:tcPr>
            <w:tcW w:w="50" w:type="pct"/>
            <w:shd w:val="clear" w:color="auto" w:fill="auto"/>
            <w:vAlign w:val="center"/>
          </w:tcPr>
          <w:p w14:paraId="64A89F11" w14:textId="77777777" w:rsidR="008D6614" w:rsidRDefault="008D6614">
            <w:pPr>
              <w:rPr>
                <w:rFonts w:ascii="宋体"/>
              </w:rPr>
            </w:pPr>
          </w:p>
        </w:tc>
        <w:tc>
          <w:tcPr>
            <w:tcW w:w="536" w:type="pct"/>
            <w:shd w:val="clear" w:color="auto" w:fill="auto"/>
            <w:vAlign w:val="center"/>
          </w:tcPr>
          <w:p w14:paraId="64A89F12" w14:textId="77777777" w:rsidR="008D6614" w:rsidRDefault="008D6614">
            <w:pPr>
              <w:rPr>
                <w:rFonts w:ascii="宋体"/>
              </w:rPr>
            </w:pPr>
          </w:p>
        </w:tc>
        <w:tc>
          <w:tcPr>
            <w:tcW w:w="50" w:type="pct"/>
            <w:shd w:val="clear" w:color="auto" w:fill="auto"/>
            <w:vAlign w:val="center"/>
          </w:tcPr>
          <w:p w14:paraId="64A89F13" w14:textId="77777777" w:rsidR="008D6614" w:rsidRDefault="008D6614">
            <w:pPr>
              <w:rPr>
                <w:rFonts w:ascii="宋体"/>
              </w:rPr>
            </w:pPr>
          </w:p>
        </w:tc>
      </w:tr>
      <w:tr w:rsidR="008D6614" w14:paraId="64A89F1D" w14:textId="77777777">
        <w:trPr>
          <w:jc w:val="center"/>
        </w:trPr>
        <w:tc>
          <w:tcPr>
            <w:tcW w:w="0" w:type="auto"/>
            <w:gridSpan w:val="3"/>
            <w:shd w:val="clear" w:color="auto" w:fill="auto"/>
            <w:tcMar>
              <w:left w:w="20" w:type="dxa"/>
              <w:right w:w="20" w:type="dxa"/>
            </w:tcMar>
            <w:vAlign w:val="bottom"/>
          </w:tcPr>
          <w:p w14:paraId="64A89F15" w14:textId="77777777" w:rsidR="008D6614" w:rsidRDefault="008D6614">
            <w:pPr>
              <w:rPr>
                <w:rFonts w:ascii="宋体"/>
              </w:rPr>
            </w:pPr>
          </w:p>
        </w:tc>
        <w:tc>
          <w:tcPr>
            <w:tcW w:w="0" w:type="auto"/>
            <w:shd w:val="clear" w:color="auto" w:fill="auto"/>
            <w:vAlign w:val="center"/>
          </w:tcPr>
          <w:p w14:paraId="64A89F16" w14:textId="77777777" w:rsidR="008D6614" w:rsidRDefault="008D6614">
            <w:pPr>
              <w:rPr>
                <w:rFonts w:ascii="宋体"/>
                <w:vanish/>
              </w:rPr>
            </w:pPr>
          </w:p>
        </w:tc>
        <w:tc>
          <w:tcPr>
            <w:tcW w:w="0" w:type="auto"/>
            <w:shd w:val="clear" w:color="auto" w:fill="auto"/>
            <w:vAlign w:val="center"/>
          </w:tcPr>
          <w:p w14:paraId="64A89F17" w14:textId="77777777" w:rsidR="008D6614" w:rsidRDefault="008D6614">
            <w:pPr>
              <w:rPr>
                <w:rFonts w:ascii="宋体"/>
                <w:vanish/>
              </w:rPr>
            </w:pPr>
          </w:p>
        </w:tc>
        <w:tc>
          <w:tcPr>
            <w:tcW w:w="0" w:type="auto"/>
            <w:shd w:val="clear" w:color="auto" w:fill="auto"/>
            <w:vAlign w:val="center"/>
          </w:tcPr>
          <w:p w14:paraId="64A89F18"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F19"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9F1A"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vAlign w:val="center"/>
          </w:tcPr>
          <w:p w14:paraId="64A89F1B" w14:textId="77777777" w:rsidR="008D6614" w:rsidRDefault="008D6614">
            <w:pPr>
              <w:rPr>
                <w:rFonts w:ascii="宋体"/>
                <w:vanish/>
              </w:rPr>
            </w:pPr>
          </w:p>
        </w:tc>
        <w:tc>
          <w:tcPr>
            <w:tcW w:w="0" w:type="auto"/>
            <w:gridSpan w:val="3"/>
            <w:shd w:val="clear" w:color="auto" w:fill="auto"/>
            <w:vAlign w:val="center"/>
          </w:tcPr>
          <w:p w14:paraId="64A89F1C" w14:textId="77777777" w:rsidR="008D6614" w:rsidRDefault="008D6614">
            <w:pPr>
              <w:rPr>
                <w:rFonts w:ascii="宋体"/>
                <w:vanish/>
              </w:rPr>
            </w:pPr>
          </w:p>
        </w:tc>
      </w:tr>
      <w:tr w:rsidR="008D6614" w14:paraId="64A89F2C" w14:textId="77777777">
        <w:trPr>
          <w:jc w:val="center"/>
        </w:trPr>
        <w:tc>
          <w:tcPr>
            <w:tcW w:w="0" w:type="auto"/>
            <w:gridSpan w:val="3"/>
            <w:shd w:val="clear" w:color="auto" w:fill="auto"/>
            <w:tcMar>
              <w:top w:w="40" w:type="dxa"/>
              <w:left w:w="20" w:type="dxa"/>
              <w:bottom w:w="40" w:type="dxa"/>
              <w:right w:w="20" w:type="dxa"/>
            </w:tcMar>
            <w:vAlign w:val="bottom"/>
          </w:tcPr>
          <w:p w14:paraId="64A89F1E" w14:textId="77777777" w:rsidR="008D6614" w:rsidRDefault="00866AF2">
            <w:pPr>
              <w:textAlignment w:val="bottom"/>
            </w:pPr>
            <w:r>
              <w:rPr>
                <w:rFonts w:ascii="Arial" w:eastAsia="宋体" w:hAnsi="Arial" w:cs="Arial"/>
                <w:color w:val="000000"/>
                <w:sz w:val="16"/>
                <w:szCs w:val="16"/>
              </w:rPr>
              <w:t> </w:t>
            </w:r>
          </w:p>
        </w:tc>
        <w:tc>
          <w:tcPr>
            <w:tcW w:w="0" w:type="auto"/>
            <w:shd w:val="clear" w:color="auto" w:fill="auto"/>
            <w:vAlign w:val="center"/>
          </w:tcPr>
          <w:p w14:paraId="64A89F1F" w14:textId="77777777" w:rsidR="008D6614" w:rsidRDefault="008D6614">
            <w:pPr>
              <w:rPr>
                <w:rFonts w:ascii="宋体"/>
                <w:vanish/>
              </w:rPr>
            </w:pPr>
          </w:p>
        </w:tc>
        <w:tc>
          <w:tcPr>
            <w:tcW w:w="0" w:type="auto"/>
            <w:shd w:val="clear" w:color="auto" w:fill="auto"/>
            <w:vAlign w:val="center"/>
          </w:tcPr>
          <w:p w14:paraId="64A89F20" w14:textId="77777777" w:rsidR="008D6614" w:rsidRDefault="008D6614">
            <w:pPr>
              <w:rPr>
                <w:rFonts w:ascii="宋体"/>
                <w:vanish/>
              </w:rPr>
            </w:pPr>
          </w:p>
        </w:tc>
        <w:tc>
          <w:tcPr>
            <w:tcW w:w="0" w:type="auto"/>
            <w:shd w:val="clear" w:color="auto" w:fill="auto"/>
            <w:vAlign w:val="center"/>
          </w:tcPr>
          <w:p w14:paraId="64A89F21"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9F22"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9F23"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64A89F24" w14:textId="77777777" w:rsidR="008D6614" w:rsidRDefault="008D661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4A89F25"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9F26" w14:textId="77777777" w:rsidR="008D6614" w:rsidRDefault="008D6614">
            <w:pPr>
              <w:rPr>
                <w:rFonts w:ascii="宋体"/>
              </w:rPr>
            </w:pPr>
          </w:p>
        </w:tc>
        <w:tc>
          <w:tcPr>
            <w:tcW w:w="0" w:type="auto"/>
            <w:shd w:val="clear" w:color="auto" w:fill="auto"/>
            <w:vAlign w:val="center"/>
          </w:tcPr>
          <w:p w14:paraId="64A89F27" w14:textId="77777777" w:rsidR="008D6614" w:rsidRDefault="008D6614">
            <w:pPr>
              <w:rPr>
                <w:rFonts w:ascii="宋体"/>
              </w:rPr>
            </w:pPr>
          </w:p>
        </w:tc>
        <w:tc>
          <w:tcPr>
            <w:tcW w:w="0" w:type="auto"/>
            <w:shd w:val="clear" w:color="auto" w:fill="auto"/>
            <w:vAlign w:val="center"/>
          </w:tcPr>
          <w:p w14:paraId="64A89F28" w14:textId="77777777" w:rsidR="008D6614" w:rsidRDefault="008D6614">
            <w:pPr>
              <w:rPr>
                <w:rFonts w:ascii="宋体"/>
              </w:rPr>
            </w:pPr>
          </w:p>
        </w:tc>
        <w:tc>
          <w:tcPr>
            <w:tcW w:w="0" w:type="auto"/>
            <w:shd w:val="clear" w:color="auto" w:fill="auto"/>
            <w:vAlign w:val="center"/>
          </w:tcPr>
          <w:p w14:paraId="64A89F29" w14:textId="77777777" w:rsidR="008D6614" w:rsidRDefault="008D6614">
            <w:pPr>
              <w:rPr>
                <w:rFonts w:ascii="宋体"/>
              </w:rPr>
            </w:pPr>
          </w:p>
        </w:tc>
        <w:tc>
          <w:tcPr>
            <w:tcW w:w="0" w:type="auto"/>
            <w:shd w:val="clear" w:color="auto" w:fill="auto"/>
            <w:vAlign w:val="center"/>
          </w:tcPr>
          <w:p w14:paraId="64A89F2A" w14:textId="77777777" w:rsidR="008D6614" w:rsidRDefault="008D6614">
            <w:pPr>
              <w:rPr>
                <w:rFonts w:ascii="宋体"/>
              </w:rPr>
            </w:pPr>
          </w:p>
        </w:tc>
        <w:tc>
          <w:tcPr>
            <w:tcW w:w="0" w:type="auto"/>
            <w:shd w:val="clear" w:color="auto" w:fill="auto"/>
            <w:vAlign w:val="center"/>
          </w:tcPr>
          <w:p w14:paraId="64A89F2B" w14:textId="77777777" w:rsidR="008D6614" w:rsidRDefault="008D6614">
            <w:pPr>
              <w:rPr>
                <w:rFonts w:ascii="宋体"/>
              </w:rPr>
            </w:pPr>
          </w:p>
        </w:tc>
      </w:tr>
      <w:tr w:rsidR="008D6614" w14:paraId="64A89F3F" w14:textId="77777777">
        <w:trPr>
          <w:jc w:val="center"/>
        </w:trPr>
        <w:tc>
          <w:tcPr>
            <w:tcW w:w="0" w:type="auto"/>
            <w:gridSpan w:val="3"/>
            <w:shd w:val="clear" w:color="auto" w:fill="E2E2E2"/>
            <w:tcMar>
              <w:top w:w="40" w:type="dxa"/>
              <w:left w:w="20" w:type="dxa"/>
              <w:bottom w:w="40" w:type="dxa"/>
              <w:right w:w="20" w:type="dxa"/>
            </w:tcMar>
            <w:vAlign w:val="bottom"/>
          </w:tcPr>
          <w:p w14:paraId="64A89F2D" w14:textId="77777777" w:rsidR="008D6614" w:rsidRDefault="00866AF2">
            <w:pPr>
              <w:textAlignment w:val="bottom"/>
            </w:pPr>
            <w:r>
              <w:rPr>
                <w:rFonts w:ascii="Arial" w:eastAsia="宋体" w:hAnsi="Arial" w:cs="Arial"/>
                <w:color w:val="000000"/>
                <w:sz w:val="18"/>
                <w:szCs w:val="18"/>
              </w:rPr>
              <w:t>Gain (loss) attributable to changes in the fair value of warrant recognized in interest and other, net</w:t>
            </w:r>
          </w:p>
        </w:tc>
        <w:tc>
          <w:tcPr>
            <w:tcW w:w="0" w:type="auto"/>
            <w:shd w:val="clear" w:color="auto" w:fill="auto"/>
            <w:vAlign w:val="center"/>
          </w:tcPr>
          <w:p w14:paraId="64A89F2E" w14:textId="77777777" w:rsidR="008D6614" w:rsidRDefault="008D6614">
            <w:pPr>
              <w:rPr>
                <w:rFonts w:ascii="宋体"/>
                <w:vanish/>
              </w:rPr>
            </w:pPr>
          </w:p>
        </w:tc>
        <w:tc>
          <w:tcPr>
            <w:tcW w:w="0" w:type="auto"/>
            <w:shd w:val="clear" w:color="auto" w:fill="auto"/>
            <w:vAlign w:val="center"/>
          </w:tcPr>
          <w:p w14:paraId="64A89F2F" w14:textId="77777777" w:rsidR="008D6614" w:rsidRDefault="008D6614">
            <w:pPr>
              <w:rPr>
                <w:rFonts w:ascii="宋体"/>
                <w:vanish/>
              </w:rPr>
            </w:pPr>
          </w:p>
        </w:tc>
        <w:tc>
          <w:tcPr>
            <w:tcW w:w="0" w:type="auto"/>
            <w:shd w:val="clear" w:color="auto" w:fill="auto"/>
            <w:vAlign w:val="center"/>
          </w:tcPr>
          <w:p w14:paraId="64A89F30"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9F31"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F3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F33" w14:textId="77777777" w:rsidR="008D6614" w:rsidRDefault="00866AF2">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2E2E2"/>
            <w:tcMar>
              <w:top w:w="40" w:type="dxa"/>
              <w:bottom w:w="40" w:type="dxa"/>
              <w:right w:w="20" w:type="dxa"/>
            </w:tcMar>
            <w:vAlign w:val="bottom"/>
          </w:tcPr>
          <w:p w14:paraId="64A89F3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F35"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F3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F37" w14:textId="77777777" w:rsidR="008D6614" w:rsidRDefault="00866AF2">
            <w:pPr>
              <w:jc w:val="right"/>
              <w:textAlignment w:val="bottom"/>
            </w:pPr>
            <w:r>
              <w:rPr>
                <w:rFonts w:ascii="Arial" w:eastAsia="宋体" w:hAnsi="Arial" w:cs="Arial"/>
                <w:color w:val="000000"/>
                <w:sz w:val="18"/>
                <w:szCs w:val="18"/>
              </w:rPr>
              <w:t>113 </w:t>
            </w:r>
          </w:p>
        </w:tc>
        <w:tc>
          <w:tcPr>
            <w:tcW w:w="0" w:type="auto"/>
            <w:tcBorders>
              <w:top w:val="single" w:sz="8" w:space="0" w:color="000000"/>
            </w:tcBorders>
            <w:shd w:val="clear" w:color="auto" w:fill="E2E2E2"/>
            <w:tcMar>
              <w:top w:w="40" w:type="dxa"/>
              <w:bottom w:w="40" w:type="dxa"/>
              <w:right w:w="20" w:type="dxa"/>
            </w:tcMar>
            <w:vAlign w:val="bottom"/>
          </w:tcPr>
          <w:p w14:paraId="64A89F3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9F39" w14:textId="77777777" w:rsidR="008D6614" w:rsidRDefault="008D6614">
            <w:pPr>
              <w:rPr>
                <w:rFonts w:ascii="宋体"/>
              </w:rPr>
            </w:pPr>
          </w:p>
        </w:tc>
        <w:tc>
          <w:tcPr>
            <w:tcW w:w="0" w:type="auto"/>
            <w:shd w:val="clear" w:color="auto" w:fill="auto"/>
            <w:vAlign w:val="center"/>
          </w:tcPr>
          <w:p w14:paraId="64A89F3A" w14:textId="77777777" w:rsidR="008D6614" w:rsidRDefault="008D6614">
            <w:pPr>
              <w:rPr>
                <w:rFonts w:ascii="宋体"/>
              </w:rPr>
            </w:pPr>
          </w:p>
        </w:tc>
        <w:tc>
          <w:tcPr>
            <w:tcW w:w="0" w:type="auto"/>
            <w:shd w:val="clear" w:color="auto" w:fill="auto"/>
            <w:vAlign w:val="center"/>
          </w:tcPr>
          <w:p w14:paraId="64A89F3B" w14:textId="77777777" w:rsidR="008D6614" w:rsidRDefault="008D6614">
            <w:pPr>
              <w:rPr>
                <w:rFonts w:ascii="宋体"/>
              </w:rPr>
            </w:pPr>
          </w:p>
        </w:tc>
        <w:tc>
          <w:tcPr>
            <w:tcW w:w="0" w:type="auto"/>
            <w:shd w:val="clear" w:color="auto" w:fill="auto"/>
            <w:vAlign w:val="center"/>
          </w:tcPr>
          <w:p w14:paraId="64A89F3C" w14:textId="77777777" w:rsidR="008D6614" w:rsidRDefault="008D6614">
            <w:pPr>
              <w:rPr>
                <w:rFonts w:ascii="宋体"/>
              </w:rPr>
            </w:pPr>
          </w:p>
        </w:tc>
        <w:tc>
          <w:tcPr>
            <w:tcW w:w="0" w:type="auto"/>
            <w:shd w:val="clear" w:color="auto" w:fill="auto"/>
            <w:vAlign w:val="center"/>
          </w:tcPr>
          <w:p w14:paraId="64A89F3D" w14:textId="77777777" w:rsidR="008D6614" w:rsidRDefault="008D6614">
            <w:pPr>
              <w:rPr>
                <w:rFonts w:ascii="宋体"/>
              </w:rPr>
            </w:pPr>
          </w:p>
        </w:tc>
        <w:tc>
          <w:tcPr>
            <w:tcW w:w="0" w:type="auto"/>
            <w:shd w:val="clear" w:color="auto" w:fill="auto"/>
            <w:vAlign w:val="center"/>
          </w:tcPr>
          <w:p w14:paraId="64A89F3E" w14:textId="77777777" w:rsidR="008D6614" w:rsidRDefault="008D6614">
            <w:pPr>
              <w:rPr>
                <w:rFonts w:ascii="宋体"/>
              </w:rPr>
            </w:pPr>
          </w:p>
        </w:tc>
      </w:tr>
    </w:tbl>
    <w:p w14:paraId="64A89F40" w14:textId="77777777" w:rsidR="008D6614" w:rsidRDefault="008D6614"/>
    <w:p w14:paraId="64A89F41" w14:textId="77777777" w:rsidR="008D6614" w:rsidRDefault="00866AF2">
      <w:r>
        <w:rPr>
          <w:rFonts w:ascii="Arial" w:eastAsia="宋体" w:hAnsi="Arial" w:cs="Arial"/>
          <w:b/>
          <w:bCs/>
          <w:i/>
          <w:iCs/>
          <w:color w:val="000000"/>
          <w:sz w:val="20"/>
          <w:szCs w:val="20"/>
        </w:rPr>
        <w:t>Notional Amounts of Derivative Contracts</w:t>
      </w:r>
    </w:p>
    <w:p w14:paraId="64A89F42" w14:textId="77777777" w:rsidR="008D6614" w:rsidRDefault="008D6614"/>
    <w:p w14:paraId="64A89F43" w14:textId="77777777" w:rsidR="008D6614" w:rsidRDefault="00866AF2">
      <w:pPr>
        <w:ind w:firstLine="540"/>
        <w:jc w:val="both"/>
      </w:pPr>
      <w:r>
        <w:rPr>
          <w:rFonts w:ascii="Arial" w:eastAsia="宋体" w:hAnsi="Arial" w:cs="Arial"/>
          <w:color w:val="000000"/>
          <w:sz w:val="20"/>
          <w:szCs w:val="20"/>
        </w:rPr>
        <w:t xml:space="preserve">Derivative transactions are measured in terms of the notional amount, but this amount is not recorded on the balance sheet and is not, when viewed in isolation, a meaningful measure of the risk profile of the </w:t>
      </w:r>
      <w:r>
        <w:rPr>
          <w:rFonts w:ascii="Arial" w:eastAsia="宋体" w:hAnsi="Arial" w:cs="Arial"/>
          <w:color w:val="000000"/>
          <w:sz w:val="20"/>
          <w:szCs w:val="20"/>
        </w:rPr>
        <w:t>instruments. The notional amount is generally not exchanged, but is used only as the basis on which the value of foreign exchange payments under these contracts are determined. The following table provides the notional amounts of our outstanding derivative</w:t>
      </w:r>
      <w:r>
        <w:rPr>
          <w:rFonts w:ascii="Arial" w:eastAsia="宋体" w:hAnsi="Arial" w:cs="Arial"/>
          <w:color w:val="000000"/>
          <w:sz w:val="20"/>
          <w:szCs w:val="20"/>
        </w:rPr>
        <w:t>s (in millions):</w:t>
      </w:r>
    </w:p>
    <w:tbl>
      <w:tblPr>
        <w:tblW w:w="4985" w:type="pct"/>
        <w:tblCellMar>
          <w:top w:w="15" w:type="dxa"/>
          <w:left w:w="15" w:type="dxa"/>
          <w:bottom w:w="15" w:type="dxa"/>
          <w:right w:w="15" w:type="dxa"/>
        </w:tblCellMar>
        <w:tblLook w:val="04A0" w:firstRow="1" w:lastRow="0" w:firstColumn="1" w:lastColumn="0" w:noHBand="0" w:noVBand="1"/>
      </w:tblPr>
      <w:tblGrid>
        <w:gridCol w:w="55"/>
        <w:gridCol w:w="5522"/>
        <w:gridCol w:w="55"/>
        <w:gridCol w:w="136"/>
        <w:gridCol w:w="1073"/>
        <w:gridCol w:w="86"/>
        <w:gridCol w:w="36"/>
        <w:gridCol w:w="36"/>
        <w:gridCol w:w="36"/>
        <w:gridCol w:w="137"/>
        <w:gridCol w:w="1053"/>
        <w:gridCol w:w="86"/>
      </w:tblGrid>
      <w:tr w:rsidR="008D6614" w14:paraId="64A89F50" w14:textId="77777777">
        <w:tc>
          <w:tcPr>
            <w:tcW w:w="50" w:type="pct"/>
            <w:shd w:val="clear" w:color="auto" w:fill="auto"/>
            <w:vAlign w:val="center"/>
          </w:tcPr>
          <w:p w14:paraId="64A89F44" w14:textId="77777777" w:rsidR="008D6614" w:rsidRDefault="008D6614">
            <w:pPr>
              <w:rPr>
                <w:rFonts w:ascii="宋体"/>
              </w:rPr>
            </w:pPr>
          </w:p>
        </w:tc>
        <w:tc>
          <w:tcPr>
            <w:tcW w:w="3338" w:type="pct"/>
            <w:shd w:val="clear" w:color="auto" w:fill="auto"/>
            <w:vAlign w:val="center"/>
          </w:tcPr>
          <w:p w14:paraId="64A89F45" w14:textId="77777777" w:rsidR="008D6614" w:rsidRDefault="008D6614">
            <w:pPr>
              <w:rPr>
                <w:rFonts w:ascii="宋体"/>
              </w:rPr>
            </w:pPr>
          </w:p>
        </w:tc>
        <w:tc>
          <w:tcPr>
            <w:tcW w:w="50" w:type="pct"/>
            <w:shd w:val="clear" w:color="auto" w:fill="auto"/>
            <w:vAlign w:val="center"/>
          </w:tcPr>
          <w:p w14:paraId="64A89F46" w14:textId="77777777" w:rsidR="008D6614" w:rsidRDefault="008D6614">
            <w:pPr>
              <w:rPr>
                <w:rFonts w:ascii="宋体"/>
              </w:rPr>
            </w:pPr>
          </w:p>
        </w:tc>
        <w:tc>
          <w:tcPr>
            <w:tcW w:w="50" w:type="pct"/>
            <w:shd w:val="clear" w:color="auto" w:fill="auto"/>
            <w:vAlign w:val="center"/>
          </w:tcPr>
          <w:p w14:paraId="64A89F47" w14:textId="77777777" w:rsidR="008D6614" w:rsidRDefault="008D6614">
            <w:pPr>
              <w:rPr>
                <w:rFonts w:ascii="宋体"/>
              </w:rPr>
            </w:pPr>
          </w:p>
        </w:tc>
        <w:tc>
          <w:tcPr>
            <w:tcW w:w="662" w:type="pct"/>
            <w:shd w:val="clear" w:color="auto" w:fill="auto"/>
            <w:vAlign w:val="center"/>
          </w:tcPr>
          <w:p w14:paraId="64A89F48" w14:textId="77777777" w:rsidR="008D6614" w:rsidRDefault="008D6614">
            <w:pPr>
              <w:rPr>
                <w:rFonts w:ascii="宋体"/>
              </w:rPr>
            </w:pPr>
          </w:p>
        </w:tc>
        <w:tc>
          <w:tcPr>
            <w:tcW w:w="50" w:type="pct"/>
            <w:shd w:val="clear" w:color="auto" w:fill="auto"/>
            <w:vAlign w:val="center"/>
          </w:tcPr>
          <w:p w14:paraId="64A89F49" w14:textId="77777777" w:rsidR="008D6614" w:rsidRDefault="008D6614">
            <w:pPr>
              <w:rPr>
                <w:rFonts w:ascii="宋体"/>
              </w:rPr>
            </w:pPr>
          </w:p>
        </w:tc>
        <w:tc>
          <w:tcPr>
            <w:tcW w:w="5" w:type="pct"/>
            <w:shd w:val="clear" w:color="auto" w:fill="auto"/>
            <w:vAlign w:val="center"/>
          </w:tcPr>
          <w:p w14:paraId="64A89F4A" w14:textId="77777777" w:rsidR="008D6614" w:rsidRDefault="008D6614">
            <w:pPr>
              <w:rPr>
                <w:rFonts w:ascii="宋体"/>
              </w:rPr>
            </w:pPr>
          </w:p>
        </w:tc>
        <w:tc>
          <w:tcPr>
            <w:tcW w:w="26" w:type="pct"/>
            <w:shd w:val="clear" w:color="auto" w:fill="auto"/>
            <w:vAlign w:val="center"/>
          </w:tcPr>
          <w:p w14:paraId="64A89F4B" w14:textId="77777777" w:rsidR="008D6614" w:rsidRDefault="008D6614">
            <w:pPr>
              <w:rPr>
                <w:rFonts w:ascii="宋体"/>
              </w:rPr>
            </w:pPr>
          </w:p>
        </w:tc>
        <w:tc>
          <w:tcPr>
            <w:tcW w:w="5" w:type="pct"/>
            <w:shd w:val="clear" w:color="auto" w:fill="auto"/>
            <w:vAlign w:val="center"/>
          </w:tcPr>
          <w:p w14:paraId="64A89F4C" w14:textId="77777777" w:rsidR="008D6614" w:rsidRDefault="008D6614">
            <w:pPr>
              <w:rPr>
                <w:rFonts w:ascii="宋体"/>
              </w:rPr>
            </w:pPr>
          </w:p>
        </w:tc>
        <w:tc>
          <w:tcPr>
            <w:tcW w:w="50" w:type="pct"/>
            <w:shd w:val="clear" w:color="auto" w:fill="auto"/>
            <w:vAlign w:val="center"/>
          </w:tcPr>
          <w:p w14:paraId="64A89F4D" w14:textId="77777777" w:rsidR="008D6614" w:rsidRDefault="008D6614">
            <w:pPr>
              <w:rPr>
                <w:rFonts w:ascii="宋体"/>
              </w:rPr>
            </w:pPr>
          </w:p>
        </w:tc>
        <w:tc>
          <w:tcPr>
            <w:tcW w:w="662" w:type="pct"/>
            <w:shd w:val="clear" w:color="auto" w:fill="auto"/>
            <w:vAlign w:val="center"/>
          </w:tcPr>
          <w:p w14:paraId="64A89F4E" w14:textId="77777777" w:rsidR="008D6614" w:rsidRDefault="008D6614">
            <w:pPr>
              <w:rPr>
                <w:rFonts w:ascii="宋体"/>
              </w:rPr>
            </w:pPr>
          </w:p>
        </w:tc>
        <w:tc>
          <w:tcPr>
            <w:tcW w:w="50" w:type="pct"/>
            <w:shd w:val="clear" w:color="auto" w:fill="auto"/>
            <w:vAlign w:val="center"/>
          </w:tcPr>
          <w:p w14:paraId="64A89F4F" w14:textId="77777777" w:rsidR="008D6614" w:rsidRDefault="008D6614">
            <w:pPr>
              <w:rPr>
                <w:rFonts w:ascii="宋体"/>
              </w:rPr>
            </w:pPr>
          </w:p>
        </w:tc>
      </w:tr>
      <w:tr w:rsidR="008D6614" w14:paraId="64A89F55" w14:textId="77777777">
        <w:tc>
          <w:tcPr>
            <w:tcW w:w="0" w:type="auto"/>
            <w:gridSpan w:val="3"/>
            <w:shd w:val="clear" w:color="auto" w:fill="auto"/>
            <w:tcMar>
              <w:left w:w="20" w:type="dxa"/>
              <w:right w:w="20" w:type="dxa"/>
            </w:tcMar>
            <w:vAlign w:val="bottom"/>
          </w:tcPr>
          <w:p w14:paraId="64A89F51"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F52" w14:textId="77777777" w:rsidR="008D6614" w:rsidRDefault="00866AF2">
            <w:pPr>
              <w:jc w:val="center"/>
              <w:textAlignment w:val="bottom"/>
            </w:pPr>
            <w:r>
              <w:rPr>
                <w:rFonts w:ascii="Arial" w:eastAsia="宋体" w:hAnsi="Arial" w:cs="Arial"/>
                <w:b/>
                <w:bCs/>
                <w:color w:val="000000"/>
                <w:sz w:val="16"/>
                <w:szCs w:val="16"/>
              </w:rPr>
              <w:t>March 31,</w:t>
            </w:r>
            <w:r>
              <w:rPr>
                <w:rFonts w:ascii="Arial" w:eastAsia="宋体" w:hAnsi="Arial" w:cs="Arial"/>
                <w:b/>
                <w:bCs/>
                <w:color w:val="000000"/>
                <w:sz w:val="16"/>
                <w:szCs w:val="16"/>
              </w:rPr>
              <w:br/>
              <w:t>2020</w:t>
            </w:r>
          </w:p>
        </w:tc>
        <w:tc>
          <w:tcPr>
            <w:tcW w:w="0" w:type="auto"/>
            <w:gridSpan w:val="3"/>
            <w:shd w:val="clear" w:color="auto" w:fill="auto"/>
            <w:tcMar>
              <w:left w:w="20" w:type="dxa"/>
              <w:right w:w="20" w:type="dxa"/>
            </w:tcMar>
            <w:vAlign w:val="bottom"/>
          </w:tcPr>
          <w:p w14:paraId="64A89F53"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9F54" w14:textId="77777777" w:rsidR="008D6614" w:rsidRDefault="00866AF2">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8D6614" w14:paraId="64A89F5E" w14:textId="77777777">
        <w:tc>
          <w:tcPr>
            <w:tcW w:w="0" w:type="auto"/>
            <w:gridSpan w:val="3"/>
            <w:shd w:val="clear" w:color="auto" w:fill="E2E2E2"/>
            <w:tcMar>
              <w:top w:w="40" w:type="dxa"/>
              <w:left w:w="20" w:type="dxa"/>
              <w:bottom w:w="40" w:type="dxa"/>
              <w:right w:w="20" w:type="dxa"/>
            </w:tcMar>
            <w:vAlign w:val="bottom"/>
          </w:tcPr>
          <w:p w14:paraId="64A89F56" w14:textId="77777777" w:rsidR="008D6614" w:rsidRDefault="00866AF2">
            <w:pPr>
              <w:textAlignment w:val="bottom"/>
            </w:pPr>
            <w:r>
              <w:rPr>
                <w:rFonts w:ascii="Arial" w:eastAsia="宋体" w:hAnsi="Arial" w:cs="Arial"/>
                <w:color w:val="000000"/>
                <w:sz w:val="18"/>
                <w:szCs w:val="18"/>
              </w:rPr>
              <w:t>Foreign exchange contracts designated as cash flow hedges</w:t>
            </w:r>
          </w:p>
        </w:tc>
        <w:tc>
          <w:tcPr>
            <w:tcW w:w="0" w:type="auto"/>
            <w:tcBorders>
              <w:top w:val="single" w:sz="8" w:space="0" w:color="000000"/>
            </w:tcBorders>
            <w:shd w:val="clear" w:color="auto" w:fill="E2E2E2"/>
            <w:tcMar>
              <w:top w:w="40" w:type="dxa"/>
              <w:left w:w="20" w:type="dxa"/>
              <w:bottom w:w="40" w:type="dxa"/>
            </w:tcMar>
            <w:vAlign w:val="bottom"/>
          </w:tcPr>
          <w:p w14:paraId="64A89F57"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F58" w14:textId="77777777" w:rsidR="008D6614" w:rsidRDefault="00866AF2">
            <w:pPr>
              <w:jc w:val="right"/>
              <w:textAlignment w:val="bottom"/>
            </w:pPr>
            <w:r>
              <w:rPr>
                <w:rFonts w:ascii="Arial" w:eastAsia="宋体" w:hAnsi="Arial" w:cs="Arial"/>
                <w:color w:val="000000"/>
                <w:sz w:val="18"/>
                <w:szCs w:val="18"/>
              </w:rPr>
              <w:t>2,023 </w:t>
            </w:r>
          </w:p>
        </w:tc>
        <w:tc>
          <w:tcPr>
            <w:tcW w:w="0" w:type="auto"/>
            <w:tcBorders>
              <w:top w:val="single" w:sz="8" w:space="0" w:color="000000"/>
            </w:tcBorders>
            <w:shd w:val="clear" w:color="auto" w:fill="E2E2E2"/>
            <w:tcMar>
              <w:top w:w="40" w:type="dxa"/>
              <w:bottom w:w="40" w:type="dxa"/>
              <w:right w:w="20" w:type="dxa"/>
            </w:tcMar>
            <w:vAlign w:val="bottom"/>
          </w:tcPr>
          <w:p w14:paraId="64A89F5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F5A"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9F5B"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9F5C" w14:textId="77777777" w:rsidR="008D6614" w:rsidRDefault="00866AF2">
            <w:pPr>
              <w:jc w:val="right"/>
              <w:textAlignment w:val="bottom"/>
            </w:pPr>
            <w:r>
              <w:rPr>
                <w:rFonts w:ascii="Arial" w:eastAsia="宋体" w:hAnsi="Arial" w:cs="Arial"/>
                <w:color w:val="000000"/>
                <w:sz w:val="18"/>
                <w:szCs w:val="18"/>
              </w:rPr>
              <w:t>1,983 </w:t>
            </w:r>
          </w:p>
        </w:tc>
        <w:tc>
          <w:tcPr>
            <w:tcW w:w="0" w:type="auto"/>
            <w:tcBorders>
              <w:top w:val="single" w:sz="8" w:space="0" w:color="000000"/>
            </w:tcBorders>
            <w:shd w:val="clear" w:color="auto" w:fill="E2E2E2"/>
            <w:tcMar>
              <w:top w:w="40" w:type="dxa"/>
              <w:bottom w:w="40" w:type="dxa"/>
              <w:right w:w="20" w:type="dxa"/>
            </w:tcMar>
            <w:vAlign w:val="bottom"/>
          </w:tcPr>
          <w:p w14:paraId="64A89F5D" w14:textId="77777777" w:rsidR="008D6614" w:rsidRDefault="00866AF2">
            <w:pPr>
              <w:jc w:val="right"/>
              <w:textAlignment w:val="bottom"/>
            </w:pPr>
            <w:r>
              <w:rPr>
                <w:rFonts w:ascii="Arial" w:eastAsia="宋体" w:hAnsi="Arial" w:cs="Arial"/>
                <w:color w:val="000000"/>
                <w:sz w:val="18"/>
                <w:szCs w:val="18"/>
              </w:rPr>
              <w:t> </w:t>
            </w:r>
          </w:p>
        </w:tc>
      </w:tr>
      <w:tr w:rsidR="008D6614" w14:paraId="64A89F65" w14:textId="77777777">
        <w:tc>
          <w:tcPr>
            <w:tcW w:w="0" w:type="auto"/>
            <w:gridSpan w:val="3"/>
            <w:shd w:val="clear" w:color="auto" w:fill="FFFFFF"/>
            <w:tcMar>
              <w:top w:w="40" w:type="dxa"/>
              <w:left w:w="20" w:type="dxa"/>
              <w:bottom w:w="40" w:type="dxa"/>
              <w:right w:w="20" w:type="dxa"/>
            </w:tcMar>
            <w:vAlign w:val="bottom"/>
          </w:tcPr>
          <w:p w14:paraId="64A89F5F" w14:textId="77777777" w:rsidR="008D6614" w:rsidRDefault="00866AF2">
            <w:pPr>
              <w:textAlignment w:val="bottom"/>
            </w:pPr>
            <w:r>
              <w:rPr>
                <w:rFonts w:ascii="Arial" w:eastAsia="宋体" w:hAnsi="Arial" w:cs="Arial"/>
                <w:color w:val="000000"/>
                <w:sz w:val="18"/>
                <w:szCs w:val="18"/>
              </w:rPr>
              <w:t>Foreign exchange contracts designated as net investment hedges</w:t>
            </w:r>
          </w:p>
        </w:tc>
        <w:tc>
          <w:tcPr>
            <w:tcW w:w="0" w:type="auto"/>
            <w:gridSpan w:val="2"/>
            <w:shd w:val="clear" w:color="auto" w:fill="FFFFFF"/>
            <w:tcMar>
              <w:top w:w="40" w:type="dxa"/>
              <w:left w:w="20" w:type="dxa"/>
              <w:bottom w:w="40" w:type="dxa"/>
              <w:right w:w="0" w:type="dxa"/>
            </w:tcMar>
            <w:vAlign w:val="bottom"/>
          </w:tcPr>
          <w:p w14:paraId="64A89F60" w14:textId="77777777" w:rsidR="008D6614" w:rsidRDefault="00866AF2">
            <w:pPr>
              <w:jc w:val="right"/>
              <w:textAlignment w:val="bottom"/>
            </w:pPr>
            <w:r>
              <w:rPr>
                <w:rFonts w:ascii="Arial" w:eastAsia="宋体" w:hAnsi="Arial" w:cs="Arial"/>
                <w:color w:val="000000"/>
                <w:sz w:val="18"/>
                <w:szCs w:val="18"/>
              </w:rPr>
              <w:t>165 </w:t>
            </w:r>
          </w:p>
        </w:tc>
        <w:tc>
          <w:tcPr>
            <w:tcW w:w="0" w:type="auto"/>
            <w:shd w:val="clear" w:color="auto" w:fill="FFFFFF"/>
            <w:tcMar>
              <w:top w:w="40" w:type="dxa"/>
              <w:bottom w:w="40" w:type="dxa"/>
              <w:right w:w="20" w:type="dxa"/>
            </w:tcMar>
            <w:vAlign w:val="bottom"/>
          </w:tcPr>
          <w:p w14:paraId="64A89F6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F62"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F63" w14:textId="77777777" w:rsidR="008D6614" w:rsidRDefault="00866AF2">
            <w:pPr>
              <w:jc w:val="right"/>
              <w:textAlignment w:val="bottom"/>
            </w:pPr>
            <w:r>
              <w:rPr>
                <w:rFonts w:ascii="Arial" w:eastAsia="宋体" w:hAnsi="Arial" w:cs="Arial"/>
                <w:color w:val="000000"/>
                <w:sz w:val="18"/>
                <w:szCs w:val="18"/>
              </w:rPr>
              <w:t>200 </w:t>
            </w:r>
          </w:p>
        </w:tc>
        <w:tc>
          <w:tcPr>
            <w:tcW w:w="0" w:type="auto"/>
            <w:shd w:val="clear" w:color="auto" w:fill="FFFFFF"/>
            <w:tcMar>
              <w:top w:w="40" w:type="dxa"/>
              <w:bottom w:w="40" w:type="dxa"/>
              <w:right w:w="20" w:type="dxa"/>
            </w:tcMar>
            <w:vAlign w:val="bottom"/>
          </w:tcPr>
          <w:p w14:paraId="64A89F64" w14:textId="77777777" w:rsidR="008D6614" w:rsidRDefault="00866AF2">
            <w:pPr>
              <w:jc w:val="right"/>
              <w:textAlignment w:val="bottom"/>
            </w:pPr>
            <w:r>
              <w:rPr>
                <w:rFonts w:ascii="Arial" w:eastAsia="宋体" w:hAnsi="Arial" w:cs="Arial"/>
                <w:color w:val="000000"/>
                <w:sz w:val="18"/>
                <w:szCs w:val="18"/>
              </w:rPr>
              <w:t> </w:t>
            </w:r>
          </w:p>
        </w:tc>
      </w:tr>
      <w:tr w:rsidR="008D6614" w14:paraId="64A89F6C" w14:textId="77777777">
        <w:tc>
          <w:tcPr>
            <w:tcW w:w="0" w:type="auto"/>
            <w:gridSpan w:val="3"/>
            <w:shd w:val="clear" w:color="auto" w:fill="E2E2E2"/>
            <w:tcMar>
              <w:top w:w="40" w:type="dxa"/>
              <w:left w:w="20" w:type="dxa"/>
              <w:bottom w:w="40" w:type="dxa"/>
              <w:right w:w="20" w:type="dxa"/>
            </w:tcMar>
            <w:vAlign w:val="bottom"/>
          </w:tcPr>
          <w:p w14:paraId="64A89F66" w14:textId="77777777" w:rsidR="008D6614" w:rsidRDefault="00866AF2">
            <w:pPr>
              <w:textAlignment w:val="bottom"/>
            </w:pPr>
            <w:r>
              <w:rPr>
                <w:rFonts w:ascii="Arial" w:eastAsia="宋体" w:hAnsi="Arial" w:cs="Arial"/>
                <w:color w:val="000000"/>
                <w:sz w:val="18"/>
                <w:szCs w:val="18"/>
              </w:rPr>
              <w:t xml:space="preserve">Foreign exchange </w:t>
            </w:r>
            <w:r>
              <w:rPr>
                <w:rFonts w:ascii="Arial" w:eastAsia="宋体" w:hAnsi="Arial" w:cs="Arial"/>
                <w:color w:val="000000"/>
                <w:sz w:val="18"/>
                <w:szCs w:val="18"/>
              </w:rPr>
              <w:t>contracts not designated as hedging instruments</w:t>
            </w:r>
          </w:p>
        </w:tc>
        <w:tc>
          <w:tcPr>
            <w:tcW w:w="0" w:type="auto"/>
            <w:gridSpan w:val="2"/>
            <w:shd w:val="clear" w:color="auto" w:fill="E2E2E2"/>
            <w:tcMar>
              <w:top w:w="40" w:type="dxa"/>
              <w:left w:w="20" w:type="dxa"/>
              <w:bottom w:w="40" w:type="dxa"/>
              <w:right w:w="0" w:type="dxa"/>
            </w:tcMar>
            <w:vAlign w:val="bottom"/>
          </w:tcPr>
          <w:p w14:paraId="64A89F67" w14:textId="77777777" w:rsidR="008D6614" w:rsidRDefault="00866AF2">
            <w:pPr>
              <w:jc w:val="right"/>
              <w:textAlignment w:val="bottom"/>
            </w:pPr>
            <w:r>
              <w:rPr>
                <w:rFonts w:ascii="Arial" w:eastAsia="宋体" w:hAnsi="Arial" w:cs="Arial"/>
                <w:color w:val="000000"/>
                <w:sz w:val="18"/>
                <w:szCs w:val="18"/>
              </w:rPr>
              <w:t>2,006 </w:t>
            </w:r>
          </w:p>
        </w:tc>
        <w:tc>
          <w:tcPr>
            <w:tcW w:w="0" w:type="auto"/>
            <w:shd w:val="clear" w:color="auto" w:fill="E2E2E2"/>
            <w:tcMar>
              <w:top w:w="40" w:type="dxa"/>
              <w:bottom w:w="40" w:type="dxa"/>
              <w:right w:w="20" w:type="dxa"/>
            </w:tcMar>
            <w:vAlign w:val="bottom"/>
          </w:tcPr>
          <w:p w14:paraId="64A89F6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F6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F6A" w14:textId="77777777" w:rsidR="008D6614" w:rsidRDefault="00866AF2">
            <w:pPr>
              <w:jc w:val="right"/>
              <w:textAlignment w:val="bottom"/>
            </w:pPr>
            <w:r>
              <w:rPr>
                <w:rFonts w:ascii="Arial" w:eastAsia="宋体" w:hAnsi="Arial" w:cs="Arial"/>
                <w:color w:val="000000"/>
                <w:sz w:val="18"/>
                <w:szCs w:val="18"/>
              </w:rPr>
              <w:t>2,439 </w:t>
            </w:r>
          </w:p>
        </w:tc>
        <w:tc>
          <w:tcPr>
            <w:tcW w:w="0" w:type="auto"/>
            <w:shd w:val="clear" w:color="auto" w:fill="E2E2E2"/>
            <w:tcMar>
              <w:top w:w="40" w:type="dxa"/>
              <w:bottom w:w="40" w:type="dxa"/>
              <w:right w:w="20" w:type="dxa"/>
            </w:tcMar>
            <w:vAlign w:val="bottom"/>
          </w:tcPr>
          <w:p w14:paraId="64A89F6B" w14:textId="77777777" w:rsidR="008D6614" w:rsidRDefault="00866AF2">
            <w:pPr>
              <w:jc w:val="right"/>
              <w:textAlignment w:val="bottom"/>
            </w:pPr>
            <w:r>
              <w:rPr>
                <w:rFonts w:ascii="Arial" w:eastAsia="宋体" w:hAnsi="Arial" w:cs="Arial"/>
                <w:color w:val="000000"/>
                <w:sz w:val="18"/>
                <w:szCs w:val="18"/>
              </w:rPr>
              <w:t> </w:t>
            </w:r>
          </w:p>
        </w:tc>
      </w:tr>
      <w:tr w:rsidR="008D6614" w14:paraId="64A89F73" w14:textId="77777777">
        <w:tc>
          <w:tcPr>
            <w:tcW w:w="0" w:type="auto"/>
            <w:gridSpan w:val="3"/>
            <w:shd w:val="clear" w:color="auto" w:fill="FFFFFF"/>
            <w:tcMar>
              <w:top w:w="40" w:type="dxa"/>
              <w:left w:w="20" w:type="dxa"/>
              <w:bottom w:w="40" w:type="dxa"/>
              <w:right w:w="20" w:type="dxa"/>
            </w:tcMar>
            <w:vAlign w:val="bottom"/>
          </w:tcPr>
          <w:p w14:paraId="64A89F6D" w14:textId="77777777" w:rsidR="008D6614" w:rsidRDefault="00866AF2">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64A89F6E" w14:textId="77777777" w:rsidR="008D6614" w:rsidRDefault="00866AF2">
            <w:pPr>
              <w:jc w:val="right"/>
              <w:textAlignment w:val="bottom"/>
            </w:pPr>
            <w:r>
              <w:rPr>
                <w:rFonts w:ascii="Arial" w:eastAsia="宋体" w:hAnsi="Arial" w:cs="Arial"/>
                <w:color w:val="000000"/>
                <w:sz w:val="18"/>
                <w:szCs w:val="18"/>
              </w:rPr>
              <w:t>100 </w:t>
            </w:r>
          </w:p>
        </w:tc>
        <w:tc>
          <w:tcPr>
            <w:tcW w:w="0" w:type="auto"/>
            <w:shd w:val="clear" w:color="auto" w:fill="FFFFFF"/>
            <w:tcMar>
              <w:top w:w="40" w:type="dxa"/>
              <w:bottom w:w="40" w:type="dxa"/>
              <w:right w:w="20" w:type="dxa"/>
            </w:tcMar>
            <w:vAlign w:val="bottom"/>
          </w:tcPr>
          <w:p w14:paraId="64A89F6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F7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F7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F72" w14:textId="77777777" w:rsidR="008D6614" w:rsidRDefault="00866AF2">
            <w:pPr>
              <w:jc w:val="right"/>
              <w:textAlignment w:val="bottom"/>
            </w:pPr>
            <w:r>
              <w:rPr>
                <w:rFonts w:ascii="Arial" w:eastAsia="宋体" w:hAnsi="Arial" w:cs="Arial"/>
                <w:color w:val="000000"/>
                <w:sz w:val="18"/>
                <w:szCs w:val="18"/>
              </w:rPr>
              <w:t> </w:t>
            </w:r>
          </w:p>
        </w:tc>
      </w:tr>
      <w:tr w:rsidR="008D6614" w14:paraId="64A89F78" w14:textId="77777777">
        <w:trPr>
          <w:hidden/>
        </w:trPr>
        <w:tc>
          <w:tcPr>
            <w:tcW w:w="0" w:type="auto"/>
            <w:gridSpan w:val="3"/>
            <w:shd w:val="clear" w:color="auto" w:fill="auto"/>
            <w:vAlign w:val="center"/>
          </w:tcPr>
          <w:p w14:paraId="64A89F74" w14:textId="77777777" w:rsidR="008D6614" w:rsidRDefault="008D6614">
            <w:pPr>
              <w:rPr>
                <w:rFonts w:ascii="宋体"/>
                <w:vanish/>
              </w:rPr>
            </w:pPr>
          </w:p>
        </w:tc>
        <w:tc>
          <w:tcPr>
            <w:tcW w:w="0" w:type="auto"/>
            <w:gridSpan w:val="3"/>
            <w:shd w:val="clear" w:color="auto" w:fill="auto"/>
            <w:vAlign w:val="center"/>
          </w:tcPr>
          <w:p w14:paraId="64A89F75" w14:textId="77777777" w:rsidR="008D6614" w:rsidRDefault="008D6614">
            <w:pPr>
              <w:rPr>
                <w:rFonts w:ascii="宋体"/>
                <w:vanish/>
              </w:rPr>
            </w:pPr>
          </w:p>
        </w:tc>
        <w:tc>
          <w:tcPr>
            <w:tcW w:w="0" w:type="auto"/>
            <w:gridSpan w:val="3"/>
            <w:shd w:val="clear" w:color="auto" w:fill="auto"/>
            <w:vAlign w:val="center"/>
          </w:tcPr>
          <w:p w14:paraId="64A89F76" w14:textId="77777777" w:rsidR="008D6614" w:rsidRDefault="008D6614">
            <w:pPr>
              <w:rPr>
                <w:rFonts w:ascii="宋体"/>
                <w:vanish/>
              </w:rPr>
            </w:pPr>
          </w:p>
        </w:tc>
        <w:tc>
          <w:tcPr>
            <w:tcW w:w="0" w:type="auto"/>
            <w:gridSpan w:val="3"/>
            <w:shd w:val="clear" w:color="auto" w:fill="auto"/>
            <w:vAlign w:val="center"/>
          </w:tcPr>
          <w:p w14:paraId="64A89F77" w14:textId="77777777" w:rsidR="008D6614" w:rsidRDefault="008D6614">
            <w:pPr>
              <w:rPr>
                <w:rFonts w:ascii="宋体"/>
                <w:vanish/>
              </w:rPr>
            </w:pPr>
          </w:p>
        </w:tc>
      </w:tr>
      <w:tr w:rsidR="008D6614" w14:paraId="64A89F81" w14:textId="77777777">
        <w:tc>
          <w:tcPr>
            <w:tcW w:w="0" w:type="auto"/>
            <w:gridSpan w:val="3"/>
            <w:shd w:val="clear" w:color="auto" w:fill="E2E2E2"/>
            <w:tcMar>
              <w:top w:w="40" w:type="dxa"/>
              <w:left w:w="225" w:type="dxa"/>
              <w:bottom w:w="40" w:type="dxa"/>
              <w:right w:w="20" w:type="dxa"/>
            </w:tcMar>
            <w:vAlign w:val="bottom"/>
          </w:tcPr>
          <w:p w14:paraId="64A89F79" w14:textId="77777777" w:rsidR="008D6614" w:rsidRDefault="00866AF2">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F7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F7B" w14:textId="77777777" w:rsidR="008D6614" w:rsidRDefault="00866AF2">
            <w:pPr>
              <w:jc w:val="right"/>
              <w:textAlignment w:val="bottom"/>
            </w:pPr>
            <w:r>
              <w:rPr>
                <w:rFonts w:ascii="Arial" w:eastAsia="宋体" w:hAnsi="Arial" w:cs="Arial"/>
                <w:color w:val="000000"/>
                <w:sz w:val="18"/>
                <w:szCs w:val="18"/>
              </w:rPr>
              <w:t>4,294 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F7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F7D"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9F7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9F7F" w14:textId="77777777" w:rsidR="008D6614" w:rsidRDefault="00866AF2">
            <w:pPr>
              <w:jc w:val="right"/>
              <w:textAlignment w:val="bottom"/>
            </w:pPr>
            <w:r>
              <w:rPr>
                <w:rFonts w:ascii="Arial" w:eastAsia="宋体" w:hAnsi="Arial" w:cs="Arial"/>
                <w:color w:val="000000"/>
                <w:sz w:val="18"/>
                <w:szCs w:val="18"/>
              </w:rPr>
              <w:t>4,622 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9F80" w14:textId="77777777" w:rsidR="008D6614" w:rsidRDefault="00866AF2">
            <w:pPr>
              <w:jc w:val="right"/>
              <w:textAlignment w:val="bottom"/>
            </w:pPr>
            <w:r>
              <w:rPr>
                <w:rFonts w:ascii="Arial" w:eastAsia="宋体" w:hAnsi="Arial" w:cs="Arial"/>
                <w:color w:val="000000"/>
                <w:sz w:val="18"/>
                <w:szCs w:val="18"/>
              </w:rPr>
              <w:t> </w:t>
            </w:r>
          </w:p>
        </w:tc>
      </w:tr>
    </w:tbl>
    <w:p w14:paraId="64A89F82" w14:textId="77777777" w:rsidR="008D6614" w:rsidRDefault="008D6614">
      <w:pPr>
        <w:jc w:val="both"/>
      </w:pPr>
    </w:p>
    <w:p w14:paraId="64A89F83" w14:textId="77777777" w:rsidR="008D6614" w:rsidRDefault="008D6614">
      <w:pPr>
        <w:jc w:val="center"/>
      </w:pPr>
    </w:p>
    <w:p w14:paraId="64A89F84" w14:textId="77777777" w:rsidR="008D6614" w:rsidRDefault="00866AF2">
      <w:pPr>
        <w:jc w:val="center"/>
      </w:pPr>
      <w:r>
        <w:rPr>
          <w:rFonts w:ascii="Arial" w:eastAsia="宋体" w:hAnsi="Arial" w:cs="Arial"/>
          <w:color w:val="000000"/>
          <w:sz w:val="20"/>
          <w:szCs w:val="20"/>
        </w:rPr>
        <w:t>21</w:t>
      </w:r>
    </w:p>
    <w:p w14:paraId="64A89F85" w14:textId="77777777" w:rsidR="008D6614" w:rsidRDefault="00866AF2">
      <w:r>
        <w:pict w14:anchorId="64A8B9F2">
          <v:rect id="_x0000_i1045" style="width:415.3pt;height:1.5pt" o:hralign="center" o:hrstd="t" o:hr="t" fillcolor="#a0a0a0" stroked="f"/>
        </w:pict>
      </w:r>
    </w:p>
    <w:p w14:paraId="64A89F86" w14:textId="77777777" w:rsidR="008D6614" w:rsidRDefault="008D6614">
      <w:pPr>
        <w:jc w:val="center"/>
      </w:pPr>
    </w:p>
    <w:p w14:paraId="64A89F87" w14:textId="77777777" w:rsidR="008D6614" w:rsidRDefault="00866AF2">
      <w:pPr>
        <w:jc w:val="center"/>
      </w:pPr>
      <w:r>
        <w:rPr>
          <w:rFonts w:ascii="Arial" w:eastAsia="宋体" w:hAnsi="Arial" w:cs="Arial"/>
          <w:b/>
          <w:bCs/>
          <w:color w:val="000000"/>
          <w:sz w:val="20"/>
          <w:szCs w:val="20"/>
        </w:rPr>
        <w:t>eBay Inc.</w:t>
      </w:r>
    </w:p>
    <w:p w14:paraId="64A89F88" w14:textId="77777777" w:rsidR="008D6614" w:rsidRDefault="00866AF2">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4A89F89" w14:textId="77777777" w:rsidR="008D6614" w:rsidRDefault="00866AF2">
      <w:pPr>
        <w:jc w:val="both"/>
      </w:pPr>
      <w:r>
        <w:rPr>
          <w:rFonts w:ascii="Arial" w:eastAsia="宋体" w:hAnsi="Arial" w:cs="Arial"/>
          <w:b/>
          <w:bCs/>
          <w:i/>
          <w:iCs/>
          <w:color w:val="000000"/>
          <w:sz w:val="20"/>
          <w:szCs w:val="20"/>
        </w:rPr>
        <w:t xml:space="preserve">Credit Risk </w:t>
      </w:r>
    </w:p>
    <w:p w14:paraId="64A89F8A" w14:textId="77777777" w:rsidR="008D6614" w:rsidRDefault="008D6614">
      <w:pPr>
        <w:jc w:val="both"/>
      </w:pPr>
    </w:p>
    <w:p w14:paraId="64A89F8B" w14:textId="77777777" w:rsidR="008D6614" w:rsidRDefault="00866AF2">
      <w:pPr>
        <w:ind w:firstLine="540"/>
        <w:jc w:val="both"/>
      </w:pPr>
      <w:r>
        <w:rPr>
          <w:rFonts w:ascii="Arial" w:eastAsia="宋体" w:hAnsi="Arial" w:cs="Arial"/>
          <w:color w:val="000000"/>
          <w:sz w:val="20"/>
          <w:szCs w:val="20"/>
        </w:rPr>
        <w:t>Our derivatives expose us to credit risk to the extent that the counterparties may be unable to meet the terms of the arrangement. We seek to mitigate such risk by limiting our counterparties to, and by spreading the ri</w:t>
      </w:r>
      <w:r>
        <w:rPr>
          <w:rFonts w:ascii="Arial" w:eastAsia="宋体" w:hAnsi="Arial" w:cs="Arial"/>
          <w:color w:val="000000"/>
          <w:sz w:val="20"/>
          <w:szCs w:val="20"/>
        </w:rPr>
        <w:t>sk across, major financial institutions. In addition, the potential risk of loss with any one counterparty resulting from this type of credit risk is monitored on an ongoing basis. To further limit credit risk, we also enter into collateral security arrang</w:t>
      </w:r>
      <w:r>
        <w:rPr>
          <w:rFonts w:ascii="Arial" w:eastAsia="宋体" w:hAnsi="Arial" w:cs="Arial"/>
          <w:color w:val="000000"/>
          <w:sz w:val="20"/>
          <w:szCs w:val="20"/>
        </w:rPr>
        <w:t>ements related to certain interest rate derivative instruments whereby collateral is posted between counterparties if the fair value of the derivative instrument exceeds certain thresholds. Additional collateral would be required in the event of a signific</w:t>
      </w:r>
      <w:r>
        <w:rPr>
          <w:rFonts w:ascii="Arial" w:eastAsia="宋体" w:hAnsi="Arial" w:cs="Arial"/>
          <w:color w:val="000000"/>
          <w:sz w:val="20"/>
          <w:szCs w:val="20"/>
        </w:rPr>
        <w:t xml:space="preserve">ant credit downgrade by either party. We are not required to pledge, nor are we entitled to receive, collateral related to our foreign exchange derivative transactions. </w:t>
      </w:r>
    </w:p>
    <w:p w14:paraId="64A89F8C" w14:textId="77777777" w:rsidR="008D6614" w:rsidRDefault="008D6614">
      <w:pPr>
        <w:ind w:firstLine="450"/>
      </w:pPr>
    </w:p>
    <w:p w14:paraId="64A89F8D" w14:textId="77777777" w:rsidR="008D6614" w:rsidRDefault="00866AF2">
      <w:r>
        <w:rPr>
          <w:rFonts w:ascii="Arial" w:eastAsia="宋体" w:hAnsi="Arial" w:cs="Arial"/>
          <w:b/>
          <w:bCs/>
          <w:color w:val="000000"/>
          <w:sz w:val="20"/>
          <w:szCs w:val="20"/>
        </w:rPr>
        <w:t>Note 9 — Fair Value Measurement of Assets and Liabilities</w:t>
      </w:r>
    </w:p>
    <w:p w14:paraId="64A89F8E" w14:textId="77777777" w:rsidR="008D6614" w:rsidRDefault="008D6614"/>
    <w:p w14:paraId="64A89F8F" w14:textId="77777777" w:rsidR="008D6614" w:rsidRDefault="00866AF2">
      <w:pPr>
        <w:ind w:firstLine="540"/>
      </w:pPr>
      <w:r>
        <w:rPr>
          <w:rFonts w:ascii="Arial" w:eastAsia="宋体" w:hAnsi="Arial" w:cs="Arial"/>
          <w:color w:val="000000"/>
          <w:sz w:val="20"/>
          <w:szCs w:val="20"/>
        </w:rPr>
        <w:t>The following tables prese</w:t>
      </w:r>
      <w:r>
        <w:rPr>
          <w:rFonts w:ascii="Arial" w:eastAsia="宋体" w:hAnsi="Arial" w:cs="Arial"/>
          <w:color w:val="000000"/>
          <w:sz w:val="20"/>
          <w:szCs w:val="20"/>
        </w:rPr>
        <w:t>nt our financial assets and liabilities measured at fair value on a recurring basis (in millions):</w:t>
      </w:r>
    </w:p>
    <w:p w14:paraId="64A89F90" w14:textId="77777777" w:rsidR="008D6614" w:rsidRDefault="00866AF2">
      <w:r>
        <w:rPr>
          <w:rFonts w:ascii="Arial" w:eastAsia="宋体" w:hAnsi="Arial" w:cs="Arial"/>
          <w:color w:val="000000"/>
          <w:sz w:val="18"/>
          <w:szCs w:val="18"/>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54"/>
        <w:gridCol w:w="2181"/>
        <w:gridCol w:w="54"/>
        <w:gridCol w:w="136"/>
        <w:gridCol w:w="864"/>
        <w:gridCol w:w="86"/>
        <w:gridCol w:w="36"/>
        <w:gridCol w:w="36"/>
        <w:gridCol w:w="36"/>
        <w:gridCol w:w="137"/>
        <w:gridCol w:w="1253"/>
        <w:gridCol w:w="87"/>
        <w:gridCol w:w="36"/>
        <w:gridCol w:w="36"/>
        <w:gridCol w:w="36"/>
        <w:gridCol w:w="137"/>
        <w:gridCol w:w="1259"/>
        <w:gridCol w:w="88"/>
        <w:gridCol w:w="36"/>
        <w:gridCol w:w="36"/>
        <w:gridCol w:w="36"/>
        <w:gridCol w:w="137"/>
        <w:gridCol w:w="1432"/>
        <w:gridCol w:w="95"/>
      </w:tblGrid>
      <w:tr w:rsidR="008D6614" w14:paraId="64A89FA9" w14:textId="77777777">
        <w:trPr>
          <w:jc w:val="center"/>
        </w:trPr>
        <w:tc>
          <w:tcPr>
            <w:tcW w:w="50" w:type="pct"/>
            <w:shd w:val="clear" w:color="auto" w:fill="auto"/>
            <w:vAlign w:val="center"/>
          </w:tcPr>
          <w:p w14:paraId="64A89F91" w14:textId="77777777" w:rsidR="008D6614" w:rsidRDefault="008D6614">
            <w:pPr>
              <w:rPr>
                <w:rFonts w:ascii="宋体"/>
              </w:rPr>
            </w:pPr>
          </w:p>
        </w:tc>
        <w:tc>
          <w:tcPr>
            <w:tcW w:w="1503" w:type="pct"/>
            <w:shd w:val="clear" w:color="auto" w:fill="auto"/>
            <w:vAlign w:val="center"/>
          </w:tcPr>
          <w:p w14:paraId="64A89F92" w14:textId="77777777" w:rsidR="008D6614" w:rsidRDefault="008D6614">
            <w:pPr>
              <w:rPr>
                <w:rFonts w:ascii="宋体"/>
              </w:rPr>
            </w:pPr>
          </w:p>
        </w:tc>
        <w:tc>
          <w:tcPr>
            <w:tcW w:w="50" w:type="pct"/>
            <w:shd w:val="clear" w:color="auto" w:fill="auto"/>
            <w:vAlign w:val="center"/>
          </w:tcPr>
          <w:p w14:paraId="64A89F93" w14:textId="77777777" w:rsidR="008D6614" w:rsidRDefault="008D6614">
            <w:pPr>
              <w:rPr>
                <w:rFonts w:ascii="宋体"/>
              </w:rPr>
            </w:pPr>
          </w:p>
        </w:tc>
        <w:tc>
          <w:tcPr>
            <w:tcW w:w="50" w:type="pct"/>
            <w:shd w:val="clear" w:color="auto" w:fill="auto"/>
            <w:vAlign w:val="center"/>
          </w:tcPr>
          <w:p w14:paraId="64A89F94" w14:textId="77777777" w:rsidR="008D6614" w:rsidRDefault="008D6614">
            <w:pPr>
              <w:rPr>
                <w:rFonts w:ascii="宋体"/>
              </w:rPr>
            </w:pPr>
          </w:p>
        </w:tc>
        <w:tc>
          <w:tcPr>
            <w:tcW w:w="712" w:type="pct"/>
            <w:shd w:val="clear" w:color="auto" w:fill="auto"/>
            <w:vAlign w:val="center"/>
          </w:tcPr>
          <w:p w14:paraId="64A89F95" w14:textId="77777777" w:rsidR="008D6614" w:rsidRDefault="008D6614">
            <w:pPr>
              <w:rPr>
                <w:rFonts w:ascii="宋体"/>
              </w:rPr>
            </w:pPr>
          </w:p>
        </w:tc>
        <w:tc>
          <w:tcPr>
            <w:tcW w:w="50" w:type="pct"/>
            <w:shd w:val="clear" w:color="auto" w:fill="auto"/>
            <w:vAlign w:val="center"/>
          </w:tcPr>
          <w:p w14:paraId="64A89F96" w14:textId="77777777" w:rsidR="008D6614" w:rsidRDefault="008D6614">
            <w:pPr>
              <w:rPr>
                <w:rFonts w:ascii="宋体"/>
              </w:rPr>
            </w:pPr>
          </w:p>
        </w:tc>
        <w:tc>
          <w:tcPr>
            <w:tcW w:w="5" w:type="pct"/>
            <w:shd w:val="clear" w:color="auto" w:fill="auto"/>
            <w:vAlign w:val="center"/>
          </w:tcPr>
          <w:p w14:paraId="64A89F97" w14:textId="77777777" w:rsidR="008D6614" w:rsidRDefault="008D6614">
            <w:pPr>
              <w:rPr>
                <w:rFonts w:ascii="宋体"/>
              </w:rPr>
            </w:pPr>
          </w:p>
        </w:tc>
        <w:tc>
          <w:tcPr>
            <w:tcW w:w="26" w:type="pct"/>
            <w:shd w:val="clear" w:color="auto" w:fill="auto"/>
            <w:vAlign w:val="center"/>
          </w:tcPr>
          <w:p w14:paraId="64A89F98" w14:textId="77777777" w:rsidR="008D6614" w:rsidRDefault="008D6614">
            <w:pPr>
              <w:rPr>
                <w:rFonts w:ascii="宋体"/>
              </w:rPr>
            </w:pPr>
          </w:p>
        </w:tc>
        <w:tc>
          <w:tcPr>
            <w:tcW w:w="5" w:type="pct"/>
            <w:shd w:val="clear" w:color="auto" w:fill="auto"/>
            <w:vAlign w:val="center"/>
          </w:tcPr>
          <w:p w14:paraId="64A89F99" w14:textId="77777777" w:rsidR="008D6614" w:rsidRDefault="008D6614">
            <w:pPr>
              <w:rPr>
                <w:rFonts w:ascii="宋体"/>
              </w:rPr>
            </w:pPr>
          </w:p>
        </w:tc>
        <w:tc>
          <w:tcPr>
            <w:tcW w:w="50" w:type="pct"/>
            <w:shd w:val="clear" w:color="auto" w:fill="auto"/>
            <w:vAlign w:val="center"/>
          </w:tcPr>
          <w:p w14:paraId="64A89F9A" w14:textId="77777777" w:rsidR="008D6614" w:rsidRDefault="008D6614">
            <w:pPr>
              <w:rPr>
                <w:rFonts w:ascii="宋体"/>
              </w:rPr>
            </w:pPr>
          </w:p>
        </w:tc>
        <w:tc>
          <w:tcPr>
            <w:tcW w:w="712" w:type="pct"/>
            <w:shd w:val="clear" w:color="auto" w:fill="auto"/>
            <w:vAlign w:val="center"/>
          </w:tcPr>
          <w:p w14:paraId="64A89F9B" w14:textId="77777777" w:rsidR="008D6614" w:rsidRDefault="008D6614">
            <w:pPr>
              <w:rPr>
                <w:rFonts w:ascii="宋体"/>
              </w:rPr>
            </w:pPr>
          </w:p>
        </w:tc>
        <w:tc>
          <w:tcPr>
            <w:tcW w:w="50" w:type="pct"/>
            <w:shd w:val="clear" w:color="auto" w:fill="auto"/>
            <w:vAlign w:val="center"/>
          </w:tcPr>
          <w:p w14:paraId="64A89F9C" w14:textId="77777777" w:rsidR="008D6614" w:rsidRDefault="008D6614">
            <w:pPr>
              <w:rPr>
                <w:rFonts w:ascii="宋体"/>
              </w:rPr>
            </w:pPr>
          </w:p>
        </w:tc>
        <w:tc>
          <w:tcPr>
            <w:tcW w:w="5" w:type="pct"/>
            <w:shd w:val="clear" w:color="auto" w:fill="auto"/>
            <w:vAlign w:val="center"/>
          </w:tcPr>
          <w:p w14:paraId="64A89F9D" w14:textId="77777777" w:rsidR="008D6614" w:rsidRDefault="008D6614">
            <w:pPr>
              <w:rPr>
                <w:rFonts w:ascii="宋体"/>
              </w:rPr>
            </w:pPr>
          </w:p>
        </w:tc>
        <w:tc>
          <w:tcPr>
            <w:tcW w:w="26" w:type="pct"/>
            <w:shd w:val="clear" w:color="auto" w:fill="auto"/>
            <w:vAlign w:val="center"/>
          </w:tcPr>
          <w:p w14:paraId="64A89F9E" w14:textId="77777777" w:rsidR="008D6614" w:rsidRDefault="008D6614">
            <w:pPr>
              <w:rPr>
                <w:rFonts w:ascii="宋体"/>
              </w:rPr>
            </w:pPr>
          </w:p>
        </w:tc>
        <w:tc>
          <w:tcPr>
            <w:tcW w:w="5" w:type="pct"/>
            <w:shd w:val="clear" w:color="auto" w:fill="auto"/>
            <w:vAlign w:val="center"/>
          </w:tcPr>
          <w:p w14:paraId="64A89F9F" w14:textId="77777777" w:rsidR="008D6614" w:rsidRDefault="008D6614">
            <w:pPr>
              <w:rPr>
                <w:rFonts w:ascii="宋体"/>
              </w:rPr>
            </w:pPr>
          </w:p>
        </w:tc>
        <w:tc>
          <w:tcPr>
            <w:tcW w:w="50" w:type="pct"/>
            <w:shd w:val="clear" w:color="auto" w:fill="auto"/>
            <w:vAlign w:val="center"/>
          </w:tcPr>
          <w:p w14:paraId="64A89FA0" w14:textId="77777777" w:rsidR="008D6614" w:rsidRDefault="008D6614">
            <w:pPr>
              <w:rPr>
                <w:rFonts w:ascii="宋体"/>
              </w:rPr>
            </w:pPr>
          </w:p>
        </w:tc>
        <w:tc>
          <w:tcPr>
            <w:tcW w:w="712" w:type="pct"/>
            <w:shd w:val="clear" w:color="auto" w:fill="auto"/>
            <w:vAlign w:val="center"/>
          </w:tcPr>
          <w:p w14:paraId="64A89FA1" w14:textId="77777777" w:rsidR="008D6614" w:rsidRDefault="008D6614">
            <w:pPr>
              <w:rPr>
                <w:rFonts w:ascii="宋体"/>
              </w:rPr>
            </w:pPr>
          </w:p>
        </w:tc>
        <w:tc>
          <w:tcPr>
            <w:tcW w:w="50" w:type="pct"/>
            <w:shd w:val="clear" w:color="auto" w:fill="auto"/>
            <w:vAlign w:val="center"/>
          </w:tcPr>
          <w:p w14:paraId="64A89FA2" w14:textId="77777777" w:rsidR="008D6614" w:rsidRDefault="008D6614">
            <w:pPr>
              <w:rPr>
                <w:rFonts w:ascii="宋体"/>
              </w:rPr>
            </w:pPr>
          </w:p>
        </w:tc>
        <w:tc>
          <w:tcPr>
            <w:tcW w:w="5" w:type="pct"/>
            <w:shd w:val="clear" w:color="auto" w:fill="auto"/>
            <w:vAlign w:val="center"/>
          </w:tcPr>
          <w:p w14:paraId="64A89FA3" w14:textId="77777777" w:rsidR="008D6614" w:rsidRDefault="008D6614">
            <w:pPr>
              <w:rPr>
                <w:rFonts w:ascii="宋体"/>
              </w:rPr>
            </w:pPr>
          </w:p>
        </w:tc>
        <w:tc>
          <w:tcPr>
            <w:tcW w:w="26" w:type="pct"/>
            <w:shd w:val="clear" w:color="auto" w:fill="auto"/>
            <w:vAlign w:val="center"/>
          </w:tcPr>
          <w:p w14:paraId="64A89FA4" w14:textId="77777777" w:rsidR="008D6614" w:rsidRDefault="008D6614">
            <w:pPr>
              <w:rPr>
                <w:rFonts w:ascii="宋体"/>
              </w:rPr>
            </w:pPr>
          </w:p>
        </w:tc>
        <w:tc>
          <w:tcPr>
            <w:tcW w:w="5" w:type="pct"/>
            <w:shd w:val="clear" w:color="auto" w:fill="auto"/>
            <w:vAlign w:val="center"/>
          </w:tcPr>
          <w:p w14:paraId="64A89FA5" w14:textId="77777777" w:rsidR="008D6614" w:rsidRDefault="008D6614">
            <w:pPr>
              <w:rPr>
                <w:rFonts w:ascii="宋体"/>
              </w:rPr>
            </w:pPr>
          </w:p>
        </w:tc>
        <w:tc>
          <w:tcPr>
            <w:tcW w:w="50" w:type="pct"/>
            <w:shd w:val="clear" w:color="auto" w:fill="auto"/>
            <w:vAlign w:val="center"/>
          </w:tcPr>
          <w:p w14:paraId="64A89FA6" w14:textId="77777777" w:rsidR="008D6614" w:rsidRDefault="008D6614">
            <w:pPr>
              <w:rPr>
                <w:rFonts w:ascii="宋体"/>
              </w:rPr>
            </w:pPr>
          </w:p>
        </w:tc>
        <w:tc>
          <w:tcPr>
            <w:tcW w:w="749" w:type="pct"/>
            <w:shd w:val="clear" w:color="auto" w:fill="auto"/>
            <w:vAlign w:val="center"/>
          </w:tcPr>
          <w:p w14:paraId="64A89FA7" w14:textId="77777777" w:rsidR="008D6614" w:rsidRDefault="008D6614">
            <w:pPr>
              <w:rPr>
                <w:rFonts w:ascii="宋体"/>
              </w:rPr>
            </w:pPr>
          </w:p>
        </w:tc>
        <w:tc>
          <w:tcPr>
            <w:tcW w:w="50" w:type="pct"/>
            <w:shd w:val="clear" w:color="auto" w:fill="auto"/>
            <w:vAlign w:val="center"/>
          </w:tcPr>
          <w:p w14:paraId="64A89FA8" w14:textId="77777777" w:rsidR="008D6614" w:rsidRDefault="008D6614">
            <w:pPr>
              <w:rPr>
                <w:rFonts w:ascii="宋体"/>
              </w:rPr>
            </w:pPr>
          </w:p>
        </w:tc>
      </w:tr>
      <w:tr w:rsidR="008D6614" w14:paraId="64A89FB9" w14:textId="77777777">
        <w:trPr>
          <w:jc w:val="center"/>
        </w:trPr>
        <w:tc>
          <w:tcPr>
            <w:tcW w:w="0" w:type="auto"/>
            <w:gridSpan w:val="3"/>
            <w:shd w:val="clear" w:color="auto" w:fill="auto"/>
            <w:tcMar>
              <w:left w:w="20" w:type="dxa"/>
              <w:right w:w="20" w:type="dxa"/>
            </w:tcMar>
            <w:vAlign w:val="bottom"/>
          </w:tcPr>
          <w:p w14:paraId="64A89FAA"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FAB" w14:textId="77777777" w:rsidR="008D6614" w:rsidRDefault="00866AF2">
            <w:pPr>
              <w:jc w:val="center"/>
              <w:textAlignment w:val="bottom"/>
            </w:pPr>
            <w:r>
              <w:rPr>
                <w:rFonts w:ascii="Arial" w:eastAsia="宋体" w:hAnsi="Arial" w:cs="Arial"/>
                <w:b/>
                <w:bCs/>
                <w:color w:val="000000"/>
                <w:sz w:val="16"/>
                <w:szCs w:val="16"/>
              </w:rPr>
              <w:t>March 31, 2020</w:t>
            </w:r>
          </w:p>
        </w:tc>
        <w:tc>
          <w:tcPr>
            <w:tcW w:w="0" w:type="auto"/>
            <w:gridSpan w:val="3"/>
            <w:shd w:val="clear" w:color="auto" w:fill="auto"/>
            <w:tcMar>
              <w:left w:w="20" w:type="dxa"/>
              <w:right w:w="20" w:type="dxa"/>
            </w:tcMar>
            <w:vAlign w:val="bottom"/>
          </w:tcPr>
          <w:p w14:paraId="64A89FAC"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FAD" w14:textId="77777777" w:rsidR="008D6614" w:rsidRDefault="00866AF2">
            <w:pPr>
              <w:jc w:val="center"/>
              <w:textAlignment w:val="bottom"/>
            </w:pPr>
            <w:r>
              <w:rPr>
                <w:rFonts w:ascii="Arial" w:eastAsia="宋体" w:hAnsi="Arial" w:cs="Arial"/>
                <w:b/>
                <w:bCs/>
                <w:color w:val="000000"/>
                <w:sz w:val="16"/>
                <w:szCs w:val="16"/>
              </w:rPr>
              <w:t>Quoted Prices in</w:t>
            </w:r>
          </w:p>
          <w:p w14:paraId="64A89FAE" w14:textId="77777777" w:rsidR="008D6614" w:rsidRDefault="00866AF2">
            <w:pPr>
              <w:jc w:val="center"/>
              <w:textAlignment w:val="bottom"/>
            </w:pPr>
            <w:r>
              <w:rPr>
                <w:rFonts w:ascii="Arial" w:eastAsia="宋体" w:hAnsi="Arial" w:cs="Arial"/>
                <w:b/>
                <w:bCs/>
                <w:color w:val="000000"/>
                <w:sz w:val="16"/>
                <w:szCs w:val="16"/>
              </w:rPr>
              <w:t>Active Markets for</w:t>
            </w:r>
          </w:p>
          <w:p w14:paraId="64A89FAF" w14:textId="77777777" w:rsidR="008D6614" w:rsidRDefault="00866AF2">
            <w:pPr>
              <w:jc w:val="center"/>
              <w:textAlignment w:val="bottom"/>
            </w:pPr>
            <w:r>
              <w:rPr>
                <w:rFonts w:ascii="Arial" w:eastAsia="宋体" w:hAnsi="Arial" w:cs="Arial"/>
                <w:b/>
                <w:bCs/>
                <w:color w:val="000000"/>
                <w:sz w:val="16"/>
                <w:szCs w:val="16"/>
              </w:rPr>
              <w:t>Identical Assets</w:t>
            </w:r>
          </w:p>
          <w:p w14:paraId="64A89FB0" w14:textId="77777777" w:rsidR="008D6614" w:rsidRDefault="00866AF2">
            <w:pPr>
              <w:jc w:val="center"/>
              <w:textAlignment w:val="bottom"/>
            </w:pPr>
            <w:r>
              <w:rPr>
                <w:rFonts w:ascii="Arial" w:eastAsia="宋体" w:hAnsi="Arial" w:cs="Arial"/>
                <w:b/>
                <w:bCs/>
                <w:color w:val="000000"/>
                <w:sz w:val="16"/>
                <w:szCs w:val="16"/>
              </w:rPr>
              <w:t xml:space="preserve">(Level 1) </w:t>
            </w:r>
          </w:p>
        </w:tc>
        <w:tc>
          <w:tcPr>
            <w:tcW w:w="0" w:type="auto"/>
            <w:gridSpan w:val="3"/>
            <w:shd w:val="clear" w:color="auto" w:fill="auto"/>
            <w:tcMar>
              <w:left w:w="20" w:type="dxa"/>
              <w:right w:w="20" w:type="dxa"/>
            </w:tcMar>
            <w:vAlign w:val="bottom"/>
          </w:tcPr>
          <w:p w14:paraId="64A89FB1"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FB2" w14:textId="77777777" w:rsidR="008D6614" w:rsidRDefault="00866AF2">
            <w:pPr>
              <w:jc w:val="center"/>
              <w:textAlignment w:val="bottom"/>
            </w:pPr>
            <w:r>
              <w:rPr>
                <w:rFonts w:ascii="Arial" w:eastAsia="宋体" w:hAnsi="Arial" w:cs="Arial"/>
                <w:b/>
                <w:bCs/>
                <w:color w:val="000000"/>
                <w:sz w:val="16"/>
                <w:szCs w:val="16"/>
              </w:rPr>
              <w:t>Significant Other</w:t>
            </w:r>
          </w:p>
          <w:p w14:paraId="64A89FB3" w14:textId="77777777" w:rsidR="008D6614" w:rsidRDefault="00866AF2">
            <w:pPr>
              <w:jc w:val="center"/>
              <w:textAlignment w:val="bottom"/>
            </w:pPr>
            <w:r>
              <w:rPr>
                <w:rFonts w:ascii="Arial" w:eastAsia="宋体" w:hAnsi="Arial" w:cs="Arial"/>
                <w:b/>
                <w:bCs/>
                <w:color w:val="000000"/>
                <w:sz w:val="16"/>
                <w:szCs w:val="16"/>
              </w:rPr>
              <w:t>Observable Inputs</w:t>
            </w:r>
          </w:p>
          <w:p w14:paraId="64A89FB4" w14:textId="77777777" w:rsidR="008D6614" w:rsidRDefault="00866AF2">
            <w:pPr>
              <w:jc w:val="center"/>
              <w:textAlignment w:val="bottom"/>
            </w:pPr>
            <w:r>
              <w:rPr>
                <w:rFonts w:ascii="Arial" w:eastAsia="宋体" w:hAnsi="Arial" w:cs="Arial"/>
                <w:b/>
                <w:bCs/>
                <w:color w:val="000000"/>
                <w:sz w:val="16"/>
                <w:szCs w:val="16"/>
              </w:rPr>
              <w:t>(Level 2)</w:t>
            </w:r>
          </w:p>
        </w:tc>
        <w:tc>
          <w:tcPr>
            <w:tcW w:w="0" w:type="auto"/>
            <w:gridSpan w:val="3"/>
            <w:shd w:val="clear" w:color="auto" w:fill="auto"/>
            <w:tcMar>
              <w:left w:w="20" w:type="dxa"/>
              <w:right w:w="20" w:type="dxa"/>
            </w:tcMar>
            <w:vAlign w:val="bottom"/>
          </w:tcPr>
          <w:p w14:paraId="64A89FB5"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9FB6" w14:textId="77777777" w:rsidR="008D6614" w:rsidRDefault="00866AF2">
            <w:pPr>
              <w:jc w:val="center"/>
              <w:textAlignment w:val="bottom"/>
            </w:pPr>
            <w:r>
              <w:rPr>
                <w:rFonts w:ascii="Arial" w:eastAsia="宋体" w:hAnsi="Arial" w:cs="Arial"/>
                <w:b/>
                <w:bCs/>
                <w:color w:val="000000"/>
                <w:sz w:val="16"/>
                <w:szCs w:val="16"/>
              </w:rPr>
              <w:t>Significant </w:t>
            </w:r>
          </w:p>
          <w:p w14:paraId="64A89FB7" w14:textId="77777777" w:rsidR="008D6614" w:rsidRDefault="00866AF2">
            <w:pPr>
              <w:jc w:val="center"/>
              <w:textAlignment w:val="bottom"/>
            </w:pPr>
            <w:r>
              <w:rPr>
                <w:rFonts w:ascii="Arial" w:eastAsia="宋体" w:hAnsi="Arial" w:cs="Arial"/>
                <w:b/>
                <w:bCs/>
                <w:color w:val="000000"/>
                <w:sz w:val="16"/>
                <w:szCs w:val="16"/>
              </w:rPr>
              <w:t>Unobservable Inputs</w:t>
            </w:r>
          </w:p>
          <w:p w14:paraId="64A89FB8" w14:textId="77777777" w:rsidR="008D6614" w:rsidRDefault="00866AF2">
            <w:pPr>
              <w:jc w:val="center"/>
              <w:textAlignment w:val="bottom"/>
            </w:pPr>
            <w:r>
              <w:rPr>
                <w:rFonts w:ascii="Arial" w:eastAsia="宋体" w:hAnsi="Arial" w:cs="Arial"/>
                <w:b/>
                <w:bCs/>
                <w:color w:val="000000"/>
                <w:sz w:val="16"/>
                <w:szCs w:val="16"/>
              </w:rPr>
              <w:t>(Level 3)</w:t>
            </w:r>
          </w:p>
        </w:tc>
      </w:tr>
      <w:tr w:rsidR="008D6614" w14:paraId="64A89FC2" w14:textId="77777777">
        <w:trPr>
          <w:jc w:val="center"/>
        </w:trPr>
        <w:tc>
          <w:tcPr>
            <w:tcW w:w="0" w:type="auto"/>
            <w:gridSpan w:val="3"/>
            <w:shd w:val="clear" w:color="auto" w:fill="E2E2E2"/>
            <w:tcMar>
              <w:top w:w="40" w:type="dxa"/>
              <w:left w:w="20" w:type="dxa"/>
              <w:bottom w:w="40" w:type="dxa"/>
              <w:right w:w="20" w:type="dxa"/>
            </w:tcMar>
            <w:vAlign w:val="bottom"/>
          </w:tcPr>
          <w:p w14:paraId="64A89FBA" w14:textId="77777777" w:rsidR="008D6614" w:rsidRDefault="00866AF2">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FBB"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FBC"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FBD"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FBE"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9FBF"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FC0"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FC1" w14:textId="77777777" w:rsidR="008D6614" w:rsidRDefault="008D6614">
            <w:pPr>
              <w:rPr>
                <w:rFonts w:ascii="宋体"/>
              </w:rPr>
            </w:pPr>
          </w:p>
        </w:tc>
      </w:tr>
      <w:tr w:rsidR="008D6614" w14:paraId="64A89FD3" w14:textId="77777777">
        <w:trPr>
          <w:jc w:val="center"/>
        </w:trPr>
        <w:tc>
          <w:tcPr>
            <w:tcW w:w="0" w:type="auto"/>
            <w:gridSpan w:val="3"/>
            <w:shd w:val="clear" w:color="auto" w:fill="FFFFFF"/>
            <w:tcMar>
              <w:top w:w="40" w:type="dxa"/>
              <w:left w:w="225" w:type="dxa"/>
              <w:bottom w:w="40" w:type="dxa"/>
              <w:right w:w="20" w:type="dxa"/>
            </w:tcMar>
            <w:vAlign w:val="bottom"/>
          </w:tcPr>
          <w:p w14:paraId="64A89FC3" w14:textId="77777777" w:rsidR="008D6614" w:rsidRDefault="00866AF2">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tcMar>
            <w:vAlign w:val="bottom"/>
          </w:tcPr>
          <w:p w14:paraId="64A89FC4"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FC5" w14:textId="77777777" w:rsidR="008D6614" w:rsidRDefault="00866AF2">
            <w:pPr>
              <w:jc w:val="right"/>
              <w:textAlignment w:val="bottom"/>
            </w:pPr>
            <w:r>
              <w:rPr>
                <w:rFonts w:ascii="Arial" w:eastAsia="宋体" w:hAnsi="Arial" w:cs="Arial"/>
                <w:color w:val="000000"/>
                <w:sz w:val="18"/>
                <w:szCs w:val="18"/>
              </w:rPr>
              <w:t>880 </w:t>
            </w:r>
          </w:p>
        </w:tc>
        <w:tc>
          <w:tcPr>
            <w:tcW w:w="0" w:type="auto"/>
            <w:tcBorders>
              <w:top w:val="single" w:sz="8" w:space="0" w:color="000000"/>
            </w:tcBorders>
            <w:shd w:val="clear" w:color="auto" w:fill="FFFFFF"/>
            <w:tcMar>
              <w:top w:w="40" w:type="dxa"/>
              <w:bottom w:w="40" w:type="dxa"/>
              <w:right w:w="20" w:type="dxa"/>
            </w:tcMar>
            <w:vAlign w:val="bottom"/>
          </w:tcPr>
          <w:p w14:paraId="64A89FC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FC7"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FC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FC9" w14:textId="77777777" w:rsidR="008D6614" w:rsidRDefault="00866AF2">
            <w:pPr>
              <w:jc w:val="right"/>
              <w:textAlignment w:val="bottom"/>
            </w:pPr>
            <w:r>
              <w:rPr>
                <w:rFonts w:ascii="Arial" w:eastAsia="宋体" w:hAnsi="Arial" w:cs="Arial"/>
                <w:color w:val="000000"/>
                <w:sz w:val="18"/>
                <w:szCs w:val="18"/>
              </w:rPr>
              <w:t>780 </w:t>
            </w:r>
          </w:p>
        </w:tc>
        <w:tc>
          <w:tcPr>
            <w:tcW w:w="0" w:type="auto"/>
            <w:tcBorders>
              <w:top w:val="single" w:sz="8" w:space="0" w:color="000000"/>
            </w:tcBorders>
            <w:shd w:val="clear" w:color="auto" w:fill="FFFFFF"/>
            <w:tcMar>
              <w:top w:w="40" w:type="dxa"/>
              <w:bottom w:w="40" w:type="dxa"/>
              <w:right w:w="20" w:type="dxa"/>
            </w:tcMar>
            <w:vAlign w:val="bottom"/>
          </w:tcPr>
          <w:p w14:paraId="64A89FC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FCB"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FC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FCD" w14:textId="77777777" w:rsidR="008D6614" w:rsidRDefault="00866AF2">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FFFFFF"/>
            <w:tcMar>
              <w:top w:w="40" w:type="dxa"/>
              <w:bottom w:w="40" w:type="dxa"/>
              <w:right w:w="20" w:type="dxa"/>
            </w:tcMar>
            <w:vAlign w:val="bottom"/>
          </w:tcPr>
          <w:p w14:paraId="64A89FC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FCF"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9FD0"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9FD1"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64A89FD2" w14:textId="77777777" w:rsidR="008D6614" w:rsidRDefault="00866AF2">
            <w:pPr>
              <w:jc w:val="right"/>
              <w:textAlignment w:val="bottom"/>
            </w:pPr>
            <w:r>
              <w:rPr>
                <w:rFonts w:ascii="Arial" w:eastAsia="宋体" w:hAnsi="Arial" w:cs="Arial"/>
                <w:color w:val="000000"/>
                <w:sz w:val="18"/>
                <w:szCs w:val="18"/>
              </w:rPr>
              <w:t> </w:t>
            </w:r>
          </w:p>
        </w:tc>
      </w:tr>
      <w:tr w:rsidR="008D6614" w14:paraId="64A89FDC" w14:textId="77777777">
        <w:trPr>
          <w:jc w:val="center"/>
        </w:trPr>
        <w:tc>
          <w:tcPr>
            <w:tcW w:w="0" w:type="auto"/>
            <w:gridSpan w:val="3"/>
            <w:shd w:val="clear" w:color="auto" w:fill="E2E2E2"/>
            <w:tcMar>
              <w:top w:w="40" w:type="dxa"/>
              <w:left w:w="225" w:type="dxa"/>
              <w:bottom w:w="40" w:type="dxa"/>
              <w:right w:w="20" w:type="dxa"/>
            </w:tcMar>
            <w:vAlign w:val="bottom"/>
          </w:tcPr>
          <w:p w14:paraId="64A89FD4" w14:textId="77777777" w:rsidR="008D6614" w:rsidRDefault="00866AF2">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left w:w="20" w:type="dxa"/>
              <w:right w:w="20" w:type="dxa"/>
            </w:tcMar>
            <w:vAlign w:val="bottom"/>
          </w:tcPr>
          <w:p w14:paraId="64A89FD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FD6"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FD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FD8"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FD9"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9FDA"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9FDB" w14:textId="77777777" w:rsidR="008D6614" w:rsidRDefault="008D6614">
            <w:pPr>
              <w:rPr>
                <w:rFonts w:ascii="宋体"/>
              </w:rPr>
            </w:pPr>
          </w:p>
        </w:tc>
      </w:tr>
      <w:tr w:rsidR="008D6614" w14:paraId="64A89FE9" w14:textId="77777777">
        <w:trPr>
          <w:jc w:val="center"/>
        </w:trPr>
        <w:tc>
          <w:tcPr>
            <w:tcW w:w="0" w:type="auto"/>
            <w:gridSpan w:val="3"/>
            <w:shd w:val="clear" w:color="auto" w:fill="FFFFFF"/>
            <w:tcMar>
              <w:top w:w="40" w:type="dxa"/>
              <w:left w:w="720" w:type="dxa"/>
              <w:bottom w:w="40" w:type="dxa"/>
              <w:right w:w="20" w:type="dxa"/>
            </w:tcMar>
            <w:vAlign w:val="bottom"/>
          </w:tcPr>
          <w:p w14:paraId="64A89FDD" w14:textId="77777777" w:rsidR="008D6614" w:rsidRDefault="00866AF2">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64A89FDE" w14:textId="77777777" w:rsidR="008D6614" w:rsidRDefault="00866AF2">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64A89FD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FE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FE1" w14:textId="77777777" w:rsidR="008D6614" w:rsidRDefault="00866AF2">
            <w:pPr>
              <w:jc w:val="right"/>
              <w:textAlignment w:val="bottom"/>
            </w:pPr>
            <w:r>
              <w:rPr>
                <w:rFonts w:ascii="Arial" w:eastAsia="宋体" w:hAnsi="Arial" w:cs="Arial"/>
                <w:color w:val="000000"/>
                <w:sz w:val="18"/>
                <w:szCs w:val="18"/>
              </w:rPr>
              <w:t>19 </w:t>
            </w:r>
          </w:p>
        </w:tc>
        <w:tc>
          <w:tcPr>
            <w:tcW w:w="0" w:type="auto"/>
            <w:shd w:val="clear" w:color="auto" w:fill="FFFFFF"/>
            <w:tcMar>
              <w:top w:w="40" w:type="dxa"/>
              <w:bottom w:w="40" w:type="dxa"/>
              <w:right w:w="20" w:type="dxa"/>
            </w:tcMar>
            <w:vAlign w:val="bottom"/>
          </w:tcPr>
          <w:p w14:paraId="64A89FE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FE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FE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FE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FE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FE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FE8" w14:textId="77777777" w:rsidR="008D6614" w:rsidRDefault="00866AF2">
            <w:pPr>
              <w:jc w:val="right"/>
              <w:textAlignment w:val="bottom"/>
            </w:pPr>
            <w:r>
              <w:rPr>
                <w:rFonts w:ascii="Arial" w:eastAsia="宋体" w:hAnsi="Arial" w:cs="Arial"/>
                <w:color w:val="000000"/>
                <w:sz w:val="18"/>
                <w:szCs w:val="18"/>
              </w:rPr>
              <w:t> </w:t>
            </w:r>
          </w:p>
        </w:tc>
      </w:tr>
      <w:tr w:rsidR="008D6614" w14:paraId="64A89FF6" w14:textId="77777777">
        <w:trPr>
          <w:jc w:val="center"/>
        </w:trPr>
        <w:tc>
          <w:tcPr>
            <w:tcW w:w="0" w:type="auto"/>
            <w:gridSpan w:val="3"/>
            <w:shd w:val="clear" w:color="auto" w:fill="E2E2E2"/>
            <w:tcMar>
              <w:top w:w="40" w:type="dxa"/>
              <w:left w:w="720" w:type="dxa"/>
              <w:bottom w:w="40" w:type="dxa"/>
              <w:right w:w="20" w:type="dxa"/>
            </w:tcMar>
            <w:vAlign w:val="bottom"/>
          </w:tcPr>
          <w:p w14:paraId="64A89FEA" w14:textId="77777777" w:rsidR="008D6614" w:rsidRDefault="00866AF2">
            <w:pPr>
              <w:textAlignment w:val="bottom"/>
            </w:pPr>
            <w:r>
              <w:rPr>
                <w:rFonts w:ascii="Arial" w:eastAsia="宋体" w:hAnsi="Arial" w:cs="Arial"/>
                <w:color w:val="000000"/>
                <w:sz w:val="18"/>
                <w:szCs w:val="18"/>
              </w:rPr>
              <w:t>Corp</w:t>
            </w:r>
            <w:r>
              <w:rPr>
                <w:rFonts w:ascii="Arial" w:eastAsia="宋体" w:hAnsi="Arial" w:cs="Arial"/>
                <w:color w:val="000000"/>
                <w:sz w:val="18"/>
                <w:szCs w:val="18"/>
              </w:rPr>
              <w:t>orate debt securities</w:t>
            </w:r>
          </w:p>
        </w:tc>
        <w:tc>
          <w:tcPr>
            <w:tcW w:w="0" w:type="auto"/>
            <w:gridSpan w:val="2"/>
            <w:shd w:val="clear" w:color="auto" w:fill="E2E2E2"/>
            <w:tcMar>
              <w:top w:w="40" w:type="dxa"/>
              <w:left w:w="20" w:type="dxa"/>
              <w:bottom w:w="40" w:type="dxa"/>
              <w:right w:w="0" w:type="dxa"/>
            </w:tcMar>
            <w:vAlign w:val="bottom"/>
          </w:tcPr>
          <w:p w14:paraId="64A89FEB" w14:textId="77777777" w:rsidR="008D6614" w:rsidRDefault="00866AF2">
            <w:pPr>
              <w:jc w:val="right"/>
              <w:textAlignment w:val="bottom"/>
            </w:pPr>
            <w:r>
              <w:rPr>
                <w:rFonts w:ascii="Arial" w:eastAsia="宋体" w:hAnsi="Arial" w:cs="Arial"/>
                <w:color w:val="000000"/>
                <w:sz w:val="18"/>
                <w:szCs w:val="18"/>
              </w:rPr>
              <w:t>3,431 </w:t>
            </w:r>
          </w:p>
        </w:tc>
        <w:tc>
          <w:tcPr>
            <w:tcW w:w="0" w:type="auto"/>
            <w:shd w:val="clear" w:color="auto" w:fill="E2E2E2"/>
            <w:tcMar>
              <w:top w:w="40" w:type="dxa"/>
              <w:bottom w:w="40" w:type="dxa"/>
              <w:right w:w="20" w:type="dxa"/>
            </w:tcMar>
            <w:vAlign w:val="bottom"/>
          </w:tcPr>
          <w:p w14:paraId="64A89FE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FE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FE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9FE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FF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FF1" w14:textId="77777777" w:rsidR="008D6614" w:rsidRDefault="00866AF2">
            <w:pPr>
              <w:jc w:val="right"/>
              <w:textAlignment w:val="bottom"/>
            </w:pPr>
            <w:r>
              <w:rPr>
                <w:rFonts w:ascii="Arial" w:eastAsia="宋体" w:hAnsi="Arial" w:cs="Arial"/>
                <w:color w:val="000000"/>
                <w:sz w:val="18"/>
                <w:szCs w:val="18"/>
              </w:rPr>
              <w:t>3,431 </w:t>
            </w:r>
          </w:p>
        </w:tc>
        <w:tc>
          <w:tcPr>
            <w:tcW w:w="0" w:type="auto"/>
            <w:shd w:val="clear" w:color="auto" w:fill="E2E2E2"/>
            <w:tcMar>
              <w:top w:w="40" w:type="dxa"/>
              <w:bottom w:w="40" w:type="dxa"/>
              <w:right w:w="20" w:type="dxa"/>
            </w:tcMar>
            <w:vAlign w:val="bottom"/>
          </w:tcPr>
          <w:p w14:paraId="64A89FF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9FF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9FF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9FF5" w14:textId="77777777" w:rsidR="008D6614" w:rsidRDefault="00866AF2">
            <w:pPr>
              <w:jc w:val="right"/>
              <w:textAlignment w:val="bottom"/>
            </w:pPr>
            <w:r>
              <w:rPr>
                <w:rFonts w:ascii="Arial" w:eastAsia="宋体" w:hAnsi="Arial" w:cs="Arial"/>
                <w:color w:val="000000"/>
                <w:sz w:val="18"/>
                <w:szCs w:val="18"/>
              </w:rPr>
              <w:t> </w:t>
            </w:r>
          </w:p>
        </w:tc>
      </w:tr>
      <w:tr w:rsidR="008D6614" w14:paraId="64A8A003" w14:textId="77777777">
        <w:trPr>
          <w:jc w:val="center"/>
        </w:trPr>
        <w:tc>
          <w:tcPr>
            <w:tcW w:w="0" w:type="auto"/>
            <w:gridSpan w:val="3"/>
            <w:shd w:val="clear" w:color="auto" w:fill="FFFFFF"/>
            <w:tcMar>
              <w:top w:w="40" w:type="dxa"/>
              <w:left w:w="720" w:type="dxa"/>
              <w:bottom w:w="40" w:type="dxa"/>
              <w:right w:w="20" w:type="dxa"/>
            </w:tcMar>
            <w:vAlign w:val="bottom"/>
          </w:tcPr>
          <w:p w14:paraId="64A89FF7" w14:textId="77777777" w:rsidR="008D6614" w:rsidRDefault="00866AF2">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4A89FF8" w14:textId="77777777" w:rsidR="008D6614" w:rsidRDefault="00866AF2">
            <w:pPr>
              <w:jc w:val="right"/>
              <w:textAlignment w:val="bottom"/>
            </w:pPr>
            <w:r>
              <w:rPr>
                <w:rFonts w:ascii="Arial" w:eastAsia="宋体" w:hAnsi="Arial" w:cs="Arial"/>
                <w:color w:val="000000"/>
                <w:sz w:val="18"/>
                <w:szCs w:val="18"/>
              </w:rPr>
              <w:t>100 </w:t>
            </w:r>
          </w:p>
        </w:tc>
        <w:tc>
          <w:tcPr>
            <w:tcW w:w="0" w:type="auto"/>
            <w:shd w:val="clear" w:color="auto" w:fill="FFFFFF"/>
            <w:tcMar>
              <w:top w:w="40" w:type="dxa"/>
              <w:bottom w:w="40" w:type="dxa"/>
              <w:right w:w="20" w:type="dxa"/>
            </w:tcMar>
            <w:vAlign w:val="bottom"/>
          </w:tcPr>
          <w:p w14:paraId="64A89FF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FF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FF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9FF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9FF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9FFE" w14:textId="77777777" w:rsidR="008D6614" w:rsidRDefault="00866AF2">
            <w:pPr>
              <w:jc w:val="right"/>
              <w:textAlignment w:val="bottom"/>
            </w:pPr>
            <w:r>
              <w:rPr>
                <w:rFonts w:ascii="Arial" w:eastAsia="宋体" w:hAnsi="Arial" w:cs="Arial"/>
                <w:color w:val="000000"/>
                <w:sz w:val="18"/>
                <w:szCs w:val="18"/>
              </w:rPr>
              <w:t>100 </w:t>
            </w:r>
          </w:p>
        </w:tc>
        <w:tc>
          <w:tcPr>
            <w:tcW w:w="0" w:type="auto"/>
            <w:shd w:val="clear" w:color="auto" w:fill="FFFFFF"/>
            <w:tcMar>
              <w:top w:w="40" w:type="dxa"/>
              <w:bottom w:w="40" w:type="dxa"/>
              <w:right w:w="20" w:type="dxa"/>
            </w:tcMar>
            <w:vAlign w:val="bottom"/>
          </w:tcPr>
          <w:p w14:paraId="64A89FF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0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00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A002" w14:textId="77777777" w:rsidR="008D6614" w:rsidRDefault="00866AF2">
            <w:pPr>
              <w:jc w:val="right"/>
              <w:textAlignment w:val="bottom"/>
            </w:pPr>
            <w:r>
              <w:rPr>
                <w:rFonts w:ascii="Arial" w:eastAsia="宋体" w:hAnsi="Arial" w:cs="Arial"/>
                <w:color w:val="000000"/>
                <w:sz w:val="18"/>
                <w:szCs w:val="18"/>
              </w:rPr>
              <w:t> </w:t>
            </w:r>
          </w:p>
        </w:tc>
      </w:tr>
      <w:tr w:rsidR="008D6614" w14:paraId="64A8A00C" w14:textId="77777777">
        <w:trPr>
          <w:jc w:val="center"/>
          <w:hidden/>
        </w:trPr>
        <w:tc>
          <w:tcPr>
            <w:tcW w:w="0" w:type="auto"/>
            <w:gridSpan w:val="3"/>
            <w:shd w:val="clear" w:color="auto" w:fill="auto"/>
            <w:vAlign w:val="center"/>
          </w:tcPr>
          <w:p w14:paraId="64A8A004" w14:textId="77777777" w:rsidR="008D6614" w:rsidRDefault="008D6614">
            <w:pPr>
              <w:rPr>
                <w:rFonts w:ascii="宋体"/>
                <w:vanish/>
              </w:rPr>
            </w:pPr>
          </w:p>
        </w:tc>
        <w:tc>
          <w:tcPr>
            <w:tcW w:w="0" w:type="auto"/>
            <w:gridSpan w:val="3"/>
            <w:shd w:val="clear" w:color="auto" w:fill="auto"/>
            <w:vAlign w:val="center"/>
          </w:tcPr>
          <w:p w14:paraId="64A8A005" w14:textId="77777777" w:rsidR="008D6614" w:rsidRDefault="008D6614">
            <w:pPr>
              <w:rPr>
                <w:rFonts w:ascii="宋体"/>
                <w:vanish/>
              </w:rPr>
            </w:pPr>
          </w:p>
        </w:tc>
        <w:tc>
          <w:tcPr>
            <w:tcW w:w="0" w:type="auto"/>
            <w:gridSpan w:val="3"/>
            <w:shd w:val="clear" w:color="auto" w:fill="auto"/>
            <w:vAlign w:val="center"/>
          </w:tcPr>
          <w:p w14:paraId="64A8A006" w14:textId="77777777" w:rsidR="008D6614" w:rsidRDefault="008D6614">
            <w:pPr>
              <w:rPr>
                <w:rFonts w:ascii="宋体"/>
                <w:vanish/>
              </w:rPr>
            </w:pPr>
          </w:p>
        </w:tc>
        <w:tc>
          <w:tcPr>
            <w:tcW w:w="0" w:type="auto"/>
            <w:gridSpan w:val="3"/>
            <w:shd w:val="clear" w:color="auto" w:fill="auto"/>
            <w:vAlign w:val="center"/>
          </w:tcPr>
          <w:p w14:paraId="64A8A007" w14:textId="77777777" w:rsidR="008D6614" w:rsidRDefault="008D6614">
            <w:pPr>
              <w:rPr>
                <w:rFonts w:ascii="宋体"/>
                <w:vanish/>
              </w:rPr>
            </w:pPr>
          </w:p>
        </w:tc>
        <w:tc>
          <w:tcPr>
            <w:tcW w:w="0" w:type="auto"/>
            <w:gridSpan w:val="3"/>
            <w:shd w:val="clear" w:color="auto" w:fill="auto"/>
            <w:vAlign w:val="center"/>
          </w:tcPr>
          <w:p w14:paraId="64A8A008" w14:textId="77777777" w:rsidR="008D6614" w:rsidRDefault="008D6614">
            <w:pPr>
              <w:rPr>
                <w:rFonts w:ascii="宋体"/>
                <w:vanish/>
              </w:rPr>
            </w:pPr>
          </w:p>
        </w:tc>
        <w:tc>
          <w:tcPr>
            <w:tcW w:w="0" w:type="auto"/>
            <w:gridSpan w:val="3"/>
            <w:shd w:val="clear" w:color="auto" w:fill="auto"/>
            <w:vAlign w:val="center"/>
          </w:tcPr>
          <w:p w14:paraId="64A8A009" w14:textId="77777777" w:rsidR="008D6614" w:rsidRDefault="008D6614">
            <w:pPr>
              <w:rPr>
                <w:rFonts w:ascii="宋体"/>
                <w:vanish/>
              </w:rPr>
            </w:pPr>
          </w:p>
        </w:tc>
        <w:tc>
          <w:tcPr>
            <w:tcW w:w="0" w:type="auto"/>
            <w:gridSpan w:val="3"/>
            <w:shd w:val="clear" w:color="auto" w:fill="auto"/>
            <w:vAlign w:val="center"/>
          </w:tcPr>
          <w:p w14:paraId="64A8A00A" w14:textId="77777777" w:rsidR="008D6614" w:rsidRDefault="008D6614">
            <w:pPr>
              <w:rPr>
                <w:rFonts w:ascii="宋体"/>
                <w:vanish/>
              </w:rPr>
            </w:pPr>
          </w:p>
        </w:tc>
        <w:tc>
          <w:tcPr>
            <w:tcW w:w="0" w:type="auto"/>
            <w:gridSpan w:val="3"/>
            <w:shd w:val="clear" w:color="auto" w:fill="auto"/>
            <w:vAlign w:val="center"/>
          </w:tcPr>
          <w:p w14:paraId="64A8A00B" w14:textId="77777777" w:rsidR="008D6614" w:rsidRDefault="008D6614">
            <w:pPr>
              <w:rPr>
                <w:rFonts w:ascii="宋体"/>
                <w:vanish/>
              </w:rPr>
            </w:pPr>
          </w:p>
        </w:tc>
      </w:tr>
      <w:tr w:rsidR="008D6614" w14:paraId="64A8A015" w14:textId="77777777">
        <w:trPr>
          <w:jc w:val="center"/>
          <w:hidden/>
        </w:trPr>
        <w:tc>
          <w:tcPr>
            <w:tcW w:w="0" w:type="auto"/>
            <w:gridSpan w:val="3"/>
            <w:shd w:val="clear" w:color="auto" w:fill="auto"/>
            <w:vAlign w:val="center"/>
          </w:tcPr>
          <w:p w14:paraId="64A8A00D" w14:textId="77777777" w:rsidR="008D6614" w:rsidRDefault="008D6614">
            <w:pPr>
              <w:rPr>
                <w:rFonts w:ascii="宋体"/>
                <w:vanish/>
              </w:rPr>
            </w:pPr>
          </w:p>
        </w:tc>
        <w:tc>
          <w:tcPr>
            <w:tcW w:w="0" w:type="auto"/>
            <w:gridSpan w:val="3"/>
            <w:shd w:val="clear" w:color="auto" w:fill="auto"/>
            <w:vAlign w:val="center"/>
          </w:tcPr>
          <w:p w14:paraId="64A8A00E" w14:textId="77777777" w:rsidR="008D6614" w:rsidRDefault="008D6614">
            <w:pPr>
              <w:rPr>
                <w:rFonts w:ascii="宋体"/>
                <w:vanish/>
              </w:rPr>
            </w:pPr>
          </w:p>
        </w:tc>
        <w:tc>
          <w:tcPr>
            <w:tcW w:w="0" w:type="auto"/>
            <w:gridSpan w:val="3"/>
            <w:shd w:val="clear" w:color="auto" w:fill="auto"/>
            <w:vAlign w:val="center"/>
          </w:tcPr>
          <w:p w14:paraId="64A8A00F" w14:textId="77777777" w:rsidR="008D6614" w:rsidRDefault="008D6614">
            <w:pPr>
              <w:rPr>
                <w:rFonts w:ascii="宋体"/>
                <w:vanish/>
              </w:rPr>
            </w:pPr>
          </w:p>
        </w:tc>
        <w:tc>
          <w:tcPr>
            <w:tcW w:w="0" w:type="auto"/>
            <w:gridSpan w:val="3"/>
            <w:shd w:val="clear" w:color="auto" w:fill="auto"/>
            <w:vAlign w:val="center"/>
          </w:tcPr>
          <w:p w14:paraId="64A8A010" w14:textId="77777777" w:rsidR="008D6614" w:rsidRDefault="008D6614">
            <w:pPr>
              <w:rPr>
                <w:rFonts w:ascii="宋体"/>
                <w:vanish/>
              </w:rPr>
            </w:pPr>
          </w:p>
        </w:tc>
        <w:tc>
          <w:tcPr>
            <w:tcW w:w="0" w:type="auto"/>
            <w:gridSpan w:val="3"/>
            <w:shd w:val="clear" w:color="auto" w:fill="auto"/>
            <w:vAlign w:val="center"/>
          </w:tcPr>
          <w:p w14:paraId="64A8A011" w14:textId="77777777" w:rsidR="008D6614" w:rsidRDefault="008D6614">
            <w:pPr>
              <w:rPr>
                <w:rFonts w:ascii="宋体"/>
                <w:vanish/>
              </w:rPr>
            </w:pPr>
          </w:p>
        </w:tc>
        <w:tc>
          <w:tcPr>
            <w:tcW w:w="0" w:type="auto"/>
            <w:gridSpan w:val="3"/>
            <w:shd w:val="clear" w:color="auto" w:fill="auto"/>
            <w:vAlign w:val="center"/>
          </w:tcPr>
          <w:p w14:paraId="64A8A012" w14:textId="77777777" w:rsidR="008D6614" w:rsidRDefault="008D6614">
            <w:pPr>
              <w:rPr>
                <w:rFonts w:ascii="宋体"/>
                <w:vanish/>
              </w:rPr>
            </w:pPr>
          </w:p>
        </w:tc>
        <w:tc>
          <w:tcPr>
            <w:tcW w:w="0" w:type="auto"/>
            <w:gridSpan w:val="3"/>
            <w:shd w:val="clear" w:color="auto" w:fill="auto"/>
            <w:vAlign w:val="center"/>
          </w:tcPr>
          <w:p w14:paraId="64A8A013" w14:textId="77777777" w:rsidR="008D6614" w:rsidRDefault="008D6614">
            <w:pPr>
              <w:rPr>
                <w:rFonts w:ascii="宋体"/>
                <w:vanish/>
              </w:rPr>
            </w:pPr>
          </w:p>
        </w:tc>
        <w:tc>
          <w:tcPr>
            <w:tcW w:w="0" w:type="auto"/>
            <w:gridSpan w:val="3"/>
            <w:shd w:val="clear" w:color="auto" w:fill="auto"/>
            <w:vAlign w:val="center"/>
          </w:tcPr>
          <w:p w14:paraId="64A8A014" w14:textId="77777777" w:rsidR="008D6614" w:rsidRDefault="008D6614">
            <w:pPr>
              <w:rPr>
                <w:rFonts w:ascii="宋体"/>
                <w:vanish/>
              </w:rPr>
            </w:pPr>
          </w:p>
        </w:tc>
      </w:tr>
      <w:tr w:rsidR="008D6614" w14:paraId="64A8A022" w14:textId="77777777">
        <w:trPr>
          <w:jc w:val="center"/>
        </w:trPr>
        <w:tc>
          <w:tcPr>
            <w:tcW w:w="0" w:type="auto"/>
            <w:gridSpan w:val="3"/>
            <w:shd w:val="clear" w:color="auto" w:fill="E2E2E2"/>
            <w:tcMar>
              <w:top w:w="40" w:type="dxa"/>
              <w:left w:w="225" w:type="dxa"/>
              <w:bottom w:w="40" w:type="dxa"/>
              <w:right w:w="20" w:type="dxa"/>
            </w:tcMar>
            <w:vAlign w:val="bottom"/>
          </w:tcPr>
          <w:p w14:paraId="64A8A016" w14:textId="77777777" w:rsidR="008D6614" w:rsidRDefault="00866AF2">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017" w14:textId="77777777" w:rsidR="008D6614" w:rsidRDefault="00866AF2">
            <w:pPr>
              <w:jc w:val="right"/>
              <w:textAlignment w:val="bottom"/>
            </w:pPr>
            <w:r>
              <w:rPr>
                <w:rFonts w:ascii="Arial" w:eastAsia="宋体" w:hAnsi="Arial" w:cs="Arial"/>
                <w:color w:val="000000"/>
                <w:sz w:val="18"/>
                <w:szCs w:val="18"/>
              </w:rPr>
              <w:t>3,550 </w:t>
            </w:r>
          </w:p>
        </w:tc>
        <w:tc>
          <w:tcPr>
            <w:tcW w:w="0" w:type="auto"/>
            <w:tcBorders>
              <w:top w:val="single" w:sz="8" w:space="0" w:color="000000"/>
            </w:tcBorders>
            <w:shd w:val="clear" w:color="auto" w:fill="E2E2E2"/>
            <w:tcMar>
              <w:top w:w="40" w:type="dxa"/>
              <w:bottom w:w="40" w:type="dxa"/>
              <w:right w:w="20" w:type="dxa"/>
            </w:tcMar>
            <w:vAlign w:val="bottom"/>
          </w:tcPr>
          <w:p w14:paraId="64A8A01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19"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01A" w14:textId="77777777" w:rsidR="008D6614" w:rsidRDefault="00866AF2">
            <w:pPr>
              <w:jc w:val="right"/>
              <w:textAlignment w:val="bottom"/>
            </w:pPr>
            <w:r>
              <w:rPr>
                <w:rFonts w:ascii="Arial" w:eastAsia="宋体" w:hAnsi="Arial" w:cs="Arial"/>
                <w:color w:val="000000"/>
                <w:sz w:val="18"/>
                <w:szCs w:val="18"/>
              </w:rPr>
              <w:t>19 </w:t>
            </w:r>
          </w:p>
        </w:tc>
        <w:tc>
          <w:tcPr>
            <w:tcW w:w="0" w:type="auto"/>
            <w:tcBorders>
              <w:top w:val="single" w:sz="8" w:space="0" w:color="000000"/>
            </w:tcBorders>
            <w:shd w:val="clear" w:color="auto" w:fill="E2E2E2"/>
            <w:tcMar>
              <w:top w:w="40" w:type="dxa"/>
              <w:bottom w:w="40" w:type="dxa"/>
              <w:right w:w="20" w:type="dxa"/>
            </w:tcMar>
            <w:vAlign w:val="bottom"/>
          </w:tcPr>
          <w:p w14:paraId="64A8A01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1C"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01D" w14:textId="77777777" w:rsidR="008D6614" w:rsidRDefault="00866AF2">
            <w:pPr>
              <w:jc w:val="right"/>
              <w:textAlignment w:val="bottom"/>
            </w:pPr>
            <w:r>
              <w:rPr>
                <w:rFonts w:ascii="Arial" w:eastAsia="宋体" w:hAnsi="Arial" w:cs="Arial"/>
                <w:color w:val="000000"/>
                <w:sz w:val="18"/>
                <w:szCs w:val="18"/>
              </w:rPr>
              <w:t>3,531 </w:t>
            </w:r>
          </w:p>
        </w:tc>
        <w:tc>
          <w:tcPr>
            <w:tcW w:w="0" w:type="auto"/>
            <w:tcBorders>
              <w:top w:val="single" w:sz="8" w:space="0" w:color="000000"/>
            </w:tcBorders>
            <w:shd w:val="clear" w:color="auto" w:fill="E2E2E2"/>
            <w:tcMar>
              <w:top w:w="40" w:type="dxa"/>
              <w:bottom w:w="40" w:type="dxa"/>
              <w:right w:w="20" w:type="dxa"/>
            </w:tcMar>
            <w:vAlign w:val="bottom"/>
          </w:tcPr>
          <w:p w14:paraId="64A8A01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1F"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020"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64A8A021" w14:textId="77777777" w:rsidR="008D6614" w:rsidRDefault="00866AF2">
            <w:pPr>
              <w:jc w:val="right"/>
              <w:textAlignment w:val="bottom"/>
            </w:pPr>
            <w:r>
              <w:rPr>
                <w:rFonts w:ascii="Arial" w:eastAsia="宋体" w:hAnsi="Arial" w:cs="Arial"/>
                <w:color w:val="000000"/>
                <w:sz w:val="18"/>
                <w:szCs w:val="18"/>
              </w:rPr>
              <w:t> </w:t>
            </w:r>
          </w:p>
        </w:tc>
      </w:tr>
      <w:tr w:rsidR="008D6614" w14:paraId="64A8A02B" w14:textId="77777777">
        <w:trPr>
          <w:jc w:val="center"/>
          <w:hidden/>
        </w:trPr>
        <w:tc>
          <w:tcPr>
            <w:tcW w:w="0" w:type="auto"/>
            <w:gridSpan w:val="3"/>
            <w:shd w:val="clear" w:color="auto" w:fill="auto"/>
            <w:vAlign w:val="center"/>
          </w:tcPr>
          <w:p w14:paraId="64A8A023" w14:textId="77777777" w:rsidR="008D6614" w:rsidRDefault="008D6614">
            <w:pPr>
              <w:rPr>
                <w:rFonts w:ascii="宋体"/>
                <w:vanish/>
              </w:rPr>
            </w:pPr>
          </w:p>
        </w:tc>
        <w:tc>
          <w:tcPr>
            <w:tcW w:w="0" w:type="auto"/>
            <w:gridSpan w:val="3"/>
            <w:shd w:val="clear" w:color="auto" w:fill="auto"/>
            <w:vAlign w:val="center"/>
          </w:tcPr>
          <w:p w14:paraId="64A8A024" w14:textId="77777777" w:rsidR="008D6614" w:rsidRDefault="008D6614">
            <w:pPr>
              <w:rPr>
                <w:rFonts w:ascii="宋体"/>
                <w:vanish/>
              </w:rPr>
            </w:pPr>
          </w:p>
        </w:tc>
        <w:tc>
          <w:tcPr>
            <w:tcW w:w="0" w:type="auto"/>
            <w:gridSpan w:val="3"/>
            <w:shd w:val="clear" w:color="auto" w:fill="auto"/>
            <w:vAlign w:val="center"/>
          </w:tcPr>
          <w:p w14:paraId="64A8A025" w14:textId="77777777" w:rsidR="008D6614" w:rsidRDefault="008D6614">
            <w:pPr>
              <w:rPr>
                <w:rFonts w:ascii="宋体"/>
                <w:vanish/>
              </w:rPr>
            </w:pPr>
          </w:p>
        </w:tc>
        <w:tc>
          <w:tcPr>
            <w:tcW w:w="0" w:type="auto"/>
            <w:gridSpan w:val="3"/>
            <w:shd w:val="clear" w:color="auto" w:fill="auto"/>
            <w:vAlign w:val="center"/>
          </w:tcPr>
          <w:p w14:paraId="64A8A026" w14:textId="77777777" w:rsidR="008D6614" w:rsidRDefault="008D6614">
            <w:pPr>
              <w:rPr>
                <w:rFonts w:ascii="宋体"/>
                <w:vanish/>
              </w:rPr>
            </w:pPr>
          </w:p>
        </w:tc>
        <w:tc>
          <w:tcPr>
            <w:tcW w:w="0" w:type="auto"/>
            <w:gridSpan w:val="3"/>
            <w:shd w:val="clear" w:color="auto" w:fill="auto"/>
            <w:vAlign w:val="center"/>
          </w:tcPr>
          <w:p w14:paraId="64A8A027" w14:textId="77777777" w:rsidR="008D6614" w:rsidRDefault="008D6614">
            <w:pPr>
              <w:rPr>
                <w:rFonts w:ascii="宋体"/>
                <w:vanish/>
              </w:rPr>
            </w:pPr>
          </w:p>
        </w:tc>
        <w:tc>
          <w:tcPr>
            <w:tcW w:w="0" w:type="auto"/>
            <w:gridSpan w:val="3"/>
            <w:shd w:val="clear" w:color="auto" w:fill="auto"/>
            <w:vAlign w:val="center"/>
          </w:tcPr>
          <w:p w14:paraId="64A8A028" w14:textId="77777777" w:rsidR="008D6614" w:rsidRDefault="008D6614">
            <w:pPr>
              <w:rPr>
                <w:rFonts w:ascii="宋体"/>
                <w:vanish/>
              </w:rPr>
            </w:pPr>
          </w:p>
        </w:tc>
        <w:tc>
          <w:tcPr>
            <w:tcW w:w="0" w:type="auto"/>
            <w:gridSpan w:val="3"/>
            <w:shd w:val="clear" w:color="auto" w:fill="auto"/>
            <w:vAlign w:val="center"/>
          </w:tcPr>
          <w:p w14:paraId="64A8A029" w14:textId="77777777" w:rsidR="008D6614" w:rsidRDefault="008D6614">
            <w:pPr>
              <w:rPr>
                <w:rFonts w:ascii="宋体"/>
                <w:vanish/>
              </w:rPr>
            </w:pPr>
          </w:p>
        </w:tc>
        <w:tc>
          <w:tcPr>
            <w:tcW w:w="0" w:type="auto"/>
            <w:gridSpan w:val="3"/>
            <w:shd w:val="clear" w:color="auto" w:fill="auto"/>
            <w:vAlign w:val="center"/>
          </w:tcPr>
          <w:p w14:paraId="64A8A02A" w14:textId="77777777" w:rsidR="008D6614" w:rsidRDefault="008D6614">
            <w:pPr>
              <w:rPr>
                <w:rFonts w:ascii="宋体"/>
                <w:vanish/>
              </w:rPr>
            </w:pPr>
          </w:p>
        </w:tc>
      </w:tr>
      <w:tr w:rsidR="008D6614" w14:paraId="64A8A038" w14:textId="77777777">
        <w:trPr>
          <w:jc w:val="center"/>
        </w:trPr>
        <w:tc>
          <w:tcPr>
            <w:tcW w:w="0" w:type="auto"/>
            <w:gridSpan w:val="3"/>
            <w:shd w:val="clear" w:color="auto" w:fill="FFFFFF"/>
            <w:tcMar>
              <w:top w:w="40" w:type="dxa"/>
              <w:left w:w="225" w:type="dxa"/>
              <w:bottom w:w="40" w:type="dxa"/>
              <w:right w:w="20" w:type="dxa"/>
            </w:tcMar>
            <w:vAlign w:val="bottom"/>
          </w:tcPr>
          <w:p w14:paraId="64A8A02C" w14:textId="77777777" w:rsidR="008D6614" w:rsidRDefault="00866AF2">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02D" w14:textId="77777777" w:rsidR="008D6614" w:rsidRDefault="00866AF2">
            <w:pPr>
              <w:jc w:val="right"/>
              <w:textAlignment w:val="bottom"/>
            </w:pPr>
            <w:r>
              <w:rPr>
                <w:rFonts w:ascii="Arial" w:eastAsia="宋体" w:hAnsi="Arial" w:cs="Arial"/>
                <w:color w:val="000000"/>
                <w:sz w:val="18"/>
                <w:szCs w:val="18"/>
              </w:rPr>
              <w:t>414 </w:t>
            </w:r>
          </w:p>
        </w:tc>
        <w:tc>
          <w:tcPr>
            <w:tcW w:w="0" w:type="auto"/>
            <w:tcBorders>
              <w:top w:val="single" w:sz="8" w:space="0" w:color="000000"/>
            </w:tcBorders>
            <w:shd w:val="clear" w:color="auto" w:fill="FFFFFF"/>
            <w:tcMar>
              <w:top w:w="40" w:type="dxa"/>
              <w:bottom w:w="40" w:type="dxa"/>
              <w:right w:w="20" w:type="dxa"/>
            </w:tcMar>
            <w:vAlign w:val="bottom"/>
          </w:tcPr>
          <w:p w14:paraId="64A8A02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2F"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030"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64A8A03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32"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033" w14:textId="77777777" w:rsidR="008D6614" w:rsidRDefault="00866AF2">
            <w:pPr>
              <w:jc w:val="right"/>
              <w:textAlignment w:val="bottom"/>
            </w:pPr>
            <w:r>
              <w:rPr>
                <w:rFonts w:ascii="Arial" w:eastAsia="宋体" w:hAnsi="Arial" w:cs="Arial"/>
                <w:color w:val="000000"/>
                <w:sz w:val="18"/>
                <w:szCs w:val="18"/>
              </w:rPr>
              <w:t>121 </w:t>
            </w:r>
          </w:p>
        </w:tc>
        <w:tc>
          <w:tcPr>
            <w:tcW w:w="0" w:type="auto"/>
            <w:tcBorders>
              <w:top w:val="single" w:sz="8" w:space="0" w:color="000000"/>
            </w:tcBorders>
            <w:shd w:val="clear" w:color="auto" w:fill="FFFFFF"/>
            <w:tcMar>
              <w:top w:w="40" w:type="dxa"/>
              <w:bottom w:w="40" w:type="dxa"/>
              <w:right w:w="20" w:type="dxa"/>
            </w:tcMar>
            <w:vAlign w:val="bottom"/>
          </w:tcPr>
          <w:p w14:paraId="64A8A03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35"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036" w14:textId="77777777" w:rsidR="008D6614" w:rsidRDefault="00866AF2">
            <w:pPr>
              <w:jc w:val="right"/>
              <w:textAlignment w:val="bottom"/>
            </w:pPr>
            <w:r>
              <w:rPr>
                <w:rFonts w:ascii="Arial" w:eastAsia="宋体" w:hAnsi="Arial" w:cs="Arial"/>
                <w:color w:val="000000"/>
                <w:sz w:val="18"/>
                <w:szCs w:val="18"/>
              </w:rPr>
              <w:t>293 </w:t>
            </w:r>
          </w:p>
        </w:tc>
        <w:tc>
          <w:tcPr>
            <w:tcW w:w="0" w:type="auto"/>
            <w:tcBorders>
              <w:top w:val="single" w:sz="8" w:space="0" w:color="000000"/>
            </w:tcBorders>
            <w:shd w:val="clear" w:color="auto" w:fill="FFFFFF"/>
            <w:tcMar>
              <w:top w:w="40" w:type="dxa"/>
              <w:bottom w:w="40" w:type="dxa"/>
              <w:right w:w="20" w:type="dxa"/>
            </w:tcMar>
            <w:vAlign w:val="bottom"/>
          </w:tcPr>
          <w:p w14:paraId="64A8A037" w14:textId="77777777" w:rsidR="008D6614" w:rsidRDefault="00866AF2">
            <w:pPr>
              <w:jc w:val="right"/>
              <w:textAlignment w:val="bottom"/>
            </w:pPr>
            <w:r>
              <w:rPr>
                <w:rFonts w:ascii="Arial" w:eastAsia="宋体" w:hAnsi="Arial" w:cs="Arial"/>
                <w:color w:val="000000"/>
                <w:sz w:val="18"/>
                <w:szCs w:val="18"/>
              </w:rPr>
              <w:t> </w:t>
            </w:r>
          </w:p>
        </w:tc>
      </w:tr>
      <w:tr w:rsidR="008D6614" w14:paraId="64A8A041" w14:textId="77777777">
        <w:trPr>
          <w:jc w:val="center"/>
        </w:trPr>
        <w:tc>
          <w:tcPr>
            <w:tcW w:w="0" w:type="auto"/>
            <w:gridSpan w:val="3"/>
            <w:shd w:val="clear" w:color="auto" w:fill="E2E2E2"/>
            <w:tcMar>
              <w:top w:w="40" w:type="dxa"/>
              <w:left w:w="225" w:type="dxa"/>
              <w:bottom w:w="40" w:type="dxa"/>
              <w:right w:w="20" w:type="dxa"/>
            </w:tcMar>
            <w:vAlign w:val="bottom"/>
          </w:tcPr>
          <w:p w14:paraId="64A8A039" w14:textId="77777777" w:rsidR="008D6614" w:rsidRDefault="00866AF2">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left w:w="20" w:type="dxa"/>
              <w:right w:w="20" w:type="dxa"/>
            </w:tcMar>
            <w:vAlign w:val="bottom"/>
          </w:tcPr>
          <w:p w14:paraId="64A8A03A"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03B"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03C"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03D"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03E"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03F"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040" w14:textId="77777777" w:rsidR="008D6614" w:rsidRDefault="008D6614">
            <w:pPr>
              <w:rPr>
                <w:rFonts w:ascii="宋体"/>
              </w:rPr>
            </w:pPr>
          </w:p>
        </w:tc>
      </w:tr>
      <w:tr w:rsidR="008D6614" w14:paraId="64A8A04E" w14:textId="77777777">
        <w:trPr>
          <w:jc w:val="center"/>
        </w:trPr>
        <w:tc>
          <w:tcPr>
            <w:tcW w:w="0" w:type="auto"/>
            <w:gridSpan w:val="3"/>
            <w:shd w:val="clear" w:color="auto" w:fill="FFFFFF"/>
            <w:tcMar>
              <w:top w:w="40" w:type="dxa"/>
              <w:left w:w="720" w:type="dxa"/>
              <w:bottom w:w="40" w:type="dxa"/>
              <w:right w:w="20" w:type="dxa"/>
            </w:tcMar>
            <w:vAlign w:val="bottom"/>
          </w:tcPr>
          <w:p w14:paraId="64A8A042" w14:textId="77777777" w:rsidR="008D6614" w:rsidRDefault="00866AF2">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64A8A043" w14:textId="77777777" w:rsidR="008D6614" w:rsidRDefault="00866AF2">
            <w:pPr>
              <w:jc w:val="right"/>
              <w:textAlignment w:val="bottom"/>
            </w:pPr>
            <w:r>
              <w:rPr>
                <w:rFonts w:ascii="Arial" w:eastAsia="宋体" w:hAnsi="Arial" w:cs="Arial"/>
                <w:color w:val="000000"/>
                <w:sz w:val="18"/>
                <w:szCs w:val="18"/>
              </w:rPr>
              <w:t>744 </w:t>
            </w:r>
          </w:p>
        </w:tc>
        <w:tc>
          <w:tcPr>
            <w:tcW w:w="0" w:type="auto"/>
            <w:shd w:val="clear" w:color="auto" w:fill="FFFFFF"/>
            <w:tcMar>
              <w:top w:w="40" w:type="dxa"/>
              <w:bottom w:w="40" w:type="dxa"/>
              <w:right w:w="20" w:type="dxa"/>
            </w:tcMar>
            <w:vAlign w:val="bottom"/>
          </w:tcPr>
          <w:p w14:paraId="64A8A04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45"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04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A04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4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049" w14:textId="77777777" w:rsidR="008D6614" w:rsidRDefault="00866AF2">
            <w:pPr>
              <w:jc w:val="right"/>
              <w:textAlignment w:val="bottom"/>
            </w:pPr>
            <w:r>
              <w:rPr>
                <w:rFonts w:ascii="Arial" w:eastAsia="宋体" w:hAnsi="Arial" w:cs="Arial"/>
                <w:color w:val="000000"/>
                <w:sz w:val="18"/>
                <w:szCs w:val="18"/>
              </w:rPr>
              <w:t>744 </w:t>
            </w:r>
          </w:p>
        </w:tc>
        <w:tc>
          <w:tcPr>
            <w:tcW w:w="0" w:type="auto"/>
            <w:shd w:val="clear" w:color="auto" w:fill="FFFFFF"/>
            <w:tcMar>
              <w:top w:w="40" w:type="dxa"/>
              <w:bottom w:w="40" w:type="dxa"/>
              <w:right w:w="20" w:type="dxa"/>
            </w:tcMar>
            <w:vAlign w:val="bottom"/>
          </w:tcPr>
          <w:p w14:paraId="64A8A04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4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04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A04D" w14:textId="77777777" w:rsidR="008D6614" w:rsidRDefault="00866AF2">
            <w:pPr>
              <w:jc w:val="right"/>
              <w:textAlignment w:val="bottom"/>
            </w:pPr>
            <w:r>
              <w:rPr>
                <w:rFonts w:ascii="Arial" w:eastAsia="宋体" w:hAnsi="Arial" w:cs="Arial"/>
                <w:color w:val="000000"/>
                <w:sz w:val="18"/>
                <w:szCs w:val="18"/>
              </w:rPr>
              <w:t> </w:t>
            </w:r>
          </w:p>
        </w:tc>
      </w:tr>
      <w:tr w:rsidR="008D6614" w14:paraId="64A8A057" w14:textId="77777777">
        <w:trPr>
          <w:jc w:val="center"/>
          <w:hidden/>
        </w:trPr>
        <w:tc>
          <w:tcPr>
            <w:tcW w:w="0" w:type="auto"/>
            <w:gridSpan w:val="3"/>
            <w:shd w:val="clear" w:color="auto" w:fill="auto"/>
            <w:vAlign w:val="center"/>
          </w:tcPr>
          <w:p w14:paraId="64A8A04F" w14:textId="77777777" w:rsidR="008D6614" w:rsidRDefault="008D6614">
            <w:pPr>
              <w:rPr>
                <w:rFonts w:ascii="宋体"/>
                <w:vanish/>
              </w:rPr>
            </w:pPr>
          </w:p>
        </w:tc>
        <w:tc>
          <w:tcPr>
            <w:tcW w:w="0" w:type="auto"/>
            <w:gridSpan w:val="3"/>
            <w:shd w:val="clear" w:color="auto" w:fill="auto"/>
            <w:vAlign w:val="center"/>
          </w:tcPr>
          <w:p w14:paraId="64A8A050" w14:textId="77777777" w:rsidR="008D6614" w:rsidRDefault="008D6614">
            <w:pPr>
              <w:rPr>
                <w:rFonts w:ascii="宋体"/>
                <w:vanish/>
              </w:rPr>
            </w:pPr>
          </w:p>
        </w:tc>
        <w:tc>
          <w:tcPr>
            <w:tcW w:w="0" w:type="auto"/>
            <w:gridSpan w:val="3"/>
            <w:shd w:val="clear" w:color="auto" w:fill="auto"/>
            <w:vAlign w:val="center"/>
          </w:tcPr>
          <w:p w14:paraId="64A8A051" w14:textId="77777777" w:rsidR="008D6614" w:rsidRDefault="008D6614">
            <w:pPr>
              <w:rPr>
                <w:rFonts w:ascii="宋体"/>
                <w:vanish/>
              </w:rPr>
            </w:pPr>
          </w:p>
        </w:tc>
        <w:tc>
          <w:tcPr>
            <w:tcW w:w="0" w:type="auto"/>
            <w:gridSpan w:val="3"/>
            <w:shd w:val="clear" w:color="auto" w:fill="auto"/>
            <w:vAlign w:val="center"/>
          </w:tcPr>
          <w:p w14:paraId="64A8A052" w14:textId="77777777" w:rsidR="008D6614" w:rsidRDefault="008D6614">
            <w:pPr>
              <w:rPr>
                <w:rFonts w:ascii="宋体"/>
                <w:vanish/>
              </w:rPr>
            </w:pPr>
          </w:p>
        </w:tc>
        <w:tc>
          <w:tcPr>
            <w:tcW w:w="0" w:type="auto"/>
            <w:gridSpan w:val="3"/>
            <w:shd w:val="clear" w:color="auto" w:fill="auto"/>
            <w:vAlign w:val="center"/>
          </w:tcPr>
          <w:p w14:paraId="64A8A053" w14:textId="77777777" w:rsidR="008D6614" w:rsidRDefault="008D6614">
            <w:pPr>
              <w:rPr>
                <w:rFonts w:ascii="宋体"/>
                <w:vanish/>
              </w:rPr>
            </w:pPr>
          </w:p>
        </w:tc>
        <w:tc>
          <w:tcPr>
            <w:tcW w:w="0" w:type="auto"/>
            <w:gridSpan w:val="3"/>
            <w:shd w:val="clear" w:color="auto" w:fill="auto"/>
            <w:vAlign w:val="center"/>
          </w:tcPr>
          <w:p w14:paraId="64A8A054" w14:textId="77777777" w:rsidR="008D6614" w:rsidRDefault="008D6614">
            <w:pPr>
              <w:rPr>
                <w:rFonts w:ascii="宋体"/>
                <w:vanish/>
              </w:rPr>
            </w:pPr>
          </w:p>
        </w:tc>
        <w:tc>
          <w:tcPr>
            <w:tcW w:w="0" w:type="auto"/>
            <w:gridSpan w:val="3"/>
            <w:shd w:val="clear" w:color="auto" w:fill="auto"/>
            <w:vAlign w:val="center"/>
          </w:tcPr>
          <w:p w14:paraId="64A8A055" w14:textId="77777777" w:rsidR="008D6614" w:rsidRDefault="008D6614">
            <w:pPr>
              <w:rPr>
                <w:rFonts w:ascii="宋体"/>
                <w:vanish/>
              </w:rPr>
            </w:pPr>
          </w:p>
        </w:tc>
        <w:tc>
          <w:tcPr>
            <w:tcW w:w="0" w:type="auto"/>
            <w:gridSpan w:val="3"/>
            <w:shd w:val="clear" w:color="auto" w:fill="auto"/>
            <w:vAlign w:val="center"/>
          </w:tcPr>
          <w:p w14:paraId="64A8A056" w14:textId="77777777" w:rsidR="008D6614" w:rsidRDefault="008D6614">
            <w:pPr>
              <w:rPr>
                <w:rFonts w:ascii="宋体"/>
                <w:vanish/>
              </w:rPr>
            </w:pPr>
          </w:p>
        </w:tc>
      </w:tr>
      <w:tr w:rsidR="008D6614" w14:paraId="64A8A064" w14:textId="77777777">
        <w:trPr>
          <w:jc w:val="center"/>
        </w:trPr>
        <w:tc>
          <w:tcPr>
            <w:tcW w:w="0" w:type="auto"/>
            <w:gridSpan w:val="3"/>
            <w:shd w:val="clear" w:color="auto" w:fill="E2E2E2"/>
            <w:tcMar>
              <w:top w:w="40" w:type="dxa"/>
              <w:left w:w="225" w:type="dxa"/>
              <w:bottom w:w="40" w:type="dxa"/>
              <w:right w:w="20" w:type="dxa"/>
            </w:tcMar>
            <w:vAlign w:val="bottom"/>
          </w:tcPr>
          <w:p w14:paraId="64A8A058" w14:textId="77777777" w:rsidR="008D6614" w:rsidRDefault="00866AF2">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059" w14:textId="77777777" w:rsidR="008D6614" w:rsidRDefault="00866AF2">
            <w:pPr>
              <w:jc w:val="right"/>
              <w:textAlignment w:val="bottom"/>
            </w:pPr>
            <w:r>
              <w:rPr>
                <w:rFonts w:ascii="Arial" w:eastAsia="宋体" w:hAnsi="Arial" w:cs="Arial"/>
                <w:color w:val="000000"/>
                <w:sz w:val="18"/>
                <w:szCs w:val="18"/>
              </w:rPr>
              <w:t>744 </w:t>
            </w:r>
          </w:p>
        </w:tc>
        <w:tc>
          <w:tcPr>
            <w:tcW w:w="0" w:type="auto"/>
            <w:tcBorders>
              <w:top w:val="single" w:sz="8" w:space="0" w:color="000000"/>
            </w:tcBorders>
            <w:shd w:val="clear" w:color="auto" w:fill="E2E2E2"/>
            <w:tcMar>
              <w:top w:w="40" w:type="dxa"/>
              <w:bottom w:w="40" w:type="dxa"/>
              <w:right w:w="20" w:type="dxa"/>
            </w:tcMar>
            <w:vAlign w:val="bottom"/>
          </w:tcPr>
          <w:p w14:paraId="64A8A05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5B"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05C"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64A8A05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5E"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05F" w14:textId="77777777" w:rsidR="008D6614" w:rsidRDefault="00866AF2">
            <w:pPr>
              <w:jc w:val="right"/>
              <w:textAlignment w:val="bottom"/>
            </w:pPr>
            <w:r>
              <w:rPr>
                <w:rFonts w:ascii="Arial" w:eastAsia="宋体" w:hAnsi="Arial" w:cs="Arial"/>
                <w:color w:val="000000"/>
                <w:sz w:val="18"/>
                <w:szCs w:val="18"/>
              </w:rPr>
              <w:t>744 </w:t>
            </w:r>
          </w:p>
        </w:tc>
        <w:tc>
          <w:tcPr>
            <w:tcW w:w="0" w:type="auto"/>
            <w:tcBorders>
              <w:top w:val="single" w:sz="8" w:space="0" w:color="000000"/>
            </w:tcBorders>
            <w:shd w:val="clear" w:color="auto" w:fill="E2E2E2"/>
            <w:tcMar>
              <w:top w:w="40" w:type="dxa"/>
              <w:bottom w:w="40" w:type="dxa"/>
              <w:right w:w="20" w:type="dxa"/>
            </w:tcMar>
            <w:vAlign w:val="bottom"/>
          </w:tcPr>
          <w:p w14:paraId="64A8A06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61"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062"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64A8A063" w14:textId="77777777" w:rsidR="008D6614" w:rsidRDefault="00866AF2">
            <w:pPr>
              <w:jc w:val="right"/>
              <w:textAlignment w:val="bottom"/>
            </w:pPr>
            <w:r>
              <w:rPr>
                <w:rFonts w:ascii="Arial" w:eastAsia="宋体" w:hAnsi="Arial" w:cs="Arial"/>
                <w:color w:val="000000"/>
                <w:sz w:val="18"/>
                <w:szCs w:val="18"/>
              </w:rPr>
              <w:t> </w:t>
            </w:r>
          </w:p>
        </w:tc>
      </w:tr>
      <w:tr w:rsidR="008D6614" w14:paraId="64A8A075" w14:textId="77777777">
        <w:trPr>
          <w:jc w:val="center"/>
        </w:trPr>
        <w:tc>
          <w:tcPr>
            <w:tcW w:w="0" w:type="auto"/>
            <w:gridSpan w:val="3"/>
            <w:shd w:val="clear" w:color="auto" w:fill="FFFFFF"/>
            <w:tcMar>
              <w:top w:w="40" w:type="dxa"/>
              <w:left w:w="225" w:type="dxa"/>
              <w:bottom w:w="40" w:type="dxa"/>
              <w:right w:w="20" w:type="dxa"/>
            </w:tcMar>
            <w:vAlign w:val="bottom"/>
          </w:tcPr>
          <w:p w14:paraId="64A8A065" w14:textId="77777777" w:rsidR="008D6614" w:rsidRDefault="00866AF2">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FFFFFF"/>
            <w:tcMar>
              <w:top w:w="40" w:type="dxa"/>
              <w:left w:w="20" w:type="dxa"/>
              <w:bottom w:w="40" w:type="dxa"/>
            </w:tcMar>
            <w:vAlign w:val="bottom"/>
          </w:tcPr>
          <w:p w14:paraId="64A8A06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067" w14:textId="77777777" w:rsidR="008D6614" w:rsidRDefault="00866AF2">
            <w:pPr>
              <w:jc w:val="right"/>
              <w:textAlignment w:val="bottom"/>
            </w:pPr>
            <w:r>
              <w:rPr>
                <w:rFonts w:ascii="Arial" w:eastAsia="宋体" w:hAnsi="Arial" w:cs="Arial"/>
                <w:color w:val="000000"/>
                <w:sz w:val="18"/>
                <w:szCs w:val="18"/>
              </w:rPr>
              <w:t>5,588 </w:t>
            </w:r>
          </w:p>
        </w:tc>
        <w:tc>
          <w:tcPr>
            <w:tcW w:w="0" w:type="auto"/>
            <w:tcBorders>
              <w:top w:val="single" w:sz="8" w:space="0" w:color="000000"/>
            </w:tcBorders>
            <w:shd w:val="clear" w:color="auto" w:fill="FFFFFF"/>
            <w:tcMar>
              <w:top w:w="40" w:type="dxa"/>
              <w:bottom w:w="40" w:type="dxa"/>
              <w:right w:w="20" w:type="dxa"/>
            </w:tcMar>
            <w:vAlign w:val="bottom"/>
          </w:tcPr>
          <w:p w14:paraId="64A8A06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69"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A06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06B" w14:textId="77777777" w:rsidR="008D6614" w:rsidRDefault="00866AF2">
            <w:pPr>
              <w:jc w:val="right"/>
              <w:textAlignment w:val="bottom"/>
            </w:pPr>
            <w:r>
              <w:rPr>
                <w:rFonts w:ascii="Arial" w:eastAsia="宋体" w:hAnsi="Arial" w:cs="Arial"/>
                <w:color w:val="000000"/>
                <w:sz w:val="18"/>
                <w:szCs w:val="18"/>
              </w:rPr>
              <w:t>799 </w:t>
            </w:r>
          </w:p>
        </w:tc>
        <w:tc>
          <w:tcPr>
            <w:tcW w:w="0" w:type="auto"/>
            <w:tcBorders>
              <w:top w:val="single" w:sz="8" w:space="0" w:color="000000"/>
            </w:tcBorders>
            <w:shd w:val="clear" w:color="auto" w:fill="FFFFFF"/>
            <w:tcMar>
              <w:top w:w="40" w:type="dxa"/>
              <w:bottom w:w="40" w:type="dxa"/>
              <w:right w:w="20" w:type="dxa"/>
            </w:tcMar>
            <w:vAlign w:val="bottom"/>
          </w:tcPr>
          <w:p w14:paraId="64A8A06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6D"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A06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06F" w14:textId="77777777" w:rsidR="008D6614" w:rsidRDefault="00866AF2">
            <w:pPr>
              <w:jc w:val="right"/>
              <w:textAlignment w:val="bottom"/>
            </w:pPr>
            <w:r>
              <w:rPr>
                <w:rFonts w:ascii="Arial" w:eastAsia="宋体" w:hAnsi="Arial" w:cs="Arial"/>
                <w:color w:val="000000"/>
                <w:sz w:val="18"/>
                <w:szCs w:val="18"/>
              </w:rPr>
              <w:t>4,496 </w:t>
            </w:r>
          </w:p>
        </w:tc>
        <w:tc>
          <w:tcPr>
            <w:tcW w:w="0" w:type="auto"/>
            <w:tcBorders>
              <w:top w:val="single" w:sz="8" w:space="0" w:color="000000"/>
            </w:tcBorders>
            <w:shd w:val="clear" w:color="auto" w:fill="FFFFFF"/>
            <w:tcMar>
              <w:top w:w="40" w:type="dxa"/>
              <w:bottom w:w="40" w:type="dxa"/>
              <w:right w:w="20" w:type="dxa"/>
            </w:tcMar>
            <w:vAlign w:val="bottom"/>
          </w:tcPr>
          <w:p w14:paraId="64A8A07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71"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A07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073" w14:textId="77777777" w:rsidR="008D6614" w:rsidRDefault="00866AF2">
            <w:pPr>
              <w:jc w:val="right"/>
              <w:textAlignment w:val="bottom"/>
            </w:pPr>
            <w:r>
              <w:rPr>
                <w:rFonts w:ascii="Arial" w:eastAsia="宋体" w:hAnsi="Arial" w:cs="Arial"/>
                <w:color w:val="000000"/>
                <w:sz w:val="18"/>
                <w:szCs w:val="18"/>
              </w:rPr>
              <w:t>293 </w:t>
            </w:r>
          </w:p>
        </w:tc>
        <w:tc>
          <w:tcPr>
            <w:tcW w:w="0" w:type="auto"/>
            <w:tcBorders>
              <w:top w:val="single" w:sz="8" w:space="0" w:color="000000"/>
            </w:tcBorders>
            <w:shd w:val="clear" w:color="auto" w:fill="FFFFFF"/>
            <w:tcMar>
              <w:top w:w="40" w:type="dxa"/>
              <w:bottom w:w="40" w:type="dxa"/>
              <w:right w:w="20" w:type="dxa"/>
            </w:tcMar>
            <w:vAlign w:val="bottom"/>
          </w:tcPr>
          <w:p w14:paraId="64A8A074" w14:textId="77777777" w:rsidR="008D6614" w:rsidRDefault="00866AF2">
            <w:pPr>
              <w:jc w:val="right"/>
              <w:textAlignment w:val="bottom"/>
            </w:pPr>
            <w:r>
              <w:rPr>
                <w:rFonts w:ascii="Arial" w:eastAsia="宋体" w:hAnsi="Arial" w:cs="Arial"/>
                <w:color w:val="000000"/>
                <w:sz w:val="18"/>
                <w:szCs w:val="18"/>
              </w:rPr>
              <w:t> </w:t>
            </w:r>
          </w:p>
        </w:tc>
      </w:tr>
      <w:tr w:rsidR="008D6614" w14:paraId="64A8A07E" w14:textId="77777777">
        <w:trPr>
          <w:trHeight w:val="280"/>
          <w:jc w:val="center"/>
        </w:trPr>
        <w:tc>
          <w:tcPr>
            <w:tcW w:w="0" w:type="auto"/>
            <w:gridSpan w:val="3"/>
            <w:shd w:val="clear" w:color="auto" w:fill="E2E2E2"/>
            <w:tcMar>
              <w:left w:w="20" w:type="dxa"/>
              <w:right w:w="20" w:type="dxa"/>
            </w:tcMar>
            <w:vAlign w:val="bottom"/>
          </w:tcPr>
          <w:p w14:paraId="64A8A076"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A07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078"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A079"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07A"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A07B"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07C"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A07D" w14:textId="77777777" w:rsidR="008D6614" w:rsidRDefault="008D6614">
            <w:pPr>
              <w:rPr>
                <w:rFonts w:ascii="宋体"/>
              </w:rPr>
            </w:pPr>
          </w:p>
        </w:tc>
      </w:tr>
      <w:tr w:rsidR="008D6614" w14:paraId="64A8A087" w14:textId="77777777">
        <w:trPr>
          <w:jc w:val="center"/>
        </w:trPr>
        <w:tc>
          <w:tcPr>
            <w:tcW w:w="0" w:type="auto"/>
            <w:gridSpan w:val="3"/>
            <w:shd w:val="clear" w:color="auto" w:fill="FFFFFF"/>
            <w:tcMar>
              <w:top w:w="40" w:type="dxa"/>
              <w:left w:w="20" w:type="dxa"/>
              <w:bottom w:w="40" w:type="dxa"/>
              <w:right w:w="20" w:type="dxa"/>
            </w:tcMar>
            <w:vAlign w:val="bottom"/>
          </w:tcPr>
          <w:p w14:paraId="64A8A07F" w14:textId="77777777" w:rsidR="008D6614" w:rsidRDefault="00866AF2">
            <w:pPr>
              <w:textAlignment w:val="bottom"/>
            </w:pPr>
            <w:r>
              <w:rPr>
                <w:rFonts w:ascii="Arial" w:eastAsia="宋体" w:hAnsi="Arial" w:cs="Arial"/>
                <w:b/>
                <w:bCs/>
                <w:i/>
                <w:iCs/>
                <w:color w:val="000000"/>
                <w:sz w:val="18"/>
                <w:szCs w:val="18"/>
              </w:rPr>
              <w:t>Liabilities:</w:t>
            </w:r>
          </w:p>
        </w:tc>
        <w:tc>
          <w:tcPr>
            <w:tcW w:w="0" w:type="auto"/>
            <w:gridSpan w:val="3"/>
            <w:shd w:val="clear" w:color="auto" w:fill="FFFFFF"/>
            <w:tcMar>
              <w:left w:w="20" w:type="dxa"/>
              <w:right w:w="20" w:type="dxa"/>
            </w:tcMar>
            <w:vAlign w:val="bottom"/>
          </w:tcPr>
          <w:p w14:paraId="64A8A080"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081"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082"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08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084"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08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086" w14:textId="77777777" w:rsidR="008D6614" w:rsidRDefault="008D6614">
            <w:pPr>
              <w:rPr>
                <w:rFonts w:ascii="宋体"/>
              </w:rPr>
            </w:pPr>
          </w:p>
        </w:tc>
      </w:tr>
      <w:tr w:rsidR="008D6614" w14:paraId="64A8A098" w14:textId="77777777">
        <w:trPr>
          <w:jc w:val="center"/>
        </w:trPr>
        <w:tc>
          <w:tcPr>
            <w:tcW w:w="0" w:type="auto"/>
            <w:gridSpan w:val="3"/>
            <w:shd w:val="clear" w:color="auto" w:fill="E2E2E2"/>
            <w:tcMar>
              <w:top w:w="40" w:type="dxa"/>
              <w:left w:w="225" w:type="dxa"/>
              <w:bottom w:w="40" w:type="dxa"/>
              <w:right w:w="20" w:type="dxa"/>
            </w:tcMar>
            <w:vAlign w:val="bottom"/>
          </w:tcPr>
          <w:p w14:paraId="64A8A088" w14:textId="77777777" w:rsidR="008D6614" w:rsidRDefault="00866AF2">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E2E2E2"/>
            <w:tcMar>
              <w:top w:w="40" w:type="dxa"/>
              <w:left w:w="20" w:type="dxa"/>
              <w:bottom w:w="40" w:type="dxa"/>
            </w:tcMar>
            <w:vAlign w:val="bottom"/>
          </w:tcPr>
          <w:p w14:paraId="64A8A089" w14:textId="77777777" w:rsidR="008D6614" w:rsidRDefault="00866AF2">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64A8A08A" w14:textId="77777777" w:rsidR="008D6614" w:rsidRDefault="00866AF2">
            <w:pPr>
              <w:jc w:val="right"/>
              <w:textAlignment w:val="bottom"/>
            </w:pPr>
            <w:r>
              <w:rPr>
                <w:rFonts w:ascii="Arial" w:eastAsia="宋体" w:hAnsi="Arial" w:cs="Arial"/>
                <w:color w:val="000000"/>
                <w:sz w:val="18"/>
                <w:szCs w:val="18"/>
              </w:rPr>
              <w:t>21 </w:t>
            </w:r>
          </w:p>
        </w:tc>
        <w:tc>
          <w:tcPr>
            <w:tcW w:w="0" w:type="auto"/>
            <w:tcBorders>
              <w:bottom w:val="double" w:sz="6" w:space="0" w:color="000000"/>
            </w:tcBorders>
            <w:shd w:val="clear" w:color="auto" w:fill="E2E2E2"/>
            <w:tcMar>
              <w:top w:w="40" w:type="dxa"/>
              <w:bottom w:w="40" w:type="dxa"/>
              <w:right w:w="20" w:type="dxa"/>
            </w:tcMar>
            <w:vAlign w:val="bottom"/>
          </w:tcPr>
          <w:p w14:paraId="64A8A08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8C" w14:textId="77777777" w:rsidR="008D6614" w:rsidRDefault="008D6614">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64A8A08D" w14:textId="77777777" w:rsidR="008D6614" w:rsidRDefault="00866AF2">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64A8A08E" w14:textId="77777777" w:rsidR="008D6614" w:rsidRDefault="00866AF2">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bottom w:w="40" w:type="dxa"/>
              <w:right w:w="20" w:type="dxa"/>
            </w:tcMar>
            <w:vAlign w:val="bottom"/>
          </w:tcPr>
          <w:p w14:paraId="64A8A08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90" w14:textId="77777777" w:rsidR="008D6614" w:rsidRDefault="008D6614">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64A8A091" w14:textId="77777777" w:rsidR="008D6614" w:rsidRDefault="00866AF2">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64A8A092" w14:textId="77777777" w:rsidR="008D6614" w:rsidRDefault="00866AF2">
            <w:pPr>
              <w:jc w:val="right"/>
              <w:textAlignment w:val="bottom"/>
            </w:pPr>
            <w:r>
              <w:rPr>
                <w:rFonts w:ascii="Arial" w:eastAsia="宋体" w:hAnsi="Arial" w:cs="Arial"/>
                <w:color w:val="000000"/>
                <w:sz w:val="18"/>
                <w:szCs w:val="18"/>
              </w:rPr>
              <w:t>21 </w:t>
            </w:r>
          </w:p>
        </w:tc>
        <w:tc>
          <w:tcPr>
            <w:tcW w:w="0" w:type="auto"/>
            <w:tcBorders>
              <w:bottom w:val="double" w:sz="6" w:space="0" w:color="000000"/>
            </w:tcBorders>
            <w:shd w:val="clear" w:color="auto" w:fill="E2E2E2"/>
            <w:tcMar>
              <w:top w:w="40" w:type="dxa"/>
              <w:bottom w:w="40" w:type="dxa"/>
              <w:right w:w="20" w:type="dxa"/>
            </w:tcMar>
            <w:vAlign w:val="bottom"/>
          </w:tcPr>
          <w:p w14:paraId="64A8A09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94" w14:textId="77777777" w:rsidR="008D6614" w:rsidRDefault="008D6614">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64A8A095" w14:textId="77777777" w:rsidR="008D6614" w:rsidRDefault="00866AF2">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64A8A096" w14:textId="77777777" w:rsidR="008D6614" w:rsidRDefault="00866AF2">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bottom w:w="40" w:type="dxa"/>
              <w:right w:w="20" w:type="dxa"/>
            </w:tcMar>
            <w:vAlign w:val="bottom"/>
          </w:tcPr>
          <w:p w14:paraId="64A8A097" w14:textId="77777777" w:rsidR="008D6614" w:rsidRDefault="00866AF2">
            <w:pPr>
              <w:jc w:val="right"/>
              <w:textAlignment w:val="bottom"/>
            </w:pPr>
            <w:r>
              <w:rPr>
                <w:rFonts w:ascii="Arial" w:eastAsia="宋体" w:hAnsi="Arial" w:cs="Arial"/>
                <w:color w:val="000000"/>
                <w:sz w:val="18"/>
                <w:szCs w:val="18"/>
              </w:rPr>
              <w:t> </w:t>
            </w:r>
          </w:p>
        </w:tc>
      </w:tr>
      <w:tr w:rsidR="008D6614" w14:paraId="64A8A0A1" w14:textId="77777777">
        <w:trPr>
          <w:jc w:val="center"/>
          <w:hidden/>
        </w:trPr>
        <w:tc>
          <w:tcPr>
            <w:tcW w:w="0" w:type="auto"/>
            <w:gridSpan w:val="3"/>
            <w:shd w:val="clear" w:color="auto" w:fill="auto"/>
            <w:vAlign w:val="center"/>
          </w:tcPr>
          <w:p w14:paraId="64A8A099" w14:textId="77777777" w:rsidR="008D6614" w:rsidRDefault="008D6614">
            <w:pPr>
              <w:rPr>
                <w:rFonts w:ascii="宋体"/>
                <w:vanish/>
              </w:rPr>
            </w:pPr>
          </w:p>
        </w:tc>
        <w:tc>
          <w:tcPr>
            <w:tcW w:w="0" w:type="auto"/>
            <w:gridSpan w:val="3"/>
            <w:shd w:val="clear" w:color="auto" w:fill="auto"/>
            <w:vAlign w:val="center"/>
          </w:tcPr>
          <w:p w14:paraId="64A8A09A" w14:textId="77777777" w:rsidR="008D6614" w:rsidRDefault="008D6614">
            <w:pPr>
              <w:rPr>
                <w:rFonts w:ascii="宋体"/>
                <w:vanish/>
              </w:rPr>
            </w:pPr>
          </w:p>
        </w:tc>
        <w:tc>
          <w:tcPr>
            <w:tcW w:w="0" w:type="auto"/>
            <w:gridSpan w:val="3"/>
            <w:shd w:val="clear" w:color="auto" w:fill="auto"/>
            <w:vAlign w:val="center"/>
          </w:tcPr>
          <w:p w14:paraId="64A8A09B" w14:textId="77777777" w:rsidR="008D6614" w:rsidRDefault="008D6614">
            <w:pPr>
              <w:rPr>
                <w:rFonts w:ascii="宋体"/>
                <w:vanish/>
              </w:rPr>
            </w:pPr>
          </w:p>
        </w:tc>
        <w:tc>
          <w:tcPr>
            <w:tcW w:w="0" w:type="auto"/>
            <w:gridSpan w:val="3"/>
            <w:shd w:val="clear" w:color="auto" w:fill="auto"/>
            <w:vAlign w:val="center"/>
          </w:tcPr>
          <w:p w14:paraId="64A8A09C" w14:textId="77777777" w:rsidR="008D6614" w:rsidRDefault="008D6614">
            <w:pPr>
              <w:rPr>
                <w:rFonts w:ascii="宋体"/>
                <w:vanish/>
              </w:rPr>
            </w:pPr>
          </w:p>
        </w:tc>
        <w:tc>
          <w:tcPr>
            <w:tcW w:w="0" w:type="auto"/>
            <w:gridSpan w:val="3"/>
            <w:shd w:val="clear" w:color="auto" w:fill="auto"/>
            <w:vAlign w:val="center"/>
          </w:tcPr>
          <w:p w14:paraId="64A8A09D" w14:textId="77777777" w:rsidR="008D6614" w:rsidRDefault="008D6614">
            <w:pPr>
              <w:rPr>
                <w:rFonts w:ascii="宋体"/>
                <w:vanish/>
              </w:rPr>
            </w:pPr>
          </w:p>
        </w:tc>
        <w:tc>
          <w:tcPr>
            <w:tcW w:w="0" w:type="auto"/>
            <w:gridSpan w:val="3"/>
            <w:shd w:val="clear" w:color="auto" w:fill="auto"/>
            <w:vAlign w:val="center"/>
          </w:tcPr>
          <w:p w14:paraId="64A8A09E" w14:textId="77777777" w:rsidR="008D6614" w:rsidRDefault="008D6614">
            <w:pPr>
              <w:rPr>
                <w:rFonts w:ascii="宋体"/>
                <w:vanish/>
              </w:rPr>
            </w:pPr>
          </w:p>
        </w:tc>
        <w:tc>
          <w:tcPr>
            <w:tcW w:w="0" w:type="auto"/>
            <w:gridSpan w:val="3"/>
            <w:shd w:val="clear" w:color="auto" w:fill="auto"/>
            <w:vAlign w:val="center"/>
          </w:tcPr>
          <w:p w14:paraId="64A8A09F" w14:textId="77777777" w:rsidR="008D6614" w:rsidRDefault="008D6614">
            <w:pPr>
              <w:rPr>
                <w:rFonts w:ascii="宋体"/>
                <w:vanish/>
              </w:rPr>
            </w:pPr>
          </w:p>
        </w:tc>
        <w:tc>
          <w:tcPr>
            <w:tcW w:w="0" w:type="auto"/>
            <w:gridSpan w:val="3"/>
            <w:shd w:val="clear" w:color="auto" w:fill="auto"/>
            <w:vAlign w:val="center"/>
          </w:tcPr>
          <w:p w14:paraId="64A8A0A0" w14:textId="77777777" w:rsidR="008D6614" w:rsidRDefault="008D6614">
            <w:pPr>
              <w:rPr>
                <w:rFonts w:ascii="宋体"/>
                <w:vanish/>
              </w:rPr>
            </w:pPr>
          </w:p>
        </w:tc>
      </w:tr>
      <w:tr w:rsidR="008D6614" w14:paraId="64A8A0AA" w14:textId="77777777">
        <w:trPr>
          <w:jc w:val="center"/>
          <w:hidden/>
        </w:trPr>
        <w:tc>
          <w:tcPr>
            <w:tcW w:w="0" w:type="auto"/>
            <w:gridSpan w:val="3"/>
            <w:shd w:val="clear" w:color="auto" w:fill="auto"/>
            <w:vAlign w:val="center"/>
          </w:tcPr>
          <w:p w14:paraId="64A8A0A2" w14:textId="77777777" w:rsidR="008D6614" w:rsidRDefault="008D6614">
            <w:pPr>
              <w:rPr>
                <w:rFonts w:ascii="宋体"/>
                <w:vanish/>
              </w:rPr>
            </w:pPr>
          </w:p>
        </w:tc>
        <w:tc>
          <w:tcPr>
            <w:tcW w:w="0" w:type="auto"/>
            <w:gridSpan w:val="3"/>
            <w:shd w:val="clear" w:color="auto" w:fill="auto"/>
            <w:vAlign w:val="center"/>
          </w:tcPr>
          <w:p w14:paraId="64A8A0A3" w14:textId="77777777" w:rsidR="008D6614" w:rsidRDefault="008D6614">
            <w:pPr>
              <w:rPr>
                <w:rFonts w:ascii="宋体"/>
                <w:vanish/>
              </w:rPr>
            </w:pPr>
          </w:p>
        </w:tc>
        <w:tc>
          <w:tcPr>
            <w:tcW w:w="0" w:type="auto"/>
            <w:gridSpan w:val="3"/>
            <w:shd w:val="clear" w:color="auto" w:fill="auto"/>
            <w:vAlign w:val="center"/>
          </w:tcPr>
          <w:p w14:paraId="64A8A0A4" w14:textId="77777777" w:rsidR="008D6614" w:rsidRDefault="008D6614">
            <w:pPr>
              <w:rPr>
                <w:rFonts w:ascii="宋体"/>
                <w:vanish/>
              </w:rPr>
            </w:pPr>
          </w:p>
        </w:tc>
        <w:tc>
          <w:tcPr>
            <w:tcW w:w="0" w:type="auto"/>
            <w:gridSpan w:val="3"/>
            <w:shd w:val="clear" w:color="auto" w:fill="auto"/>
            <w:vAlign w:val="center"/>
          </w:tcPr>
          <w:p w14:paraId="64A8A0A5" w14:textId="77777777" w:rsidR="008D6614" w:rsidRDefault="008D6614">
            <w:pPr>
              <w:rPr>
                <w:rFonts w:ascii="宋体"/>
                <w:vanish/>
              </w:rPr>
            </w:pPr>
          </w:p>
        </w:tc>
        <w:tc>
          <w:tcPr>
            <w:tcW w:w="0" w:type="auto"/>
            <w:gridSpan w:val="3"/>
            <w:shd w:val="clear" w:color="auto" w:fill="auto"/>
            <w:vAlign w:val="center"/>
          </w:tcPr>
          <w:p w14:paraId="64A8A0A6" w14:textId="77777777" w:rsidR="008D6614" w:rsidRDefault="008D6614">
            <w:pPr>
              <w:rPr>
                <w:rFonts w:ascii="宋体"/>
                <w:vanish/>
              </w:rPr>
            </w:pPr>
          </w:p>
        </w:tc>
        <w:tc>
          <w:tcPr>
            <w:tcW w:w="0" w:type="auto"/>
            <w:gridSpan w:val="3"/>
            <w:shd w:val="clear" w:color="auto" w:fill="auto"/>
            <w:vAlign w:val="center"/>
          </w:tcPr>
          <w:p w14:paraId="64A8A0A7" w14:textId="77777777" w:rsidR="008D6614" w:rsidRDefault="008D6614">
            <w:pPr>
              <w:rPr>
                <w:rFonts w:ascii="宋体"/>
                <w:vanish/>
              </w:rPr>
            </w:pPr>
          </w:p>
        </w:tc>
        <w:tc>
          <w:tcPr>
            <w:tcW w:w="0" w:type="auto"/>
            <w:gridSpan w:val="3"/>
            <w:shd w:val="clear" w:color="auto" w:fill="auto"/>
            <w:vAlign w:val="center"/>
          </w:tcPr>
          <w:p w14:paraId="64A8A0A8" w14:textId="77777777" w:rsidR="008D6614" w:rsidRDefault="008D6614">
            <w:pPr>
              <w:rPr>
                <w:rFonts w:ascii="宋体"/>
                <w:vanish/>
              </w:rPr>
            </w:pPr>
          </w:p>
        </w:tc>
        <w:tc>
          <w:tcPr>
            <w:tcW w:w="0" w:type="auto"/>
            <w:gridSpan w:val="3"/>
            <w:shd w:val="clear" w:color="auto" w:fill="auto"/>
            <w:vAlign w:val="center"/>
          </w:tcPr>
          <w:p w14:paraId="64A8A0A9" w14:textId="77777777" w:rsidR="008D6614" w:rsidRDefault="008D6614">
            <w:pPr>
              <w:rPr>
                <w:rFonts w:ascii="宋体"/>
                <w:vanish/>
              </w:rPr>
            </w:pPr>
          </w:p>
        </w:tc>
      </w:tr>
      <w:tr w:rsidR="008D6614" w14:paraId="64A8A0B3" w14:textId="77777777">
        <w:trPr>
          <w:jc w:val="center"/>
          <w:hidden/>
        </w:trPr>
        <w:tc>
          <w:tcPr>
            <w:tcW w:w="0" w:type="auto"/>
            <w:gridSpan w:val="3"/>
            <w:shd w:val="clear" w:color="auto" w:fill="auto"/>
            <w:vAlign w:val="center"/>
          </w:tcPr>
          <w:p w14:paraId="64A8A0AB" w14:textId="77777777" w:rsidR="008D6614" w:rsidRDefault="008D6614">
            <w:pPr>
              <w:rPr>
                <w:rFonts w:ascii="宋体"/>
                <w:vanish/>
              </w:rPr>
            </w:pPr>
          </w:p>
        </w:tc>
        <w:tc>
          <w:tcPr>
            <w:tcW w:w="0" w:type="auto"/>
            <w:gridSpan w:val="3"/>
            <w:shd w:val="clear" w:color="auto" w:fill="auto"/>
            <w:vAlign w:val="center"/>
          </w:tcPr>
          <w:p w14:paraId="64A8A0AC" w14:textId="77777777" w:rsidR="008D6614" w:rsidRDefault="008D6614">
            <w:pPr>
              <w:rPr>
                <w:rFonts w:ascii="宋体"/>
                <w:vanish/>
              </w:rPr>
            </w:pPr>
          </w:p>
        </w:tc>
        <w:tc>
          <w:tcPr>
            <w:tcW w:w="0" w:type="auto"/>
            <w:gridSpan w:val="3"/>
            <w:shd w:val="clear" w:color="auto" w:fill="auto"/>
            <w:vAlign w:val="center"/>
          </w:tcPr>
          <w:p w14:paraId="64A8A0AD" w14:textId="77777777" w:rsidR="008D6614" w:rsidRDefault="008D6614">
            <w:pPr>
              <w:rPr>
                <w:rFonts w:ascii="宋体"/>
                <w:vanish/>
              </w:rPr>
            </w:pPr>
          </w:p>
        </w:tc>
        <w:tc>
          <w:tcPr>
            <w:tcW w:w="0" w:type="auto"/>
            <w:gridSpan w:val="3"/>
            <w:shd w:val="clear" w:color="auto" w:fill="auto"/>
            <w:vAlign w:val="center"/>
          </w:tcPr>
          <w:p w14:paraId="64A8A0AE" w14:textId="77777777" w:rsidR="008D6614" w:rsidRDefault="008D6614">
            <w:pPr>
              <w:rPr>
                <w:rFonts w:ascii="宋体"/>
                <w:vanish/>
              </w:rPr>
            </w:pPr>
          </w:p>
        </w:tc>
        <w:tc>
          <w:tcPr>
            <w:tcW w:w="0" w:type="auto"/>
            <w:gridSpan w:val="3"/>
            <w:shd w:val="clear" w:color="auto" w:fill="auto"/>
            <w:vAlign w:val="center"/>
          </w:tcPr>
          <w:p w14:paraId="64A8A0AF" w14:textId="77777777" w:rsidR="008D6614" w:rsidRDefault="008D6614">
            <w:pPr>
              <w:rPr>
                <w:rFonts w:ascii="宋体"/>
                <w:vanish/>
              </w:rPr>
            </w:pPr>
          </w:p>
        </w:tc>
        <w:tc>
          <w:tcPr>
            <w:tcW w:w="0" w:type="auto"/>
            <w:gridSpan w:val="3"/>
            <w:shd w:val="clear" w:color="auto" w:fill="auto"/>
            <w:vAlign w:val="center"/>
          </w:tcPr>
          <w:p w14:paraId="64A8A0B0" w14:textId="77777777" w:rsidR="008D6614" w:rsidRDefault="008D6614">
            <w:pPr>
              <w:rPr>
                <w:rFonts w:ascii="宋体"/>
                <w:vanish/>
              </w:rPr>
            </w:pPr>
          </w:p>
        </w:tc>
        <w:tc>
          <w:tcPr>
            <w:tcW w:w="0" w:type="auto"/>
            <w:gridSpan w:val="3"/>
            <w:shd w:val="clear" w:color="auto" w:fill="auto"/>
            <w:vAlign w:val="center"/>
          </w:tcPr>
          <w:p w14:paraId="64A8A0B1" w14:textId="77777777" w:rsidR="008D6614" w:rsidRDefault="008D6614">
            <w:pPr>
              <w:rPr>
                <w:rFonts w:ascii="宋体"/>
                <w:vanish/>
              </w:rPr>
            </w:pPr>
          </w:p>
        </w:tc>
        <w:tc>
          <w:tcPr>
            <w:tcW w:w="0" w:type="auto"/>
            <w:gridSpan w:val="3"/>
            <w:shd w:val="clear" w:color="auto" w:fill="auto"/>
            <w:vAlign w:val="center"/>
          </w:tcPr>
          <w:p w14:paraId="64A8A0B2" w14:textId="77777777" w:rsidR="008D6614" w:rsidRDefault="008D6614">
            <w:pPr>
              <w:rPr>
                <w:rFonts w:ascii="宋体"/>
                <w:vanish/>
              </w:rPr>
            </w:pPr>
          </w:p>
        </w:tc>
      </w:tr>
      <w:tr w:rsidR="008D6614" w14:paraId="64A8A0BC" w14:textId="77777777">
        <w:trPr>
          <w:jc w:val="center"/>
          <w:hidden/>
        </w:trPr>
        <w:tc>
          <w:tcPr>
            <w:tcW w:w="0" w:type="auto"/>
            <w:gridSpan w:val="3"/>
            <w:shd w:val="clear" w:color="auto" w:fill="auto"/>
            <w:vAlign w:val="center"/>
          </w:tcPr>
          <w:p w14:paraId="64A8A0B4" w14:textId="77777777" w:rsidR="008D6614" w:rsidRDefault="008D6614">
            <w:pPr>
              <w:rPr>
                <w:rFonts w:ascii="宋体"/>
                <w:vanish/>
              </w:rPr>
            </w:pPr>
          </w:p>
        </w:tc>
        <w:tc>
          <w:tcPr>
            <w:tcW w:w="0" w:type="auto"/>
            <w:gridSpan w:val="3"/>
            <w:shd w:val="clear" w:color="auto" w:fill="auto"/>
            <w:vAlign w:val="center"/>
          </w:tcPr>
          <w:p w14:paraId="64A8A0B5" w14:textId="77777777" w:rsidR="008D6614" w:rsidRDefault="008D6614">
            <w:pPr>
              <w:rPr>
                <w:rFonts w:ascii="宋体"/>
                <w:vanish/>
              </w:rPr>
            </w:pPr>
          </w:p>
        </w:tc>
        <w:tc>
          <w:tcPr>
            <w:tcW w:w="0" w:type="auto"/>
            <w:gridSpan w:val="3"/>
            <w:shd w:val="clear" w:color="auto" w:fill="auto"/>
            <w:vAlign w:val="center"/>
          </w:tcPr>
          <w:p w14:paraId="64A8A0B6" w14:textId="77777777" w:rsidR="008D6614" w:rsidRDefault="008D6614">
            <w:pPr>
              <w:rPr>
                <w:rFonts w:ascii="宋体"/>
                <w:vanish/>
              </w:rPr>
            </w:pPr>
          </w:p>
        </w:tc>
        <w:tc>
          <w:tcPr>
            <w:tcW w:w="0" w:type="auto"/>
            <w:gridSpan w:val="3"/>
            <w:shd w:val="clear" w:color="auto" w:fill="auto"/>
            <w:vAlign w:val="center"/>
          </w:tcPr>
          <w:p w14:paraId="64A8A0B7" w14:textId="77777777" w:rsidR="008D6614" w:rsidRDefault="008D6614">
            <w:pPr>
              <w:rPr>
                <w:rFonts w:ascii="宋体"/>
                <w:vanish/>
              </w:rPr>
            </w:pPr>
          </w:p>
        </w:tc>
        <w:tc>
          <w:tcPr>
            <w:tcW w:w="0" w:type="auto"/>
            <w:gridSpan w:val="3"/>
            <w:shd w:val="clear" w:color="auto" w:fill="auto"/>
            <w:vAlign w:val="center"/>
          </w:tcPr>
          <w:p w14:paraId="64A8A0B8" w14:textId="77777777" w:rsidR="008D6614" w:rsidRDefault="008D6614">
            <w:pPr>
              <w:rPr>
                <w:rFonts w:ascii="宋体"/>
                <w:vanish/>
              </w:rPr>
            </w:pPr>
          </w:p>
        </w:tc>
        <w:tc>
          <w:tcPr>
            <w:tcW w:w="0" w:type="auto"/>
            <w:gridSpan w:val="3"/>
            <w:shd w:val="clear" w:color="auto" w:fill="auto"/>
            <w:vAlign w:val="center"/>
          </w:tcPr>
          <w:p w14:paraId="64A8A0B9" w14:textId="77777777" w:rsidR="008D6614" w:rsidRDefault="008D6614">
            <w:pPr>
              <w:rPr>
                <w:rFonts w:ascii="宋体"/>
                <w:vanish/>
              </w:rPr>
            </w:pPr>
          </w:p>
        </w:tc>
        <w:tc>
          <w:tcPr>
            <w:tcW w:w="0" w:type="auto"/>
            <w:gridSpan w:val="3"/>
            <w:shd w:val="clear" w:color="auto" w:fill="auto"/>
            <w:vAlign w:val="center"/>
          </w:tcPr>
          <w:p w14:paraId="64A8A0BA" w14:textId="77777777" w:rsidR="008D6614" w:rsidRDefault="008D6614">
            <w:pPr>
              <w:rPr>
                <w:rFonts w:ascii="宋体"/>
                <w:vanish/>
              </w:rPr>
            </w:pPr>
          </w:p>
        </w:tc>
        <w:tc>
          <w:tcPr>
            <w:tcW w:w="0" w:type="auto"/>
            <w:gridSpan w:val="3"/>
            <w:shd w:val="clear" w:color="auto" w:fill="auto"/>
            <w:vAlign w:val="center"/>
          </w:tcPr>
          <w:p w14:paraId="64A8A0BB" w14:textId="77777777" w:rsidR="008D6614" w:rsidRDefault="008D6614">
            <w:pPr>
              <w:rPr>
                <w:rFonts w:ascii="宋体"/>
                <w:vanish/>
              </w:rPr>
            </w:pPr>
          </w:p>
        </w:tc>
      </w:tr>
    </w:tbl>
    <w:p w14:paraId="64A8A0BD" w14:textId="77777777" w:rsidR="008D6614" w:rsidRDefault="008D6614">
      <w:pPr>
        <w:ind w:firstLine="495"/>
        <w:jc w:val="both"/>
      </w:pPr>
    </w:p>
    <w:p w14:paraId="64A8A0BE" w14:textId="77777777" w:rsidR="008D6614" w:rsidRDefault="008D6614">
      <w:pPr>
        <w:jc w:val="center"/>
      </w:pPr>
    </w:p>
    <w:p w14:paraId="64A8A0BF" w14:textId="77777777" w:rsidR="008D6614" w:rsidRDefault="00866AF2">
      <w:pPr>
        <w:jc w:val="center"/>
      </w:pPr>
      <w:r>
        <w:rPr>
          <w:rFonts w:ascii="Arial" w:eastAsia="宋体" w:hAnsi="Arial" w:cs="Arial"/>
          <w:color w:val="000000"/>
          <w:sz w:val="20"/>
          <w:szCs w:val="20"/>
        </w:rPr>
        <w:t>22</w:t>
      </w:r>
    </w:p>
    <w:p w14:paraId="64A8A0C0" w14:textId="77777777" w:rsidR="008D6614" w:rsidRDefault="00866AF2">
      <w:r>
        <w:pict w14:anchorId="64A8B9F3">
          <v:rect id="_x0000_i1046" style="width:415.3pt;height:1.5pt" o:hralign="center" o:hrstd="t" o:hr="t" fillcolor="#a0a0a0" stroked="f"/>
        </w:pict>
      </w:r>
    </w:p>
    <w:p w14:paraId="64A8A0C1" w14:textId="77777777" w:rsidR="008D6614" w:rsidRDefault="008D6614">
      <w:pPr>
        <w:jc w:val="center"/>
      </w:pPr>
    </w:p>
    <w:p w14:paraId="64A8A0C2" w14:textId="77777777" w:rsidR="008D6614" w:rsidRDefault="00866AF2">
      <w:pPr>
        <w:jc w:val="center"/>
      </w:pPr>
      <w:r>
        <w:rPr>
          <w:rFonts w:ascii="Arial" w:eastAsia="宋体" w:hAnsi="Arial" w:cs="Arial"/>
          <w:b/>
          <w:bCs/>
          <w:color w:val="000000"/>
          <w:sz w:val="20"/>
          <w:szCs w:val="20"/>
        </w:rPr>
        <w:t>eBay Inc.</w:t>
      </w:r>
    </w:p>
    <w:p w14:paraId="64A8A0C3"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tbl>
      <w:tblPr>
        <w:tblW w:w="4993" w:type="pct"/>
        <w:tblCellMar>
          <w:top w:w="15" w:type="dxa"/>
          <w:left w:w="15" w:type="dxa"/>
          <w:bottom w:w="15" w:type="dxa"/>
          <w:right w:w="15" w:type="dxa"/>
        </w:tblCellMar>
        <w:tblLook w:val="04A0" w:firstRow="1" w:lastRow="0" w:firstColumn="1" w:lastColumn="0" w:noHBand="0" w:noVBand="1"/>
      </w:tblPr>
      <w:tblGrid>
        <w:gridCol w:w="47"/>
        <w:gridCol w:w="2187"/>
        <w:gridCol w:w="47"/>
        <w:gridCol w:w="137"/>
        <w:gridCol w:w="871"/>
        <w:gridCol w:w="86"/>
        <w:gridCol w:w="36"/>
        <w:gridCol w:w="36"/>
        <w:gridCol w:w="36"/>
        <w:gridCol w:w="137"/>
        <w:gridCol w:w="1253"/>
        <w:gridCol w:w="87"/>
        <w:gridCol w:w="36"/>
        <w:gridCol w:w="36"/>
        <w:gridCol w:w="36"/>
        <w:gridCol w:w="137"/>
        <w:gridCol w:w="1259"/>
        <w:gridCol w:w="88"/>
        <w:gridCol w:w="36"/>
        <w:gridCol w:w="36"/>
        <w:gridCol w:w="36"/>
        <w:gridCol w:w="137"/>
        <w:gridCol w:w="1432"/>
        <w:gridCol w:w="95"/>
      </w:tblGrid>
      <w:tr w:rsidR="008D6614" w14:paraId="64A8A0DC" w14:textId="77777777">
        <w:tc>
          <w:tcPr>
            <w:tcW w:w="50" w:type="pct"/>
            <w:shd w:val="clear" w:color="auto" w:fill="auto"/>
            <w:vAlign w:val="center"/>
          </w:tcPr>
          <w:p w14:paraId="64A8A0C4" w14:textId="77777777" w:rsidR="008D6614" w:rsidRDefault="008D6614">
            <w:pPr>
              <w:rPr>
                <w:rFonts w:ascii="宋体"/>
              </w:rPr>
            </w:pPr>
          </w:p>
        </w:tc>
        <w:tc>
          <w:tcPr>
            <w:tcW w:w="1503" w:type="pct"/>
            <w:shd w:val="clear" w:color="auto" w:fill="auto"/>
            <w:vAlign w:val="center"/>
          </w:tcPr>
          <w:p w14:paraId="64A8A0C5" w14:textId="77777777" w:rsidR="008D6614" w:rsidRDefault="008D6614">
            <w:pPr>
              <w:rPr>
                <w:rFonts w:ascii="宋体"/>
              </w:rPr>
            </w:pPr>
          </w:p>
        </w:tc>
        <w:tc>
          <w:tcPr>
            <w:tcW w:w="50" w:type="pct"/>
            <w:shd w:val="clear" w:color="auto" w:fill="auto"/>
            <w:vAlign w:val="center"/>
          </w:tcPr>
          <w:p w14:paraId="64A8A0C6" w14:textId="77777777" w:rsidR="008D6614" w:rsidRDefault="008D6614">
            <w:pPr>
              <w:rPr>
                <w:rFonts w:ascii="宋体"/>
              </w:rPr>
            </w:pPr>
          </w:p>
        </w:tc>
        <w:tc>
          <w:tcPr>
            <w:tcW w:w="50" w:type="pct"/>
            <w:shd w:val="clear" w:color="auto" w:fill="auto"/>
            <w:vAlign w:val="center"/>
          </w:tcPr>
          <w:p w14:paraId="64A8A0C7" w14:textId="77777777" w:rsidR="008D6614" w:rsidRDefault="008D6614">
            <w:pPr>
              <w:rPr>
                <w:rFonts w:ascii="宋体"/>
              </w:rPr>
            </w:pPr>
          </w:p>
        </w:tc>
        <w:tc>
          <w:tcPr>
            <w:tcW w:w="712" w:type="pct"/>
            <w:shd w:val="clear" w:color="auto" w:fill="auto"/>
            <w:vAlign w:val="center"/>
          </w:tcPr>
          <w:p w14:paraId="64A8A0C8" w14:textId="77777777" w:rsidR="008D6614" w:rsidRDefault="008D6614">
            <w:pPr>
              <w:rPr>
                <w:rFonts w:ascii="宋体"/>
              </w:rPr>
            </w:pPr>
          </w:p>
        </w:tc>
        <w:tc>
          <w:tcPr>
            <w:tcW w:w="50" w:type="pct"/>
            <w:shd w:val="clear" w:color="auto" w:fill="auto"/>
            <w:vAlign w:val="center"/>
          </w:tcPr>
          <w:p w14:paraId="64A8A0C9" w14:textId="77777777" w:rsidR="008D6614" w:rsidRDefault="008D6614">
            <w:pPr>
              <w:rPr>
                <w:rFonts w:ascii="宋体"/>
              </w:rPr>
            </w:pPr>
          </w:p>
        </w:tc>
        <w:tc>
          <w:tcPr>
            <w:tcW w:w="5" w:type="pct"/>
            <w:shd w:val="clear" w:color="auto" w:fill="auto"/>
            <w:vAlign w:val="center"/>
          </w:tcPr>
          <w:p w14:paraId="64A8A0CA" w14:textId="77777777" w:rsidR="008D6614" w:rsidRDefault="008D6614">
            <w:pPr>
              <w:rPr>
                <w:rFonts w:ascii="宋体"/>
              </w:rPr>
            </w:pPr>
          </w:p>
        </w:tc>
        <w:tc>
          <w:tcPr>
            <w:tcW w:w="26" w:type="pct"/>
            <w:shd w:val="clear" w:color="auto" w:fill="auto"/>
            <w:vAlign w:val="center"/>
          </w:tcPr>
          <w:p w14:paraId="64A8A0CB" w14:textId="77777777" w:rsidR="008D6614" w:rsidRDefault="008D6614">
            <w:pPr>
              <w:rPr>
                <w:rFonts w:ascii="宋体"/>
              </w:rPr>
            </w:pPr>
          </w:p>
        </w:tc>
        <w:tc>
          <w:tcPr>
            <w:tcW w:w="5" w:type="pct"/>
            <w:shd w:val="clear" w:color="auto" w:fill="auto"/>
            <w:vAlign w:val="center"/>
          </w:tcPr>
          <w:p w14:paraId="64A8A0CC" w14:textId="77777777" w:rsidR="008D6614" w:rsidRDefault="008D6614">
            <w:pPr>
              <w:rPr>
                <w:rFonts w:ascii="宋体"/>
              </w:rPr>
            </w:pPr>
          </w:p>
        </w:tc>
        <w:tc>
          <w:tcPr>
            <w:tcW w:w="50" w:type="pct"/>
            <w:shd w:val="clear" w:color="auto" w:fill="auto"/>
            <w:vAlign w:val="center"/>
          </w:tcPr>
          <w:p w14:paraId="64A8A0CD" w14:textId="77777777" w:rsidR="008D6614" w:rsidRDefault="008D6614">
            <w:pPr>
              <w:rPr>
                <w:rFonts w:ascii="宋体"/>
              </w:rPr>
            </w:pPr>
          </w:p>
        </w:tc>
        <w:tc>
          <w:tcPr>
            <w:tcW w:w="712" w:type="pct"/>
            <w:shd w:val="clear" w:color="auto" w:fill="auto"/>
            <w:vAlign w:val="center"/>
          </w:tcPr>
          <w:p w14:paraId="64A8A0CE" w14:textId="77777777" w:rsidR="008D6614" w:rsidRDefault="008D6614">
            <w:pPr>
              <w:rPr>
                <w:rFonts w:ascii="宋体"/>
              </w:rPr>
            </w:pPr>
          </w:p>
        </w:tc>
        <w:tc>
          <w:tcPr>
            <w:tcW w:w="50" w:type="pct"/>
            <w:shd w:val="clear" w:color="auto" w:fill="auto"/>
            <w:vAlign w:val="center"/>
          </w:tcPr>
          <w:p w14:paraId="64A8A0CF" w14:textId="77777777" w:rsidR="008D6614" w:rsidRDefault="008D6614">
            <w:pPr>
              <w:rPr>
                <w:rFonts w:ascii="宋体"/>
              </w:rPr>
            </w:pPr>
          </w:p>
        </w:tc>
        <w:tc>
          <w:tcPr>
            <w:tcW w:w="5" w:type="pct"/>
            <w:shd w:val="clear" w:color="auto" w:fill="auto"/>
            <w:vAlign w:val="center"/>
          </w:tcPr>
          <w:p w14:paraId="64A8A0D0" w14:textId="77777777" w:rsidR="008D6614" w:rsidRDefault="008D6614">
            <w:pPr>
              <w:rPr>
                <w:rFonts w:ascii="宋体"/>
              </w:rPr>
            </w:pPr>
          </w:p>
        </w:tc>
        <w:tc>
          <w:tcPr>
            <w:tcW w:w="26" w:type="pct"/>
            <w:shd w:val="clear" w:color="auto" w:fill="auto"/>
            <w:vAlign w:val="center"/>
          </w:tcPr>
          <w:p w14:paraId="64A8A0D1" w14:textId="77777777" w:rsidR="008D6614" w:rsidRDefault="008D6614">
            <w:pPr>
              <w:rPr>
                <w:rFonts w:ascii="宋体"/>
              </w:rPr>
            </w:pPr>
          </w:p>
        </w:tc>
        <w:tc>
          <w:tcPr>
            <w:tcW w:w="5" w:type="pct"/>
            <w:shd w:val="clear" w:color="auto" w:fill="auto"/>
            <w:vAlign w:val="center"/>
          </w:tcPr>
          <w:p w14:paraId="64A8A0D2" w14:textId="77777777" w:rsidR="008D6614" w:rsidRDefault="008D6614">
            <w:pPr>
              <w:rPr>
                <w:rFonts w:ascii="宋体"/>
              </w:rPr>
            </w:pPr>
          </w:p>
        </w:tc>
        <w:tc>
          <w:tcPr>
            <w:tcW w:w="50" w:type="pct"/>
            <w:shd w:val="clear" w:color="auto" w:fill="auto"/>
            <w:vAlign w:val="center"/>
          </w:tcPr>
          <w:p w14:paraId="64A8A0D3" w14:textId="77777777" w:rsidR="008D6614" w:rsidRDefault="008D6614">
            <w:pPr>
              <w:rPr>
                <w:rFonts w:ascii="宋体"/>
              </w:rPr>
            </w:pPr>
          </w:p>
        </w:tc>
        <w:tc>
          <w:tcPr>
            <w:tcW w:w="712" w:type="pct"/>
            <w:shd w:val="clear" w:color="auto" w:fill="auto"/>
            <w:vAlign w:val="center"/>
          </w:tcPr>
          <w:p w14:paraId="64A8A0D4" w14:textId="77777777" w:rsidR="008D6614" w:rsidRDefault="008D6614">
            <w:pPr>
              <w:rPr>
                <w:rFonts w:ascii="宋体"/>
              </w:rPr>
            </w:pPr>
          </w:p>
        </w:tc>
        <w:tc>
          <w:tcPr>
            <w:tcW w:w="50" w:type="pct"/>
            <w:shd w:val="clear" w:color="auto" w:fill="auto"/>
            <w:vAlign w:val="center"/>
          </w:tcPr>
          <w:p w14:paraId="64A8A0D5" w14:textId="77777777" w:rsidR="008D6614" w:rsidRDefault="008D6614">
            <w:pPr>
              <w:rPr>
                <w:rFonts w:ascii="宋体"/>
              </w:rPr>
            </w:pPr>
          </w:p>
        </w:tc>
        <w:tc>
          <w:tcPr>
            <w:tcW w:w="5" w:type="pct"/>
            <w:shd w:val="clear" w:color="auto" w:fill="auto"/>
            <w:vAlign w:val="center"/>
          </w:tcPr>
          <w:p w14:paraId="64A8A0D6" w14:textId="77777777" w:rsidR="008D6614" w:rsidRDefault="008D6614">
            <w:pPr>
              <w:rPr>
                <w:rFonts w:ascii="宋体"/>
              </w:rPr>
            </w:pPr>
          </w:p>
        </w:tc>
        <w:tc>
          <w:tcPr>
            <w:tcW w:w="26" w:type="pct"/>
            <w:shd w:val="clear" w:color="auto" w:fill="auto"/>
            <w:vAlign w:val="center"/>
          </w:tcPr>
          <w:p w14:paraId="64A8A0D7" w14:textId="77777777" w:rsidR="008D6614" w:rsidRDefault="008D6614">
            <w:pPr>
              <w:rPr>
                <w:rFonts w:ascii="宋体"/>
              </w:rPr>
            </w:pPr>
          </w:p>
        </w:tc>
        <w:tc>
          <w:tcPr>
            <w:tcW w:w="5" w:type="pct"/>
            <w:shd w:val="clear" w:color="auto" w:fill="auto"/>
            <w:vAlign w:val="center"/>
          </w:tcPr>
          <w:p w14:paraId="64A8A0D8" w14:textId="77777777" w:rsidR="008D6614" w:rsidRDefault="008D6614">
            <w:pPr>
              <w:rPr>
                <w:rFonts w:ascii="宋体"/>
              </w:rPr>
            </w:pPr>
          </w:p>
        </w:tc>
        <w:tc>
          <w:tcPr>
            <w:tcW w:w="50" w:type="pct"/>
            <w:shd w:val="clear" w:color="auto" w:fill="auto"/>
            <w:vAlign w:val="center"/>
          </w:tcPr>
          <w:p w14:paraId="64A8A0D9" w14:textId="77777777" w:rsidR="008D6614" w:rsidRDefault="008D6614">
            <w:pPr>
              <w:rPr>
                <w:rFonts w:ascii="宋体"/>
              </w:rPr>
            </w:pPr>
          </w:p>
        </w:tc>
        <w:tc>
          <w:tcPr>
            <w:tcW w:w="749" w:type="pct"/>
            <w:shd w:val="clear" w:color="auto" w:fill="auto"/>
            <w:vAlign w:val="center"/>
          </w:tcPr>
          <w:p w14:paraId="64A8A0DA" w14:textId="77777777" w:rsidR="008D6614" w:rsidRDefault="008D6614">
            <w:pPr>
              <w:rPr>
                <w:rFonts w:ascii="宋体"/>
              </w:rPr>
            </w:pPr>
          </w:p>
        </w:tc>
        <w:tc>
          <w:tcPr>
            <w:tcW w:w="50" w:type="pct"/>
            <w:shd w:val="clear" w:color="auto" w:fill="auto"/>
            <w:vAlign w:val="center"/>
          </w:tcPr>
          <w:p w14:paraId="64A8A0DB" w14:textId="77777777" w:rsidR="008D6614" w:rsidRDefault="008D6614">
            <w:pPr>
              <w:rPr>
                <w:rFonts w:ascii="宋体"/>
              </w:rPr>
            </w:pPr>
          </w:p>
        </w:tc>
      </w:tr>
      <w:tr w:rsidR="008D6614" w14:paraId="64A8A0EC" w14:textId="77777777">
        <w:tc>
          <w:tcPr>
            <w:tcW w:w="0" w:type="auto"/>
            <w:gridSpan w:val="3"/>
            <w:shd w:val="clear" w:color="auto" w:fill="auto"/>
            <w:tcMar>
              <w:left w:w="20" w:type="dxa"/>
              <w:right w:w="20" w:type="dxa"/>
            </w:tcMar>
            <w:vAlign w:val="bottom"/>
          </w:tcPr>
          <w:p w14:paraId="64A8A0DD"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0DE" w14:textId="77777777" w:rsidR="008D6614" w:rsidRDefault="00866AF2">
            <w:pPr>
              <w:jc w:val="center"/>
              <w:textAlignment w:val="bottom"/>
            </w:pPr>
            <w:r>
              <w:rPr>
                <w:rFonts w:ascii="Arial" w:eastAsia="宋体" w:hAnsi="Arial" w:cs="Arial"/>
                <w:b/>
                <w:bCs/>
                <w:color w:val="000000"/>
                <w:sz w:val="16"/>
                <w:szCs w:val="16"/>
              </w:rPr>
              <w:t>December 31, 2019</w:t>
            </w:r>
          </w:p>
        </w:tc>
        <w:tc>
          <w:tcPr>
            <w:tcW w:w="0" w:type="auto"/>
            <w:gridSpan w:val="3"/>
            <w:shd w:val="clear" w:color="auto" w:fill="auto"/>
            <w:tcMar>
              <w:left w:w="20" w:type="dxa"/>
              <w:right w:w="20" w:type="dxa"/>
            </w:tcMar>
            <w:vAlign w:val="bottom"/>
          </w:tcPr>
          <w:p w14:paraId="64A8A0DF"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0E0" w14:textId="77777777" w:rsidR="008D6614" w:rsidRDefault="00866AF2">
            <w:pPr>
              <w:jc w:val="center"/>
              <w:textAlignment w:val="bottom"/>
            </w:pPr>
            <w:r>
              <w:rPr>
                <w:rFonts w:ascii="Arial" w:eastAsia="宋体" w:hAnsi="Arial" w:cs="Arial"/>
                <w:b/>
                <w:bCs/>
                <w:color w:val="000000"/>
                <w:sz w:val="16"/>
                <w:szCs w:val="16"/>
              </w:rPr>
              <w:t>Quoted Prices in</w:t>
            </w:r>
          </w:p>
          <w:p w14:paraId="64A8A0E1" w14:textId="77777777" w:rsidR="008D6614" w:rsidRDefault="00866AF2">
            <w:pPr>
              <w:jc w:val="center"/>
              <w:textAlignment w:val="bottom"/>
            </w:pPr>
            <w:r>
              <w:rPr>
                <w:rFonts w:ascii="Arial" w:eastAsia="宋体" w:hAnsi="Arial" w:cs="Arial"/>
                <w:b/>
                <w:bCs/>
                <w:color w:val="000000"/>
                <w:sz w:val="16"/>
                <w:szCs w:val="16"/>
              </w:rPr>
              <w:t>Active Markets for</w:t>
            </w:r>
          </w:p>
          <w:p w14:paraId="64A8A0E2" w14:textId="77777777" w:rsidR="008D6614" w:rsidRDefault="00866AF2">
            <w:pPr>
              <w:jc w:val="center"/>
              <w:textAlignment w:val="bottom"/>
            </w:pPr>
            <w:r>
              <w:rPr>
                <w:rFonts w:ascii="Arial" w:eastAsia="宋体" w:hAnsi="Arial" w:cs="Arial"/>
                <w:b/>
                <w:bCs/>
                <w:color w:val="000000"/>
                <w:sz w:val="16"/>
                <w:szCs w:val="16"/>
              </w:rPr>
              <w:t>Identical Assets</w:t>
            </w:r>
          </w:p>
          <w:p w14:paraId="64A8A0E3" w14:textId="77777777" w:rsidR="008D6614" w:rsidRDefault="00866AF2">
            <w:pPr>
              <w:jc w:val="center"/>
              <w:textAlignment w:val="bottom"/>
            </w:pPr>
            <w:r>
              <w:rPr>
                <w:rFonts w:ascii="Arial" w:eastAsia="宋体" w:hAnsi="Arial" w:cs="Arial"/>
                <w:b/>
                <w:bCs/>
                <w:color w:val="000000"/>
                <w:sz w:val="16"/>
                <w:szCs w:val="16"/>
              </w:rPr>
              <w:t>(Level 1)</w:t>
            </w:r>
            <w:r>
              <w:rPr>
                <w:rFonts w:ascii="Arial" w:eastAsia="宋体" w:hAnsi="Arial" w:cs="Arial"/>
                <w:color w:val="000000"/>
                <w:sz w:val="16"/>
                <w:szCs w:val="16"/>
              </w:rPr>
              <w:t xml:space="preserve"> </w:t>
            </w:r>
          </w:p>
        </w:tc>
        <w:tc>
          <w:tcPr>
            <w:tcW w:w="0" w:type="auto"/>
            <w:gridSpan w:val="3"/>
            <w:shd w:val="clear" w:color="auto" w:fill="auto"/>
            <w:tcMar>
              <w:left w:w="20" w:type="dxa"/>
              <w:right w:w="20" w:type="dxa"/>
            </w:tcMar>
            <w:vAlign w:val="bottom"/>
          </w:tcPr>
          <w:p w14:paraId="64A8A0E4"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0E5" w14:textId="77777777" w:rsidR="008D6614" w:rsidRDefault="00866AF2">
            <w:pPr>
              <w:jc w:val="center"/>
              <w:textAlignment w:val="bottom"/>
            </w:pPr>
            <w:r>
              <w:rPr>
                <w:rFonts w:ascii="Arial" w:eastAsia="宋体" w:hAnsi="Arial" w:cs="Arial"/>
                <w:b/>
                <w:bCs/>
                <w:color w:val="000000"/>
                <w:sz w:val="16"/>
                <w:szCs w:val="16"/>
              </w:rPr>
              <w:t>Significant Other</w:t>
            </w:r>
          </w:p>
          <w:p w14:paraId="64A8A0E6" w14:textId="77777777" w:rsidR="008D6614" w:rsidRDefault="00866AF2">
            <w:pPr>
              <w:jc w:val="center"/>
              <w:textAlignment w:val="bottom"/>
            </w:pPr>
            <w:r>
              <w:rPr>
                <w:rFonts w:ascii="Arial" w:eastAsia="宋体" w:hAnsi="Arial" w:cs="Arial"/>
                <w:b/>
                <w:bCs/>
                <w:color w:val="000000"/>
                <w:sz w:val="16"/>
                <w:szCs w:val="16"/>
              </w:rPr>
              <w:t>Observable Inputs</w:t>
            </w:r>
          </w:p>
          <w:p w14:paraId="64A8A0E7" w14:textId="77777777" w:rsidR="008D6614" w:rsidRDefault="00866AF2">
            <w:pPr>
              <w:jc w:val="center"/>
              <w:textAlignment w:val="bottom"/>
            </w:pPr>
            <w:r>
              <w:rPr>
                <w:rFonts w:ascii="Arial" w:eastAsia="宋体" w:hAnsi="Arial" w:cs="Arial"/>
                <w:b/>
                <w:bCs/>
                <w:color w:val="000000"/>
                <w:sz w:val="16"/>
                <w:szCs w:val="16"/>
              </w:rPr>
              <w:t>(Level 2)</w:t>
            </w:r>
          </w:p>
        </w:tc>
        <w:tc>
          <w:tcPr>
            <w:tcW w:w="0" w:type="auto"/>
            <w:gridSpan w:val="3"/>
            <w:shd w:val="clear" w:color="auto" w:fill="auto"/>
            <w:tcMar>
              <w:left w:w="20" w:type="dxa"/>
              <w:right w:w="20" w:type="dxa"/>
            </w:tcMar>
            <w:vAlign w:val="bottom"/>
          </w:tcPr>
          <w:p w14:paraId="64A8A0E8"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0E9" w14:textId="77777777" w:rsidR="008D6614" w:rsidRDefault="00866AF2">
            <w:pPr>
              <w:jc w:val="center"/>
              <w:textAlignment w:val="bottom"/>
            </w:pPr>
            <w:r>
              <w:rPr>
                <w:rFonts w:ascii="Arial" w:eastAsia="宋体" w:hAnsi="Arial" w:cs="Arial"/>
                <w:b/>
                <w:bCs/>
                <w:color w:val="000000"/>
                <w:sz w:val="16"/>
                <w:szCs w:val="16"/>
              </w:rPr>
              <w:t>Significant </w:t>
            </w:r>
          </w:p>
          <w:p w14:paraId="64A8A0EA" w14:textId="77777777" w:rsidR="008D6614" w:rsidRDefault="00866AF2">
            <w:pPr>
              <w:jc w:val="center"/>
              <w:textAlignment w:val="bottom"/>
            </w:pPr>
            <w:r>
              <w:rPr>
                <w:rFonts w:ascii="Arial" w:eastAsia="宋体" w:hAnsi="Arial" w:cs="Arial"/>
                <w:b/>
                <w:bCs/>
                <w:color w:val="000000"/>
                <w:sz w:val="16"/>
                <w:szCs w:val="16"/>
              </w:rPr>
              <w:t>Unobservable Inputs</w:t>
            </w:r>
          </w:p>
          <w:p w14:paraId="64A8A0EB" w14:textId="77777777" w:rsidR="008D6614" w:rsidRDefault="00866AF2">
            <w:pPr>
              <w:jc w:val="center"/>
              <w:textAlignment w:val="bottom"/>
            </w:pPr>
            <w:r>
              <w:rPr>
                <w:rFonts w:ascii="Arial" w:eastAsia="宋体" w:hAnsi="Arial" w:cs="Arial"/>
                <w:b/>
                <w:bCs/>
                <w:color w:val="000000"/>
                <w:sz w:val="16"/>
                <w:szCs w:val="16"/>
              </w:rPr>
              <w:t>(Level 3)</w:t>
            </w:r>
          </w:p>
        </w:tc>
      </w:tr>
      <w:tr w:rsidR="008D6614" w14:paraId="64A8A0F5" w14:textId="77777777">
        <w:tc>
          <w:tcPr>
            <w:tcW w:w="0" w:type="auto"/>
            <w:gridSpan w:val="3"/>
            <w:shd w:val="clear" w:color="auto" w:fill="E2E2E2"/>
            <w:tcMar>
              <w:top w:w="40" w:type="dxa"/>
              <w:left w:w="20" w:type="dxa"/>
              <w:bottom w:w="40" w:type="dxa"/>
              <w:right w:w="20" w:type="dxa"/>
            </w:tcMar>
            <w:vAlign w:val="bottom"/>
          </w:tcPr>
          <w:p w14:paraId="64A8A0ED" w14:textId="77777777" w:rsidR="008D6614" w:rsidRDefault="00866AF2">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A0EE"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EF"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A0F0"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F1" w14:textId="77777777" w:rsidR="008D6614" w:rsidRDefault="008D6614">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A0F2"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0F3"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0F4" w14:textId="77777777" w:rsidR="008D6614" w:rsidRDefault="008D6614">
            <w:pPr>
              <w:rPr>
                <w:rFonts w:ascii="宋体"/>
              </w:rPr>
            </w:pPr>
          </w:p>
        </w:tc>
      </w:tr>
      <w:tr w:rsidR="008D6614" w14:paraId="64A8A106" w14:textId="77777777">
        <w:tc>
          <w:tcPr>
            <w:tcW w:w="0" w:type="auto"/>
            <w:gridSpan w:val="3"/>
            <w:shd w:val="clear" w:color="auto" w:fill="FFFFFF"/>
            <w:tcMar>
              <w:top w:w="40" w:type="dxa"/>
              <w:left w:w="20" w:type="dxa"/>
              <w:bottom w:w="40" w:type="dxa"/>
              <w:right w:w="20" w:type="dxa"/>
            </w:tcMar>
            <w:vAlign w:val="bottom"/>
          </w:tcPr>
          <w:p w14:paraId="64A8A0F6" w14:textId="77777777" w:rsidR="008D6614" w:rsidRDefault="00866AF2">
            <w:pPr>
              <w:textAlignment w:val="bottom"/>
            </w:pPr>
            <w:r>
              <w:rPr>
                <w:rFonts w:ascii="Arial" w:eastAsia="宋体" w:hAnsi="Arial" w:cs="Arial"/>
                <w:color w:val="000000"/>
                <w:sz w:val="18"/>
                <w:szCs w:val="18"/>
              </w:rPr>
              <w:t xml:space="preserve">Cash and </w:t>
            </w:r>
            <w:r>
              <w:rPr>
                <w:rFonts w:ascii="Arial" w:eastAsia="宋体" w:hAnsi="Arial" w:cs="Arial"/>
                <w:color w:val="000000"/>
                <w:sz w:val="18"/>
                <w:szCs w:val="18"/>
              </w:rPr>
              <w:t>cash equivalents</w:t>
            </w:r>
          </w:p>
        </w:tc>
        <w:tc>
          <w:tcPr>
            <w:tcW w:w="0" w:type="auto"/>
            <w:tcBorders>
              <w:top w:val="single" w:sz="8" w:space="0" w:color="000000"/>
            </w:tcBorders>
            <w:shd w:val="clear" w:color="auto" w:fill="FFFFFF"/>
            <w:tcMar>
              <w:top w:w="40" w:type="dxa"/>
              <w:left w:w="20" w:type="dxa"/>
              <w:bottom w:w="40" w:type="dxa"/>
            </w:tcMar>
            <w:vAlign w:val="bottom"/>
          </w:tcPr>
          <w:p w14:paraId="64A8A0F7"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0F8" w14:textId="77777777" w:rsidR="008D6614" w:rsidRDefault="00866AF2">
            <w:pPr>
              <w:jc w:val="right"/>
              <w:textAlignment w:val="bottom"/>
            </w:pPr>
            <w:r>
              <w:rPr>
                <w:rFonts w:ascii="Arial" w:eastAsia="宋体" w:hAnsi="Arial" w:cs="Arial"/>
                <w:color w:val="000000"/>
                <w:sz w:val="18"/>
                <w:szCs w:val="18"/>
              </w:rPr>
              <w:t>923 </w:t>
            </w:r>
          </w:p>
        </w:tc>
        <w:tc>
          <w:tcPr>
            <w:tcW w:w="0" w:type="auto"/>
            <w:tcBorders>
              <w:top w:val="single" w:sz="8" w:space="0" w:color="000000"/>
            </w:tcBorders>
            <w:shd w:val="clear" w:color="auto" w:fill="FFFFFF"/>
            <w:tcMar>
              <w:top w:w="40" w:type="dxa"/>
              <w:bottom w:w="40" w:type="dxa"/>
              <w:right w:w="20" w:type="dxa"/>
            </w:tcMar>
            <w:vAlign w:val="bottom"/>
          </w:tcPr>
          <w:p w14:paraId="64A8A0F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FA"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A0FB"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0FC" w14:textId="77777777" w:rsidR="008D6614" w:rsidRDefault="00866AF2">
            <w:pPr>
              <w:jc w:val="right"/>
              <w:textAlignment w:val="bottom"/>
            </w:pPr>
            <w:r>
              <w:rPr>
                <w:rFonts w:ascii="Arial" w:eastAsia="宋体" w:hAnsi="Arial" w:cs="Arial"/>
                <w:color w:val="000000"/>
                <w:sz w:val="18"/>
                <w:szCs w:val="18"/>
              </w:rPr>
              <w:t>923 </w:t>
            </w:r>
          </w:p>
        </w:tc>
        <w:tc>
          <w:tcPr>
            <w:tcW w:w="0" w:type="auto"/>
            <w:tcBorders>
              <w:top w:val="single" w:sz="8" w:space="0" w:color="000000"/>
            </w:tcBorders>
            <w:shd w:val="clear" w:color="auto" w:fill="FFFFFF"/>
            <w:tcMar>
              <w:top w:w="40" w:type="dxa"/>
              <w:bottom w:w="40" w:type="dxa"/>
              <w:right w:w="20" w:type="dxa"/>
            </w:tcMar>
            <w:vAlign w:val="bottom"/>
          </w:tcPr>
          <w:p w14:paraId="64A8A0F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0FE"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A0FF"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100"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64A8A10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02"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A103"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104"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64A8A105" w14:textId="77777777" w:rsidR="008D6614" w:rsidRDefault="00866AF2">
            <w:pPr>
              <w:jc w:val="right"/>
              <w:textAlignment w:val="bottom"/>
            </w:pPr>
            <w:r>
              <w:rPr>
                <w:rFonts w:ascii="Arial" w:eastAsia="宋体" w:hAnsi="Arial" w:cs="Arial"/>
                <w:color w:val="000000"/>
                <w:sz w:val="18"/>
                <w:szCs w:val="18"/>
              </w:rPr>
              <w:t> </w:t>
            </w:r>
          </w:p>
        </w:tc>
      </w:tr>
      <w:tr w:rsidR="008D6614" w14:paraId="64A8A10F" w14:textId="77777777">
        <w:tc>
          <w:tcPr>
            <w:tcW w:w="0" w:type="auto"/>
            <w:gridSpan w:val="3"/>
            <w:shd w:val="clear" w:color="auto" w:fill="E2E2E2"/>
            <w:tcMar>
              <w:top w:w="40" w:type="dxa"/>
              <w:left w:w="20" w:type="dxa"/>
              <w:bottom w:w="40" w:type="dxa"/>
              <w:right w:w="20" w:type="dxa"/>
            </w:tcMar>
            <w:vAlign w:val="bottom"/>
          </w:tcPr>
          <w:p w14:paraId="64A8A107" w14:textId="77777777" w:rsidR="008D6614" w:rsidRDefault="00866AF2">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left w:w="20" w:type="dxa"/>
              <w:right w:w="20" w:type="dxa"/>
            </w:tcMar>
            <w:vAlign w:val="bottom"/>
          </w:tcPr>
          <w:p w14:paraId="64A8A10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109"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10A"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10B"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10C"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10D"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10E" w14:textId="77777777" w:rsidR="008D6614" w:rsidRDefault="008D6614">
            <w:pPr>
              <w:rPr>
                <w:rFonts w:ascii="宋体"/>
              </w:rPr>
            </w:pPr>
          </w:p>
        </w:tc>
      </w:tr>
      <w:tr w:rsidR="008D6614" w14:paraId="64A8A11C" w14:textId="77777777">
        <w:tc>
          <w:tcPr>
            <w:tcW w:w="0" w:type="auto"/>
            <w:gridSpan w:val="3"/>
            <w:shd w:val="clear" w:color="auto" w:fill="FFFFFF"/>
            <w:tcMar>
              <w:top w:w="40" w:type="dxa"/>
              <w:left w:w="495" w:type="dxa"/>
              <w:bottom w:w="40" w:type="dxa"/>
              <w:right w:w="20" w:type="dxa"/>
            </w:tcMar>
            <w:vAlign w:val="bottom"/>
          </w:tcPr>
          <w:p w14:paraId="64A8A110" w14:textId="77777777" w:rsidR="008D6614" w:rsidRDefault="00866AF2">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64A8A111" w14:textId="77777777" w:rsidR="008D6614" w:rsidRDefault="00866AF2">
            <w:pPr>
              <w:jc w:val="right"/>
              <w:textAlignment w:val="bottom"/>
            </w:pPr>
            <w:r>
              <w:rPr>
                <w:rFonts w:ascii="Arial" w:eastAsia="宋体" w:hAnsi="Arial" w:cs="Arial"/>
                <w:color w:val="000000"/>
                <w:sz w:val="18"/>
                <w:szCs w:val="18"/>
              </w:rPr>
              <w:t>21 </w:t>
            </w:r>
          </w:p>
        </w:tc>
        <w:tc>
          <w:tcPr>
            <w:tcW w:w="0" w:type="auto"/>
            <w:shd w:val="clear" w:color="auto" w:fill="FFFFFF"/>
            <w:tcMar>
              <w:top w:w="40" w:type="dxa"/>
              <w:bottom w:w="40" w:type="dxa"/>
              <w:right w:w="20" w:type="dxa"/>
            </w:tcMar>
            <w:vAlign w:val="bottom"/>
          </w:tcPr>
          <w:p w14:paraId="64A8A11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1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114" w14:textId="77777777" w:rsidR="008D6614" w:rsidRDefault="00866AF2">
            <w:pPr>
              <w:jc w:val="right"/>
              <w:textAlignment w:val="bottom"/>
            </w:pPr>
            <w:r>
              <w:rPr>
                <w:rFonts w:ascii="Arial" w:eastAsia="宋体" w:hAnsi="Arial" w:cs="Arial"/>
                <w:color w:val="000000"/>
                <w:sz w:val="18"/>
                <w:szCs w:val="18"/>
              </w:rPr>
              <w:t>21 </w:t>
            </w:r>
          </w:p>
        </w:tc>
        <w:tc>
          <w:tcPr>
            <w:tcW w:w="0" w:type="auto"/>
            <w:shd w:val="clear" w:color="auto" w:fill="FFFFFF"/>
            <w:tcMar>
              <w:top w:w="40" w:type="dxa"/>
              <w:bottom w:w="40" w:type="dxa"/>
              <w:right w:w="20" w:type="dxa"/>
            </w:tcMar>
            <w:vAlign w:val="bottom"/>
          </w:tcPr>
          <w:p w14:paraId="64A8A11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1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11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A11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1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11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A11B" w14:textId="77777777" w:rsidR="008D6614" w:rsidRDefault="00866AF2">
            <w:pPr>
              <w:jc w:val="right"/>
              <w:textAlignment w:val="bottom"/>
            </w:pPr>
            <w:r>
              <w:rPr>
                <w:rFonts w:ascii="Arial" w:eastAsia="宋体" w:hAnsi="Arial" w:cs="Arial"/>
                <w:color w:val="000000"/>
                <w:sz w:val="18"/>
                <w:szCs w:val="18"/>
              </w:rPr>
              <w:t> </w:t>
            </w:r>
          </w:p>
        </w:tc>
      </w:tr>
      <w:tr w:rsidR="008D6614" w14:paraId="64A8A129" w14:textId="77777777">
        <w:tc>
          <w:tcPr>
            <w:tcW w:w="0" w:type="auto"/>
            <w:gridSpan w:val="3"/>
            <w:shd w:val="clear" w:color="auto" w:fill="E2E2E2"/>
            <w:tcMar>
              <w:top w:w="40" w:type="dxa"/>
              <w:left w:w="495" w:type="dxa"/>
              <w:bottom w:w="40" w:type="dxa"/>
              <w:right w:w="20" w:type="dxa"/>
            </w:tcMar>
            <w:vAlign w:val="bottom"/>
          </w:tcPr>
          <w:p w14:paraId="64A8A11D" w14:textId="77777777" w:rsidR="008D6614" w:rsidRDefault="00866AF2">
            <w:pPr>
              <w:textAlignment w:val="bottom"/>
            </w:pPr>
            <w:r>
              <w:rPr>
                <w:rFonts w:ascii="Arial" w:eastAsia="宋体" w:hAnsi="Arial" w:cs="Arial"/>
                <w:color w:val="000000"/>
                <w:sz w:val="18"/>
                <w:szCs w:val="18"/>
              </w:rPr>
              <w:t>Corpor</w:t>
            </w:r>
            <w:r>
              <w:rPr>
                <w:rFonts w:ascii="Arial" w:eastAsia="宋体" w:hAnsi="Arial" w:cs="Arial"/>
                <w:color w:val="000000"/>
                <w:sz w:val="18"/>
                <w:szCs w:val="18"/>
              </w:rPr>
              <w:t>ate debt securities</w:t>
            </w:r>
          </w:p>
        </w:tc>
        <w:tc>
          <w:tcPr>
            <w:tcW w:w="0" w:type="auto"/>
            <w:gridSpan w:val="2"/>
            <w:shd w:val="clear" w:color="auto" w:fill="E2E2E2"/>
            <w:tcMar>
              <w:top w:w="40" w:type="dxa"/>
              <w:left w:w="20" w:type="dxa"/>
              <w:bottom w:w="40" w:type="dxa"/>
              <w:right w:w="0" w:type="dxa"/>
            </w:tcMar>
            <w:vAlign w:val="bottom"/>
          </w:tcPr>
          <w:p w14:paraId="64A8A11E" w14:textId="77777777" w:rsidR="008D6614" w:rsidRDefault="00866AF2">
            <w:pPr>
              <w:jc w:val="right"/>
              <w:textAlignment w:val="bottom"/>
            </w:pPr>
            <w:r>
              <w:rPr>
                <w:rFonts w:ascii="Arial" w:eastAsia="宋体" w:hAnsi="Arial" w:cs="Arial"/>
                <w:color w:val="000000"/>
                <w:sz w:val="18"/>
                <w:szCs w:val="18"/>
              </w:rPr>
              <w:t>1,654 </w:t>
            </w:r>
          </w:p>
        </w:tc>
        <w:tc>
          <w:tcPr>
            <w:tcW w:w="0" w:type="auto"/>
            <w:shd w:val="clear" w:color="auto" w:fill="E2E2E2"/>
            <w:tcMar>
              <w:top w:w="40" w:type="dxa"/>
              <w:bottom w:w="40" w:type="dxa"/>
              <w:right w:w="20" w:type="dxa"/>
            </w:tcMar>
            <w:vAlign w:val="bottom"/>
          </w:tcPr>
          <w:p w14:paraId="64A8A11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2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12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A12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2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124" w14:textId="77777777" w:rsidR="008D6614" w:rsidRDefault="00866AF2">
            <w:pPr>
              <w:jc w:val="right"/>
              <w:textAlignment w:val="bottom"/>
            </w:pPr>
            <w:r>
              <w:rPr>
                <w:rFonts w:ascii="Arial" w:eastAsia="宋体" w:hAnsi="Arial" w:cs="Arial"/>
                <w:color w:val="000000"/>
                <w:sz w:val="18"/>
                <w:szCs w:val="18"/>
              </w:rPr>
              <w:t>1,654 </w:t>
            </w:r>
          </w:p>
        </w:tc>
        <w:tc>
          <w:tcPr>
            <w:tcW w:w="0" w:type="auto"/>
            <w:shd w:val="clear" w:color="auto" w:fill="E2E2E2"/>
            <w:tcMar>
              <w:top w:w="40" w:type="dxa"/>
              <w:bottom w:w="40" w:type="dxa"/>
              <w:right w:w="20" w:type="dxa"/>
            </w:tcMar>
            <w:vAlign w:val="bottom"/>
          </w:tcPr>
          <w:p w14:paraId="64A8A12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26"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12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A128" w14:textId="77777777" w:rsidR="008D6614" w:rsidRDefault="00866AF2">
            <w:pPr>
              <w:jc w:val="right"/>
              <w:textAlignment w:val="bottom"/>
            </w:pPr>
            <w:r>
              <w:rPr>
                <w:rFonts w:ascii="Arial" w:eastAsia="宋体" w:hAnsi="Arial" w:cs="Arial"/>
                <w:color w:val="000000"/>
                <w:sz w:val="18"/>
                <w:szCs w:val="18"/>
              </w:rPr>
              <w:t> </w:t>
            </w:r>
          </w:p>
        </w:tc>
      </w:tr>
      <w:tr w:rsidR="008D6614" w14:paraId="64A8A136" w14:textId="77777777">
        <w:tc>
          <w:tcPr>
            <w:tcW w:w="0" w:type="auto"/>
            <w:gridSpan w:val="3"/>
            <w:shd w:val="clear" w:color="auto" w:fill="FFFFFF"/>
            <w:tcMar>
              <w:top w:w="40" w:type="dxa"/>
              <w:left w:w="495" w:type="dxa"/>
              <w:bottom w:w="40" w:type="dxa"/>
              <w:right w:w="20" w:type="dxa"/>
            </w:tcMar>
            <w:vAlign w:val="bottom"/>
          </w:tcPr>
          <w:p w14:paraId="64A8A12A" w14:textId="77777777" w:rsidR="008D6614" w:rsidRDefault="00866AF2">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4A8A12B" w14:textId="77777777" w:rsidR="008D6614" w:rsidRDefault="00866AF2">
            <w:pPr>
              <w:jc w:val="right"/>
              <w:textAlignment w:val="bottom"/>
            </w:pPr>
            <w:r>
              <w:rPr>
                <w:rFonts w:ascii="Arial" w:eastAsia="宋体" w:hAnsi="Arial" w:cs="Arial"/>
                <w:color w:val="000000"/>
                <w:sz w:val="18"/>
                <w:szCs w:val="18"/>
              </w:rPr>
              <w:t>175 </w:t>
            </w:r>
          </w:p>
        </w:tc>
        <w:tc>
          <w:tcPr>
            <w:tcW w:w="0" w:type="auto"/>
            <w:shd w:val="clear" w:color="auto" w:fill="FFFFFF"/>
            <w:tcMar>
              <w:top w:w="40" w:type="dxa"/>
              <w:bottom w:w="40" w:type="dxa"/>
              <w:right w:w="20" w:type="dxa"/>
            </w:tcMar>
            <w:vAlign w:val="bottom"/>
          </w:tcPr>
          <w:p w14:paraId="64A8A12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2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12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A12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3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131" w14:textId="77777777" w:rsidR="008D6614" w:rsidRDefault="00866AF2">
            <w:pPr>
              <w:jc w:val="right"/>
              <w:textAlignment w:val="bottom"/>
            </w:pPr>
            <w:r>
              <w:rPr>
                <w:rFonts w:ascii="Arial" w:eastAsia="宋体" w:hAnsi="Arial" w:cs="Arial"/>
                <w:color w:val="000000"/>
                <w:sz w:val="18"/>
                <w:szCs w:val="18"/>
              </w:rPr>
              <w:t>175 </w:t>
            </w:r>
          </w:p>
        </w:tc>
        <w:tc>
          <w:tcPr>
            <w:tcW w:w="0" w:type="auto"/>
            <w:shd w:val="clear" w:color="auto" w:fill="FFFFFF"/>
            <w:tcMar>
              <w:top w:w="40" w:type="dxa"/>
              <w:bottom w:w="40" w:type="dxa"/>
              <w:right w:w="20" w:type="dxa"/>
            </w:tcMar>
            <w:vAlign w:val="bottom"/>
          </w:tcPr>
          <w:p w14:paraId="64A8A13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3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13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A135" w14:textId="77777777" w:rsidR="008D6614" w:rsidRDefault="00866AF2">
            <w:pPr>
              <w:jc w:val="right"/>
              <w:textAlignment w:val="bottom"/>
            </w:pPr>
            <w:r>
              <w:rPr>
                <w:rFonts w:ascii="Arial" w:eastAsia="宋体" w:hAnsi="Arial" w:cs="Arial"/>
                <w:color w:val="000000"/>
                <w:sz w:val="18"/>
                <w:szCs w:val="18"/>
              </w:rPr>
              <w:t> </w:t>
            </w:r>
          </w:p>
        </w:tc>
      </w:tr>
      <w:tr w:rsidR="008D6614" w14:paraId="64A8A13F" w14:textId="77777777">
        <w:trPr>
          <w:hidden/>
        </w:trPr>
        <w:tc>
          <w:tcPr>
            <w:tcW w:w="0" w:type="auto"/>
            <w:gridSpan w:val="3"/>
            <w:shd w:val="clear" w:color="auto" w:fill="auto"/>
            <w:vAlign w:val="center"/>
          </w:tcPr>
          <w:p w14:paraId="64A8A137" w14:textId="77777777" w:rsidR="008D6614" w:rsidRDefault="008D6614">
            <w:pPr>
              <w:rPr>
                <w:rFonts w:ascii="宋体"/>
                <w:vanish/>
              </w:rPr>
            </w:pPr>
          </w:p>
        </w:tc>
        <w:tc>
          <w:tcPr>
            <w:tcW w:w="0" w:type="auto"/>
            <w:gridSpan w:val="3"/>
            <w:shd w:val="clear" w:color="auto" w:fill="auto"/>
            <w:vAlign w:val="center"/>
          </w:tcPr>
          <w:p w14:paraId="64A8A138" w14:textId="77777777" w:rsidR="008D6614" w:rsidRDefault="008D6614">
            <w:pPr>
              <w:rPr>
                <w:rFonts w:ascii="宋体"/>
                <w:vanish/>
              </w:rPr>
            </w:pPr>
          </w:p>
        </w:tc>
        <w:tc>
          <w:tcPr>
            <w:tcW w:w="0" w:type="auto"/>
            <w:gridSpan w:val="3"/>
            <w:shd w:val="clear" w:color="auto" w:fill="auto"/>
            <w:vAlign w:val="center"/>
          </w:tcPr>
          <w:p w14:paraId="64A8A139" w14:textId="77777777" w:rsidR="008D6614" w:rsidRDefault="008D6614">
            <w:pPr>
              <w:rPr>
                <w:rFonts w:ascii="宋体"/>
                <w:vanish/>
              </w:rPr>
            </w:pPr>
          </w:p>
        </w:tc>
        <w:tc>
          <w:tcPr>
            <w:tcW w:w="0" w:type="auto"/>
            <w:gridSpan w:val="3"/>
            <w:shd w:val="clear" w:color="auto" w:fill="auto"/>
            <w:vAlign w:val="center"/>
          </w:tcPr>
          <w:p w14:paraId="64A8A13A" w14:textId="77777777" w:rsidR="008D6614" w:rsidRDefault="008D6614">
            <w:pPr>
              <w:rPr>
                <w:rFonts w:ascii="宋体"/>
                <w:vanish/>
              </w:rPr>
            </w:pPr>
          </w:p>
        </w:tc>
        <w:tc>
          <w:tcPr>
            <w:tcW w:w="0" w:type="auto"/>
            <w:gridSpan w:val="3"/>
            <w:shd w:val="clear" w:color="auto" w:fill="auto"/>
            <w:vAlign w:val="center"/>
          </w:tcPr>
          <w:p w14:paraId="64A8A13B" w14:textId="77777777" w:rsidR="008D6614" w:rsidRDefault="008D6614">
            <w:pPr>
              <w:rPr>
                <w:rFonts w:ascii="宋体"/>
                <w:vanish/>
              </w:rPr>
            </w:pPr>
          </w:p>
        </w:tc>
        <w:tc>
          <w:tcPr>
            <w:tcW w:w="0" w:type="auto"/>
            <w:gridSpan w:val="3"/>
            <w:shd w:val="clear" w:color="auto" w:fill="auto"/>
            <w:vAlign w:val="center"/>
          </w:tcPr>
          <w:p w14:paraId="64A8A13C" w14:textId="77777777" w:rsidR="008D6614" w:rsidRDefault="008D6614">
            <w:pPr>
              <w:rPr>
                <w:rFonts w:ascii="宋体"/>
                <w:vanish/>
              </w:rPr>
            </w:pPr>
          </w:p>
        </w:tc>
        <w:tc>
          <w:tcPr>
            <w:tcW w:w="0" w:type="auto"/>
            <w:gridSpan w:val="3"/>
            <w:shd w:val="clear" w:color="auto" w:fill="auto"/>
            <w:vAlign w:val="center"/>
          </w:tcPr>
          <w:p w14:paraId="64A8A13D" w14:textId="77777777" w:rsidR="008D6614" w:rsidRDefault="008D6614">
            <w:pPr>
              <w:rPr>
                <w:rFonts w:ascii="宋体"/>
                <w:vanish/>
              </w:rPr>
            </w:pPr>
          </w:p>
        </w:tc>
        <w:tc>
          <w:tcPr>
            <w:tcW w:w="0" w:type="auto"/>
            <w:gridSpan w:val="3"/>
            <w:shd w:val="clear" w:color="auto" w:fill="auto"/>
            <w:vAlign w:val="center"/>
          </w:tcPr>
          <w:p w14:paraId="64A8A13E" w14:textId="77777777" w:rsidR="008D6614" w:rsidRDefault="008D6614">
            <w:pPr>
              <w:rPr>
                <w:rFonts w:ascii="宋体"/>
                <w:vanish/>
              </w:rPr>
            </w:pPr>
          </w:p>
        </w:tc>
      </w:tr>
      <w:tr w:rsidR="008D6614" w14:paraId="64A8A148" w14:textId="77777777">
        <w:trPr>
          <w:hidden/>
        </w:trPr>
        <w:tc>
          <w:tcPr>
            <w:tcW w:w="0" w:type="auto"/>
            <w:gridSpan w:val="3"/>
            <w:shd w:val="clear" w:color="auto" w:fill="auto"/>
            <w:vAlign w:val="center"/>
          </w:tcPr>
          <w:p w14:paraId="64A8A140" w14:textId="77777777" w:rsidR="008D6614" w:rsidRDefault="008D6614">
            <w:pPr>
              <w:rPr>
                <w:rFonts w:ascii="宋体"/>
                <w:vanish/>
              </w:rPr>
            </w:pPr>
          </w:p>
        </w:tc>
        <w:tc>
          <w:tcPr>
            <w:tcW w:w="0" w:type="auto"/>
            <w:gridSpan w:val="3"/>
            <w:shd w:val="clear" w:color="auto" w:fill="auto"/>
            <w:vAlign w:val="center"/>
          </w:tcPr>
          <w:p w14:paraId="64A8A141" w14:textId="77777777" w:rsidR="008D6614" w:rsidRDefault="008D6614">
            <w:pPr>
              <w:rPr>
                <w:rFonts w:ascii="宋体"/>
                <w:vanish/>
              </w:rPr>
            </w:pPr>
          </w:p>
        </w:tc>
        <w:tc>
          <w:tcPr>
            <w:tcW w:w="0" w:type="auto"/>
            <w:gridSpan w:val="3"/>
            <w:shd w:val="clear" w:color="auto" w:fill="auto"/>
            <w:vAlign w:val="center"/>
          </w:tcPr>
          <w:p w14:paraId="64A8A142" w14:textId="77777777" w:rsidR="008D6614" w:rsidRDefault="008D6614">
            <w:pPr>
              <w:rPr>
                <w:rFonts w:ascii="宋体"/>
                <w:vanish/>
              </w:rPr>
            </w:pPr>
          </w:p>
        </w:tc>
        <w:tc>
          <w:tcPr>
            <w:tcW w:w="0" w:type="auto"/>
            <w:gridSpan w:val="3"/>
            <w:shd w:val="clear" w:color="auto" w:fill="auto"/>
            <w:vAlign w:val="center"/>
          </w:tcPr>
          <w:p w14:paraId="64A8A143" w14:textId="77777777" w:rsidR="008D6614" w:rsidRDefault="008D6614">
            <w:pPr>
              <w:rPr>
                <w:rFonts w:ascii="宋体"/>
                <w:vanish/>
              </w:rPr>
            </w:pPr>
          </w:p>
        </w:tc>
        <w:tc>
          <w:tcPr>
            <w:tcW w:w="0" w:type="auto"/>
            <w:gridSpan w:val="3"/>
            <w:shd w:val="clear" w:color="auto" w:fill="auto"/>
            <w:vAlign w:val="center"/>
          </w:tcPr>
          <w:p w14:paraId="64A8A144" w14:textId="77777777" w:rsidR="008D6614" w:rsidRDefault="008D6614">
            <w:pPr>
              <w:rPr>
                <w:rFonts w:ascii="宋体"/>
                <w:vanish/>
              </w:rPr>
            </w:pPr>
          </w:p>
        </w:tc>
        <w:tc>
          <w:tcPr>
            <w:tcW w:w="0" w:type="auto"/>
            <w:gridSpan w:val="3"/>
            <w:shd w:val="clear" w:color="auto" w:fill="auto"/>
            <w:vAlign w:val="center"/>
          </w:tcPr>
          <w:p w14:paraId="64A8A145" w14:textId="77777777" w:rsidR="008D6614" w:rsidRDefault="008D6614">
            <w:pPr>
              <w:rPr>
                <w:rFonts w:ascii="宋体"/>
                <w:vanish/>
              </w:rPr>
            </w:pPr>
          </w:p>
        </w:tc>
        <w:tc>
          <w:tcPr>
            <w:tcW w:w="0" w:type="auto"/>
            <w:gridSpan w:val="3"/>
            <w:shd w:val="clear" w:color="auto" w:fill="auto"/>
            <w:vAlign w:val="center"/>
          </w:tcPr>
          <w:p w14:paraId="64A8A146" w14:textId="77777777" w:rsidR="008D6614" w:rsidRDefault="008D6614">
            <w:pPr>
              <w:rPr>
                <w:rFonts w:ascii="宋体"/>
                <w:vanish/>
              </w:rPr>
            </w:pPr>
          </w:p>
        </w:tc>
        <w:tc>
          <w:tcPr>
            <w:tcW w:w="0" w:type="auto"/>
            <w:gridSpan w:val="3"/>
            <w:shd w:val="clear" w:color="auto" w:fill="auto"/>
            <w:vAlign w:val="center"/>
          </w:tcPr>
          <w:p w14:paraId="64A8A147" w14:textId="77777777" w:rsidR="008D6614" w:rsidRDefault="008D6614">
            <w:pPr>
              <w:rPr>
                <w:rFonts w:ascii="宋体"/>
                <w:vanish/>
              </w:rPr>
            </w:pPr>
          </w:p>
        </w:tc>
      </w:tr>
      <w:tr w:rsidR="008D6614" w14:paraId="64A8A155" w14:textId="77777777">
        <w:tc>
          <w:tcPr>
            <w:tcW w:w="0" w:type="auto"/>
            <w:gridSpan w:val="3"/>
            <w:shd w:val="clear" w:color="auto" w:fill="E2E2E2"/>
            <w:tcMar>
              <w:top w:w="40" w:type="dxa"/>
              <w:left w:w="20" w:type="dxa"/>
              <w:bottom w:w="40" w:type="dxa"/>
              <w:right w:w="20" w:type="dxa"/>
            </w:tcMar>
            <w:vAlign w:val="bottom"/>
          </w:tcPr>
          <w:p w14:paraId="64A8A149" w14:textId="77777777" w:rsidR="008D6614" w:rsidRDefault="00866AF2">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14A" w14:textId="77777777" w:rsidR="008D6614" w:rsidRDefault="00866AF2">
            <w:pPr>
              <w:jc w:val="right"/>
              <w:textAlignment w:val="bottom"/>
            </w:pPr>
            <w:r>
              <w:rPr>
                <w:rFonts w:ascii="Arial" w:eastAsia="宋体" w:hAnsi="Arial" w:cs="Arial"/>
                <w:color w:val="000000"/>
                <w:sz w:val="18"/>
                <w:szCs w:val="18"/>
              </w:rPr>
              <w:t>1,850 </w:t>
            </w:r>
          </w:p>
        </w:tc>
        <w:tc>
          <w:tcPr>
            <w:tcW w:w="0" w:type="auto"/>
            <w:tcBorders>
              <w:top w:val="single" w:sz="8" w:space="0" w:color="000000"/>
            </w:tcBorders>
            <w:shd w:val="clear" w:color="auto" w:fill="E2E2E2"/>
            <w:tcMar>
              <w:top w:w="40" w:type="dxa"/>
              <w:bottom w:w="40" w:type="dxa"/>
              <w:right w:w="20" w:type="dxa"/>
            </w:tcMar>
            <w:vAlign w:val="bottom"/>
          </w:tcPr>
          <w:p w14:paraId="64A8A14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4C"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14D" w14:textId="77777777" w:rsidR="008D6614" w:rsidRDefault="00866AF2">
            <w:pPr>
              <w:jc w:val="right"/>
              <w:textAlignment w:val="bottom"/>
            </w:pPr>
            <w:r>
              <w:rPr>
                <w:rFonts w:ascii="Arial" w:eastAsia="宋体" w:hAnsi="Arial" w:cs="Arial"/>
                <w:color w:val="000000"/>
                <w:sz w:val="18"/>
                <w:szCs w:val="18"/>
              </w:rPr>
              <w:t>21 </w:t>
            </w:r>
          </w:p>
        </w:tc>
        <w:tc>
          <w:tcPr>
            <w:tcW w:w="0" w:type="auto"/>
            <w:tcBorders>
              <w:top w:val="single" w:sz="8" w:space="0" w:color="000000"/>
            </w:tcBorders>
            <w:shd w:val="clear" w:color="auto" w:fill="E2E2E2"/>
            <w:tcMar>
              <w:top w:w="40" w:type="dxa"/>
              <w:bottom w:w="40" w:type="dxa"/>
              <w:right w:w="20" w:type="dxa"/>
            </w:tcMar>
            <w:vAlign w:val="bottom"/>
          </w:tcPr>
          <w:p w14:paraId="64A8A14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4F"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150" w14:textId="77777777" w:rsidR="008D6614" w:rsidRDefault="00866AF2">
            <w:pPr>
              <w:jc w:val="right"/>
              <w:textAlignment w:val="bottom"/>
            </w:pPr>
            <w:r>
              <w:rPr>
                <w:rFonts w:ascii="Arial" w:eastAsia="宋体" w:hAnsi="Arial" w:cs="Arial"/>
                <w:color w:val="000000"/>
                <w:sz w:val="18"/>
                <w:szCs w:val="18"/>
              </w:rPr>
              <w:t>1,829 </w:t>
            </w:r>
          </w:p>
        </w:tc>
        <w:tc>
          <w:tcPr>
            <w:tcW w:w="0" w:type="auto"/>
            <w:tcBorders>
              <w:top w:val="single" w:sz="8" w:space="0" w:color="000000"/>
            </w:tcBorders>
            <w:shd w:val="clear" w:color="auto" w:fill="E2E2E2"/>
            <w:tcMar>
              <w:top w:w="40" w:type="dxa"/>
              <w:bottom w:w="40" w:type="dxa"/>
              <w:right w:w="20" w:type="dxa"/>
            </w:tcMar>
            <w:vAlign w:val="bottom"/>
          </w:tcPr>
          <w:p w14:paraId="64A8A15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52"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153"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64A8A154" w14:textId="77777777" w:rsidR="008D6614" w:rsidRDefault="00866AF2">
            <w:pPr>
              <w:jc w:val="right"/>
              <w:textAlignment w:val="bottom"/>
            </w:pPr>
            <w:r>
              <w:rPr>
                <w:rFonts w:ascii="Arial" w:eastAsia="宋体" w:hAnsi="Arial" w:cs="Arial"/>
                <w:color w:val="000000"/>
                <w:sz w:val="18"/>
                <w:szCs w:val="18"/>
              </w:rPr>
              <w:t> </w:t>
            </w:r>
          </w:p>
        </w:tc>
      </w:tr>
      <w:tr w:rsidR="008D6614" w14:paraId="64A8A15E" w14:textId="77777777">
        <w:trPr>
          <w:hidden/>
        </w:trPr>
        <w:tc>
          <w:tcPr>
            <w:tcW w:w="0" w:type="auto"/>
            <w:gridSpan w:val="3"/>
            <w:shd w:val="clear" w:color="auto" w:fill="auto"/>
            <w:vAlign w:val="center"/>
          </w:tcPr>
          <w:p w14:paraId="64A8A156" w14:textId="77777777" w:rsidR="008D6614" w:rsidRDefault="008D6614">
            <w:pPr>
              <w:rPr>
                <w:rFonts w:ascii="宋体"/>
                <w:vanish/>
              </w:rPr>
            </w:pPr>
          </w:p>
        </w:tc>
        <w:tc>
          <w:tcPr>
            <w:tcW w:w="0" w:type="auto"/>
            <w:gridSpan w:val="3"/>
            <w:shd w:val="clear" w:color="auto" w:fill="auto"/>
            <w:vAlign w:val="center"/>
          </w:tcPr>
          <w:p w14:paraId="64A8A157" w14:textId="77777777" w:rsidR="008D6614" w:rsidRDefault="008D6614">
            <w:pPr>
              <w:rPr>
                <w:rFonts w:ascii="宋体"/>
                <w:vanish/>
              </w:rPr>
            </w:pPr>
          </w:p>
        </w:tc>
        <w:tc>
          <w:tcPr>
            <w:tcW w:w="0" w:type="auto"/>
            <w:gridSpan w:val="3"/>
            <w:shd w:val="clear" w:color="auto" w:fill="auto"/>
            <w:vAlign w:val="center"/>
          </w:tcPr>
          <w:p w14:paraId="64A8A158" w14:textId="77777777" w:rsidR="008D6614" w:rsidRDefault="008D6614">
            <w:pPr>
              <w:rPr>
                <w:rFonts w:ascii="宋体"/>
                <w:vanish/>
              </w:rPr>
            </w:pPr>
          </w:p>
        </w:tc>
        <w:tc>
          <w:tcPr>
            <w:tcW w:w="0" w:type="auto"/>
            <w:gridSpan w:val="3"/>
            <w:shd w:val="clear" w:color="auto" w:fill="auto"/>
            <w:vAlign w:val="center"/>
          </w:tcPr>
          <w:p w14:paraId="64A8A159" w14:textId="77777777" w:rsidR="008D6614" w:rsidRDefault="008D6614">
            <w:pPr>
              <w:rPr>
                <w:rFonts w:ascii="宋体"/>
                <w:vanish/>
              </w:rPr>
            </w:pPr>
          </w:p>
        </w:tc>
        <w:tc>
          <w:tcPr>
            <w:tcW w:w="0" w:type="auto"/>
            <w:gridSpan w:val="3"/>
            <w:shd w:val="clear" w:color="auto" w:fill="auto"/>
            <w:vAlign w:val="center"/>
          </w:tcPr>
          <w:p w14:paraId="64A8A15A" w14:textId="77777777" w:rsidR="008D6614" w:rsidRDefault="008D6614">
            <w:pPr>
              <w:rPr>
                <w:rFonts w:ascii="宋体"/>
                <w:vanish/>
              </w:rPr>
            </w:pPr>
          </w:p>
        </w:tc>
        <w:tc>
          <w:tcPr>
            <w:tcW w:w="0" w:type="auto"/>
            <w:gridSpan w:val="3"/>
            <w:shd w:val="clear" w:color="auto" w:fill="auto"/>
            <w:vAlign w:val="center"/>
          </w:tcPr>
          <w:p w14:paraId="64A8A15B" w14:textId="77777777" w:rsidR="008D6614" w:rsidRDefault="008D6614">
            <w:pPr>
              <w:rPr>
                <w:rFonts w:ascii="宋体"/>
                <w:vanish/>
              </w:rPr>
            </w:pPr>
          </w:p>
        </w:tc>
        <w:tc>
          <w:tcPr>
            <w:tcW w:w="0" w:type="auto"/>
            <w:gridSpan w:val="3"/>
            <w:shd w:val="clear" w:color="auto" w:fill="auto"/>
            <w:vAlign w:val="center"/>
          </w:tcPr>
          <w:p w14:paraId="64A8A15C" w14:textId="77777777" w:rsidR="008D6614" w:rsidRDefault="008D6614">
            <w:pPr>
              <w:rPr>
                <w:rFonts w:ascii="宋体"/>
                <w:vanish/>
              </w:rPr>
            </w:pPr>
          </w:p>
        </w:tc>
        <w:tc>
          <w:tcPr>
            <w:tcW w:w="0" w:type="auto"/>
            <w:gridSpan w:val="3"/>
            <w:shd w:val="clear" w:color="auto" w:fill="auto"/>
            <w:vAlign w:val="center"/>
          </w:tcPr>
          <w:p w14:paraId="64A8A15D" w14:textId="77777777" w:rsidR="008D6614" w:rsidRDefault="008D6614">
            <w:pPr>
              <w:rPr>
                <w:rFonts w:ascii="宋体"/>
                <w:vanish/>
              </w:rPr>
            </w:pPr>
          </w:p>
        </w:tc>
      </w:tr>
      <w:tr w:rsidR="008D6614" w14:paraId="64A8A16B" w14:textId="77777777">
        <w:tc>
          <w:tcPr>
            <w:tcW w:w="0" w:type="auto"/>
            <w:gridSpan w:val="3"/>
            <w:shd w:val="clear" w:color="auto" w:fill="FFFFFF"/>
            <w:tcMar>
              <w:top w:w="40" w:type="dxa"/>
              <w:left w:w="20" w:type="dxa"/>
              <w:bottom w:w="40" w:type="dxa"/>
              <w:right w:w="20" w:type="dxa"/>
            </w:tcMar>
            <w:vAlign w:val="bottom"/>
          </w:tcPr>
          <w:p w14:paraId="64A8A15F" w14:textId="77777777" w:rsidR="008D6614" w:rsidRDefault="00866AF2">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160" w14:textId="77777777" w:rsidR="008D6614" w:rsidRDefault="00866AF2">
            <w:pPr>
              <w:jc w:val="right"/>
              <w:textAlignment w:val="bottom"/>
            </w:pPr>
            <w:r>
              <w:rPr>
                <w:rFonts w:ascii="Arial" w:eastAsia="宋体" w:hAnsi="Arial" w:cs="Arial"/>
                <w:color w:val="000000"/>
                <w:sz w:val="18"/>
                <w:szCs w:val="18"/>
              </w:rPr>
              <w:t>347 </w:t>
            </w:r>
          </w:p>
        </w:tc>
        <w:tc>
          <w:tcPr>
            <w:tcW w:w="0" w:type="auto"/>
            <w:tcBorders>
              <w:top w:val="single" w:sz="8" w:space="0" w:color="000000"/>
            </w:tcBorders>
            <w:shd w:val="clear" w:color="auto" w:fill="FFFFFF"/>
            <w:tcMar>
              <w:top w:w="40" w:type="dxa"/>
              <w:bottom w:w="40" w:type="dxa"/>
              <w:right w:w="20" w:type="dxa"/>
            </w:tcMar>
            <w:vAlign w:val="bottom"/>
          </w:tcPr>
          <w:p w14:paraId="64A8A16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62"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163"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bottom w:w="40" w:type="dxa"/>
              <w:right w:w="20" w:type="dxa"/>
            </w:tcMar>
            <w:vAlign w:val="bottom"/>
          </w:tcPr>
          <w:p w14:paraId="64A8A16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65"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166" w14:textId="77777777" w:rsidR="008D6614" w:rsidRDefault="00866AF2">
            <w:pPr>
              <w:jc w:val="right"/>
              <w:textAlignment w:val="bottom"/>
            </w:pPr>
            <w:r>
              <w:rPr>
                <w:rFonts w:ascii="Arial" w:eastAsia="宋体" w:hAnsi="Arial" w:cs="Arial"/>
                <w:color w:val="000000"/>
                <w:sz w:val="18"/>
                <w:szCs w:val="18"/>
              </w:rPr>
              <w:t>66 </w:t>
            </w:r>
          </w:p>
        </w:tc>
        <w:tc>
          <w:tcPr>
            <w:tcW w:w="0" w:type="auto"/>
            <w:tcBorders>
              <w:top w:val="single" w:sz="8" w:space="0" w:color="000000"/>
            </w:tcBorders>
            <w:shd w:val="clear" w:color="auto" w:fill="FFFFFF"/>
            <w:tcMar>
              <w:top w:w="40" w:type="dxa"/>
              <w:bottom w:w="40" w:type="dxa"/>
              <w:right w:w="20" w:type="dxa"/>
            </w:tcMar>
            <w:vAlign w:val="bottom"/>
          </w:tcPr>
          <w:p w14:paraId="64A8A16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68"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169" w14:textId="77777777" w:rsidR="008D6614" w:rsidRDefault="00866AF2">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FFFFFF"/>
            <w:tcMar>
              <w:top w:w="40" w:type="dxa"/>
              <w:bottom w:w="40" w:type="dxa"/>
              <w:right w:w="20" w:type="dxa"/>
            </w:tcMar>
            <w:vAlign w:val="bottom"/>
          </w:tcPr>
          <w:p w14:paraId="64A8A16A" w14:textId="77777777" w:rsidR="008D6614" w:rsidRDefault="00866AF2">
            <w:pPr>
              <w:jc w:val="right"/>
              <w:textAlignment w:val="bottom"/>
            </w:pPr>
            <w:r>
              <w:rPr>
                <w:rFonts w:ascii="Arial" w:eastAsia="宋体" w:hAnsi="Arial" w:cs="Arial"/>
                <w:color w:val="000000"/>
                <w:sz w:val="18"/>
                <w:szCs w:val="18"/>
              </w:rPr>
              <w:t> </w:t>
            </w:r>
          </w:p>
        </w:tc>
      </w:tr>
      <w:tr w:rsidR="008D6614" w14:paraId="64A8A174" w14:textId="77777777">
        <w:tc>
          <w:tcPr>
            <w:tcW w:w="0" w:type="auto"/>
            <w:gridSpan w:val="3"/>
            <w:shd w:val="clear" w:color="auto" w:fill="E2E2E2"/>
            <w:tcMar>
              <w:top w:w="40" w:type="dxa"/>
              <w:left w:w="20" w:type="dxa"/>
              <w:bottom w:w="40" w:type="dxa"/>
              <w:right w:w="20" w:type="dxa"/>
            </w:tcMar>
            <w:vAlign w:val="bottom"/>
          </w:tcPr>
          <w:p w14:paraId="64A8A16C" w14:textId="77777777" w:rsidR="008D6614" w:rsidRDefault="00866AF2">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left w:w="20" w:type="dxa"/>
              <w:right w:w="20" w:type="dxa"/>
            </w:tcMar>
            <w:vAlign w:val="bottom"/>
          </w:tcPr>
          <w:p w14:paraId="64A8A16D"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16E"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16F"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170"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171"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172"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173" w14:textId="77777777" w:rsidR="008D6614" w:rsidRDefault="008D6614">
            <w:pPr>
              <w:rPr>
                <w:rFonts w:ascii="宋体"/>
              </w:rPr>
            </w:pPr>
          </w:p>
        </w:tc>
      </w:tr>
      <w:tr w:rsidR="008D6614" w14:paraId="64A8A181" w14:textId="77777777">
        <w:tc>
          <w:tcPr>
            <w:tcW w:w="0" w:type="auto"/>
            <w:gridSpan w:val="3"/>
            <w:shd w:val="clear" w:color="auto" w:fill="FFFFFF"/>
            <w:tcMar>
              <w:top w:w="40" w:type="dxa"/>
              <w:left w:w="495" w:type="dxa"/>
              <w:bottom w:w="40" w:type="dxa"/>
              <w:right w:w="20" w:type="dxa"/>
            </w:tcMar>
            <w:vAlign w:val="bottom"/>
          </w:tcPr>
          <w:p w14:paraId="64A8A175" w14:textId="77777777" w:rsidR="008D6614" w:rsidRDefault="00866AF2">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64A8A176" w14:textId="77777777" w:rsidR="008D6614" w:rsidRDefault="00866AF2">
            <w:pPr>
              <w:jc w:val="right"/>
              <w:textAlignment w:val="bottom"/>
            </w:pPr>
            <w:r>
              <w:rPr>
                <w:rFonts w:ascii="Arial" w:eastAsia="宋体" w:hAnsi="Arial" w:cs="Arial"/>
                <w:color w:val="000000"/>
                <w:sz w:val="18"/>
                <w:szCs w:val="18"/>
              </w:rPr>
              <w:t>961 </w:t>
            </w:r>
          </w:p>
        </w:tc>
        <w:tc>
          <w:tcPr>
            <w:tcW w:w="0" w:type="auto"/>
            <w:shd w:val="clear" w:color="auto" w:fill="FFFFFF"/>
            <w:tcMar>
              <w:top w:w="40" w:type="dxa"/>
              <w:bottom w:w="40" w:type="dxa"/>
              <w:right w:w="20" w:type="dxa"/>
            </w:tcMar>
            <w:vAlign w:val="bottom"/>
          </w:tcPr>
          <w:p w14:paraId="64A8A17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7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17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A17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7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17C" w14:textId="77777777" w:rsidR="008D6614" w:rsidRDefault="00866AF2">
            <w:pPr>
              <w:jc w:val="right"/>
              <w:textAlignment w:val="bottom"/>
            </w:pPr>
            <w:r>
              <w:rPr>
                <w:rFonts w:ascii="Arial" w:eastAsia="宋体" w:hAnsi="Arial" w:cs="Arial"/>
                <w:color w:val="000000"/>
                <w:sz w:val="18"/>
                <w:szCs w:val="18"/>
              </w:rPr>
              <w:t>961 </w:t>
            </w:r>
          </w:p>
        </w:tc>
        <w:tc>
          <w:tcPr>
            <w:tcW w:w="0" w:type="auto"/>
            <w:shd w:val="clear" w:color="auto" w:fill="FFFFFF"/>
            <w:tcMar>
              <w:top w:w="40" w:type="dxa"/>
              <w:bottom w:w="40" w:type="dxa"/>
              <w:right w:w="20" w:type="dxa"/>
            </w:tcMar>
            <w:vAlign w:val="bottom"/>
          </w:tcPr>
          <w:p w14:paraId="64A8A17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7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17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64A8A180" w14:textId="77777777" w:rsidR="008D6614" w:rsidRDefault="00866AF2">
            <w:pPr>
              <w:jc w:val="right"/>
              <w:textAlignment w:val="bottom"/>
            </w:pPr>
            <w:r>
              <w:rPr>
                <w:rFonts w:ascii="Arial" w:eastAsia="宋体" w:hAnsi="Arial" w:cs="Arial"/>
                <w:color w:val="000000"/>
                <w:sz w:val="18"/>
                <w:szCs w:val="18"/>
              </w:rPr>
              <w:t> </w:t>
            </w:r>
          </w:p>
        </w:tc>
      </w:tr>
      <w:tr w:rsidR="008D6614" w14:paraId="64A8A18A" w14:textId="77777777">
        <w:trPr>
          <w:hidden/>
        </w:trPr>
        <w:tc>
          <w:tcPr>
            <w:tcW w:w="0" w:type="auto"/>
            <w:gridSpan w:val="3"/>
            <w:shd w:val="clear" w:color="auto" w:fill="auto"/>
            <w:vAlign w:val="center"/>
          </w:tcPr>
          <w:p w14:paraId="64A8A182" w14:textId="77777777" w:rsidR="008D6614" w:rsidRDefault="008D6614">
            <w:pPr>
              <w:rPr>
                <w:rFonts w:ascii="宋体"/>
                <w:vanish/>
              </w:rPr>
            </w:pPr>
          </w:p>
        </w:tc>
        <w:tc>
          <w:tcPr>
            <w:tcW w:w="0" w:type="auto"/>
            <w:gridSpan w:val="3"/>
            <w:shd w:val="clear" w:color="auto" w:fill="auto"/>
            <w:vAlign w:val="center"/>
          </w:tcPr>
          <w:p w14:paraId="64A8A183" w14:textId="77777777" w:rsidR="008D6614" w:rsidRDefault="008D6614">
            <w:pPr>
              <w:rPr>
                <w:rFonts w:ascii="宋体"/>
                <w:vanish/>
              </w:rPr>
            </w:pPr>
          </w:p>
        </w:tc>
        <w:tc>
          <w:tcPr>
            <w:tcW w:w="0" w:type="auto"/>
            <w:gridSpan w:val="3"/>
            <w:shd w:val="clear" w:color="auto" w:fill="auto"/>
            <w:vAlign w:val="center"/>
          </w:tcPr>
          <w:p w14:paraId="64A8A184" w14:textId="77777777" w:rsidR="008D6614" w:rsidRDefault="008D6614">
            <w:pPr>
              <w:rPr>
                <w:rFonts w:ascii="宋体"/>
                <w:vanish/>
              </w:rPr>
            </w:pPr>
          </w:p>
        </w:tc>
        <w:tc>
          <w:tcPr>
            <w:tcW w:w="0" w:type="auto"/>
            <w:gridSpan w:val="3"/>
            <w:shd w:val="clear" w:color="auto" w:fill="auto"/>
            <w:vAlign w:val="center"/>
          </w:tcPr>
          <w:p w14:paraId="64A8A185" w14:textId="77777777" w:rsidR="008D6614" w:rsidRDefault="008D6614">
            <w:pPr>
              <w:rPr>
                <w:rFonts w:ascii="宋体"/>
                <w:vanish/>
              </w:rPr>
            </w:pPr>
          </w:p>
        </w:tc>
        <w:tc>
          <w:tcPr>
            <w:tcW w:w="0" w:type="auto"/>
            <w:gridSpan w:val="3"/>
            <w:shd w:val="clear" w:color="auto" w:fill="auto"/>
            <w:vAlign w:val="center"/>
          </w:tcPr>
          <w:p w14:paraId="64A8A186" w14:textId="77777777" w:rsidR="008D6614" w:rsidRDefault="008D6614">
            <w:pPr>
              <w:rPr>
                <w:rFonts w:ascii="宋体"/>
                <w:vanish/>
              </w:rPr>
            </w:pPr>
          </w:p>
        </w:tc>
        <w:tc>
          <w:tcPr>
            <w:tcW w:w="0" w:type="auto"/>
            <w:gridSpan w:val="3"/>
            <w:shd w:val="clear" w:color="auto" w:fill="auto"/>
            <w:vAlign w:val="center"/>
          </w:tcPr>
          <w:p w14:paraId="64A8A187" w14:textId="77777777" w:rsidR="008D6614" w:rsidRDefault="008D6614">
            <w:pPr>
              <w:rPr>
                <w:rFonts w:ascii="宋体"/>
                <w:vanish/>
              </w:rPr>
            </w:pPr>
          </w:p>
        </w:tc>
        <w:tc>
          <w:tcPr>
            <w:tcW w:w="0" w:type="auto"/>
            <w:gridSpan w:val="3"/>
            <w:shd w:val="clear" w:color="auto" w:fill="auto"/>
            <w:vAlign w:val="center"/>
          </w:tcPr>
          <w:p w14:paraId="64A8A188" w14:textId="77777777" w:rsidR="008D6614" w:rsidRDefault="008D6614">
            <w:pPr>
              <w:rPr>
                <w:rFonts w:ascii="宋体"/>
                <w:vanish/>
              </w:rPr>
            </w:pPr>
          </w:p>
        </w:tc>
        <w:tc>
          <w:tcPr>
            <w:tcW w:w="0" w:type="auto"/>
            <w:gridSpan w:val="3"/>
            <w:shd w:val="clear" w:color="auto" w:fill="auto"/>
            <w:vAlign w:val="center"/>
          </w:tcPr>
          <w:p w14:paraId="64A8A189" w14:textId="77777777" w:rsidR="008D6614" w:rsidRDefault="008D6614">
            <w:pPr>
              <w:rPr>
                <w:rFonts w:ascii="宋体"/>
                <w:vanish/>
              </w:rPr>
            </w:pPr>
          </w:p>
        </w:tc>
      </w:tr>
      <w:tr w:rsidR="008D6614" w14:paraId="64A8A197" w14:textId="77777777">
        <w:tc>
          <w:tcPr>
            <w:tcW w:w="0" w:type="auto"/>
            <w:gridSpan w:val="3"/>
            <w:shd w:val="clear" w:color="auto" w:fill="E2E2E2"/>
            <w:tcMar>
              <w:top w:w="40" w:type="dxa"/>
              <w:left w:w="20" w:type="dxa"/>
              <w:bottom w:w="40" w:type="dxa"/>
              <w:right w:w="20" w:type="dxa"/>
            </w:tcMar>
            <w:vAlign w:val="bottom"/>
          </w:tcPr>
          <w:p w14:paraId="64A8A18B" w14:textId="77777777" w:rsidR="008D6614" w:rsidRDefault="00866AF2">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18C" w14:textId="77777777" w:rsidR="008D6614" w:rsidRDefault="00866AF2">
            <w:pPr>
              <w:jc w:val="right"/>
              <w:textAlignment w:val="bottom"/>
            </w:pPr>
            <w:r>
              <w:rPr>
                <w:rFonts w:ascii="Arial" w:eastAsia="宋体" w:hAnsi="Arial" w:cs="Arial"/>
                <w:color w:val="000000"/>
                <w:sz w:val="18"/>
                <w:szCs w:val="18"/>
              </w:rPr>
              <w:t>961 </w:t>
            </w:r>
          </w:p>
        </w:tc>
        <w:tc>
          <w:tcPr>
            <w:tcW w:w="0" w:type="auto"/>
            <w:tcBorders>
              <w:top w:val="single" w:sz="8" w:space="0" w:color="000000"/>
            </w:tcBorders>
            <w:shd w:val="clear" w:color="auto" w:fill="E2E2E2"/>
            <w:tcMar>
              <w:top w:w="40" w:type="dxa"/>
              <w:bottom w:w="40" w:type="dxa"/>
              <w:right w:w="20" w:type="dxa"/>
            </w:tcMar>
            <w:vAlign w:val="bottom"/>
          </w:tcPr>
          <w:p w14:paraId="64A8A18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8E"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18F"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64A8A19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91"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192" w14:textId="77777777" w:rsidR="008D6614" w:rsidRDefault="00866AF2">
            <w:pPr>
              <w:jc w:val="right"/>
              <w:textAlignment w:val="bottom"/>
            </w:pPr>
            <w:r>
              <w:rPr>
                <w:rFonts w:ascii="Arial" w:eastAsia="宋体" w:hAnsi="Arial" w:cs="Arial"/>
                <w:color w:val="000000"/>
                <w:sz w:val="18"/>
                <w:szCs w:val="18"/>
              </w:rPr>
              <w:t>961 </w:t>
            </w:r>
          </w:p>
        </w:tc>
        <w:tc>
          <w:tcPr>
            <w:tcW w:w="0" w:type="auto"/>
            <w:tcBorders>
              <w:top w:val="single" w:sz="8" w:space="0" w:color="000000"/>
            </w:tcBorders>
            <w:shd w:val="clear" w:color="auto" w:fill="E2E2E2"/>
            <w:tcMar>
              <w:top w:w="40" w:type="dxa"/>
              <w:bottom w:w="40" w:type="dxa"/>
              <w:right w:w="20" w:type="dxa"/>
            </w:tcMar>
            <w:vAlign w:val="bottom"/>
          </w:tcPr>
          <w:p w14:paraId="64A8A19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94"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195" w14:textId="77777777" w:rsidR="008D6614" w:rsidRDefault="00866AF2">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bottom w:w="40" w:type="dxa"/>
              <w:right w:w="20" w:type="dxa"/>
            </w:tcMar>
            <w:vAlign w:val="bottom"/>
          </w:tcPr>
          <w:p w14:paraId="64A8A196" w14:textId="77777777" w:rsidR="008D6614" w:rsidRDefault="00866AF2">
            <w:pPr>
              <w:jc w:val="right"/>
              <w:textAlignment w:val="bottom"/>
            </w:pPr>
            <w:r>
              <w:rPr>
                <w:rFonts w:ascii="Arial" w:eastAsia="宋体" w:hAnsi="Arial" w:cs="Arial"/>
                <w:color w:val="000000"/>
                <w:sz w:val="18"/>
                <w:szCs w:val="18"/>
              </w:rPr>
              <w:t> </w:t>
            </w:r>
          </w:p>
        </w:tc>
      </w:tr>
      <w:tr w:rsidR="008D6614" w14:paraId="64A8A1A8" w14:textId="77777777">
        <w:tc>
          <w:tcPr>
            <w:tcW w:w="0" w:type="auto"/>
            <w:gridSpan w:val="3"/>
            <w:shd w:val="clear" w:color="auto" w:fill="FFFFFF"/>
            <w:tcMar>
              <w:top w:w="40" w:type="dxa"/>
              <w:left w:w="20" w:type="dxa"/>
              <w:bottom w:w="40" w:type="dxa"/>
              <w:right w:w="20" w:type="dxa"/>
            </w:tcMar>
            <w:vAlign w:val="bottom"/>
          </w:tcPr>
          <w:p w14:paraId="64A8A198" w14:textId="77777777" w:rsidR="008D6614" w:rsidRDefault="00866AF2">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FFFFFF"/>
            <w:tcMar>
              <w:top w:w="40" w:type="dxa"/>
              <w:left w:w="20" w:type="dxa"/>
              <w:bottom w:w="40" w:type="dxa"/>
            </w:tcMar>
            <w:vAlign w:val="bottom"/>
          </w:tcPr>
          <w:p w14:paraId="64A8A19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19A" w14:textId="77777777" w:rsidR="008D6614" w:rsidRDefault="00866AF2">
            <w:pPr>
              <w:jc w:val="right"/>
              <w:textAlignment w:val="bottom"/>
            </w:pPr>
            <w:r>
              <w:rPr>
                <w:rFonts w:ascii="Arial" w:eastAsia="宋体" w:hAnsi="Arial" w:cs="Arial"/>
                <w:color w:val="000000"/>
                <w:sz w:val="18"/>
                <w:szCs w:val="18"/>
              </w:rPr>
              <w:t>4,081 </w:t>
            </w:r>
          </w:p>
        </w:tc>
        <w:tc>
          <w:tcPr>
            <w:tcW w:w="0" w:type="auto"/>
            <w:tcBorders>
              <w:top w:val="single" w:sz="8" w:space="0" w:color="000000"/>
            </w:tcBorders>
            <w:shd w:val="clear" w:color="auto" w:fill="FFFFFF"/>
            <w:tcMar>
              <w:top w:w="40" w:type="dxa"/>
              <w:bottom w:w="40" w:type="dxa"/>
              <w:right w:w="20" w:type="dxa"/>
            </w:tcMar>
            <w:vAlign w:val="bottom"/>
          </w:tcPr>
          <w:p w14:paraId="64A8A19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9C"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A19D"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19E" w14:textId="77777777" w:rsidR="008D6614" w:rsidRDefault="00866AF2">
            <w:pPr>
              <w:jc w:val="right"/>
              <w:textAlignment w:val="bottom"/>
            </w:pPr>
            <w:r>
              <w:rPr>
                <w:rFonts w:ascii="Arial" w:eastAsia="宋体" w:hAnsi="Arial" w:cs="Arial"/>
                <w:color w:val="000000"/>
                <w:sz w:val="18"/>
                <w:szCs w:val="18"/>
              </w:rPr>
              <w:t>944 </w:t>
            </w:r>
          </w:p>
        </w:tc>
        <w:tc>
          <w:tcPr>
            <w:tcW w:w="0" w:type="auto"/>
            <w:tcBorders>
              <w:top w:val="single" w:sz="8" w:space="0" w:color="000000"/>
            </w:tcBorders>
            <w:shd w:val="clear" w:color="auto" w:fill="FFFFFF"/>
            <w:tcMar>
              <w:top w:w="40" w:type="dxa"/>
              <w:bottom w:w="40" w:type="dxa"/>
              <w:right w:w="20" w:type="dxa"/>
            </w:tcMar>
            <w:vAlign w:val="bottom"/>
          </w:tcPr>
          <w:p w14:paraId="64A8A19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A0"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A1A1"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1A2" w14:textId="77777777" w:rsidR="008D6614" w:rsidRDefault="00866AF2">
            <w:pPr>
              <w:jc w:val="right"/>
              <w:textAlignment w:val="bottom"/>
            </w:pPr>
            <w:r>
              <w:rPr>
                <w:rFonts w:ascii="Arial" w:eastAsia="宋体" w:hAnsi="Arial" w:cs="Arial"/>
                <w:color w:val="000000"/>
                <w:sz w:val="18"/>
                <w:szCs w:val="18"/>
              </w:rPr>
              <w:t>2,856 </w:t>
            </w:r>
          </w:p>
        </w:tc>
        <w:tc>
          <w:tcPr>
            <w:tcW w:w="0" w:type="auto"/>
            <w:tcBorders>
              <w:top w:val="single" w:sz="8" w:space="0" w:color="000000"/>
            </w:tcBorders>
            <w:shd w:val="clear" w:color="auto" w:fill="FFFFFF"/>
            <w:tcMar>
              <w:top w:w="40" w:type="dxa"/>
              <w:bottom w:w="40" w:type="dxa"/>
              <w:right w:w="20" w:type="dxa"/>
            </w:tcMar>
            <w:vAlign w:val="bottom"/>
          </w:tcPr>
          <w:p w14:paraId="64A8A1A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A4" w14:textId="77777777" w:rsidR="008D6614" w:rsidRDefault="008D661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64A8A1A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64A8A1A6" w14:textId="77777777" w:rsidR="008D6614" w:rsidRDefault="00866AF2">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FFFFFF"/>
            <w:tcMar>
              <w:top w:w="40" w:type="dxa"/>
              <w:bottom w:w="40" w:type="dxa"/>
              <w:right w:w="20" w:type="dxa"/>
            </w:tcMar>
            <w:vAlign w:val="bottom"/>
          </w:tcPr>
          <w:p w14:paraId="64A8A1A7" w14:textId="77777777" w:rsidR="008D6614" w:rsidRDefault="00866AF2">
            <w:pPr>
              <w:jc w:val="right"/>
              <w:textAlignment w:val="bottom"/>
            </w:pPr>
            <w:r>
              <w:rPr>
                <w:rFonts w:ascii="Arial" w:eastAsia="宋体" w:hAnsi="Arial" w:cs="Arial"/>
                <w:color w:val="000000"/>
                <w:sz w:val="18"/>
                <w:szCs w:val="18"/>
              </w:rPr>
              <w:t> </w:t>
            </w:r>
          </w:p>
        </w:tc>
      </w:tr>
      <w:tr w:rsidR="008D6614" w14:paraId="64A8A1B1" w14:textId="77777777">
        <w:trPr>
          <w:trHeight w:val="280"/>
        </w:trPr>
        <w:tc>
          <w:tcPr>
            <w:tcW w:w="0" w:type="auto"/>
            <w:gridSpan w:val="3"/>
            <w:shd w:val="clear" w:color="auto" w:fill="E2E2E2"/>
            <w:tcMar>
              <w:left w:w="20" w:type="dxa"/>
              <w:right w:w="20" w:type="dxa"/>
            </w:tcMar>
            <w:vAlign w:val="bottom"/>
          </w:tcPr>
          <w:p w14:paraId="64A8A1A9"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A1AA"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1AB"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A1AC"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1AD"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A1AE"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1AF" w14:textId="77777777" w:rsidR="008D6614" w:rsidRDefault="008D6614">
            <w:pPr>
              <w:rPr>
                <w:rFonts w:ascii="宋体"/>
              </w:rPr>
            </w:pPr>
          </w:p>
        </w:tc>
        <w:tc>
          <w:tcPr>
            <w:tcW w:w="0" w:type="auto"/>
            <w:gridSpan w:val="3"/>
            <w:tcBorders>
              <w:top w:val="double" w:sz="6" w:space="0" w:color="000000"/>
            </w:tcBorders>
            <w:shd w:val="clear" w:color="auto" w:fill="E2E2E2"/>
            <w:tcMar>
              <w:left w:w="20" w:type="dxa"/>
              <w:right w:w="20" w:type="dxa"/>
            </w:tcMar>
            <w:vAlign w:val="bottom"/>
          </w:tcPr>
          <w:p w14:paraId="64A8A1B0" w14:textId="77777777" w:rsidR="008D6614" w:rsidRDefault="008D6614">
            <w:pPr>
              <w:rPr>
                <w:rFonts w:ascii="宋体"/>
              </w:rPr>
            </w:pPr>
          </w:p>
        </w:tc>
      </w:tr>
      <w:tr w:rsidR="008D6614" w14:paraId="64A8A1BA" w14:textId="77777777">
        <w:tc>
          <w:tcPr>
            <w:tcW w:w="0" w:type="auto"/>
            <w:gridSpan w:val="3"/>
            <w:shd w:val="clear" w:color="auto" w:fill="FFFFFF"/>
            <w:tcMar>
              <w:top w:w="40" w:type="dxa"/>
              <w:left w:w="20" w:type="dxa"/>
              <w:bottom w:w="40" w:type="dxa"/>
              <w:right w:w="20" w:type="dxa"/>
            </w:tcMar>
            <w:vAlign w:val="bottom"/>
          </w:tcPr>
          <w:p w14:paraId="64A8A1B2" w14:textId="77777777" w:rsidR="008D6614" w:rsidRDefault="00866AF2">
            <w:pPr>
              <w:textAlignment w:val="bottom"/>
            </w:pPr>
            <w:r>
              <w:rPr>
                <w:rFonts w:ascii="Arial" w:eastAsia="宋体" w:hAnsi="Arial" w:cs="Arial"/>
                <w:b/>
                <w:bCs/>
                <w:i/>
                <w:iCs/>
                <w:color w:val="000000"/>
                <w:sz w:val="18"/>
                <w:szCs w:val="18"/>
              </w:rPr>
              <w:t>Liabilities:</w:t>
            </w:r>
          </w:p>
        </w:tc>
        <w:tc>
          <w:tcPr>
            <w:tcW w:w="0" w:type="auto"/>
            <w:gridSpan w:val="3"/>
            <w:shd w:val="clear" w:color="auto" w:fill="FFFFFF"/>
            <w:tcMar>
              <w:left w:w="20" w:type="dxa"/>
              <w:right w:w="20" w:type="dxa"/>
            </w:tcMar>
            <w:vAlign w:val="bottom"/>
          </w:tcPr>
          <w:p w14:paraId="64A8A1B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1B4"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1B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1B6"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1B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1B8"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1B9" w14:textId="77777777" w:rsidR="008D6614" w:rsidRDefault="008D6614">
            <w:pPr>
              <w:rPr>
                <w:rFonts w:ascii="宋体"/>
              </w:rPr>
            </w:pPr>
          </w:p>
        </w:tc>
      </w:tr>
      <w:tr w:rsidR="008D6614" w14:paraId="64A8A1CB" w14:textId="77777777">
        <w:tc>
          <w:tcPr>
            <w:tcW w:w="0" w:type="auto"/>
            <w:gridSpan w:val="3"/>
            <w:shd w:val="clear" w:color="auto" w:fill="E2E2E2"/>
            <w:tcMar>
              <w:top w:w="40" w:type="dxa"/>
              <w:left w:w="20" w:type="dxa"/>
              <w:bottom w:w="40" w:type="dxa"/>
              <w:right w:w="20" w:type="dxa"/>
            </w:tcMar>
            <w:vAlign w:val="bottom"/>
          </w:tcPr>
          <w:p w14:paraId="64A8A1BB" w14:textId="77777777" w:rsidR="008D6614" w:rsidRDefault="00866AF2">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E2E2E2"/>
            <w:tcMar>
              <w:top w:w="40" w:type="dxa"/>
              <w:left w:w="20" w:type="dxa"/>
              <w:bottom w:w="40" w:type="dxa"/>
            </w:tcMar>
            <w:vAlign w:val="bottom"/>
          </w:tcPr>
          <w:p w14:paraId="64A8A1BC" w14:textId="77777777" w:rsidR="008D6614" w:rsidRDefault="00866AF2">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64A8A1BD" w14:textId="77777777" w:rsidR="008D6614" w:rsidRDefault="00866AF2">
            <w:pPr>
              <w:jc w:val="right"/>
              <w:textAlignment w:val="bottom"/>
            </w:pPr>
            <w:r>
              <w:rPr>
                <w:rFonts w:ascii="Arial" w:eastAsia="宋体" w:hAnsi="Arial" w:cs="Arial"/>
                <w:color w:val="000000"/>
                <w:sz w:val="18"/>
                <w:szCs w:val="18"/>
              </w:rPr>
              <w:t>23 </w:t>
            </w:r>
          </w:p>
        </w:tc>
        <w:tc>
          <w:tcPr>
            <w:tcW w:w="0" w:type="auto"/>
            <w:tcBorders>
              <w:bottom w:val="double" w:sz="6" w:space="0" w:color="000000"/>
            </w:tcBorders>
            <w:shd w:val="clear" w:color="auto" w:fill="E2E2E2"/>
            <w:tcMar>
              <w:top w:w="40" w:type="dxa"/>
              <w:bottom w:w="40" w:type="dxa"/>
              <w:right w:w="20" w:type="dxa"/>
            </w:tcMar>
            <w:vAlign w:val="bottom"/>
          </w:tcPr>
          <w:p w14:paraId="64A8A1BE"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BF" w14:textId="77777777" w:rsidR="008D6614" w:rsidRDefault="008D6614">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64A8A1C0" w14:textId="77777777" w:rsidR="008D6614" w:rsidRDefault="00866AF2">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64A8A1C1" w14:textId="77777777" w:rsidR="008D6614" w:rsidRDefault="00866AF2">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bottom w:w="40" w:type="dxa"/>
              <w:right w:w="20" w:type="dxa"/>
            </w:tcMar>
            <w:vAlign w:val="bottom"/>
          </w:tcPr>
          <w:p w14:paraId="64A8A1C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C3" w14:textId="77777777" w:rsidR="008D6614" w:rsidRDefault="008D6614">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64A8A1C4" w14:textId="77777777" w:rsidR="008D6614" w:rsidRDefault="00866AF2">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64A8A1C5" w14:textId="77777777" w:rsidR="008D6614" w:rsidRDefault="00866AF2">
            <w:pPr>
              <w:jc w:val="right"/>
              <w:textAlignment w:val="bottom"/>
            </w:pPr>
            <w:r>
              <w:rPr>
                <w:rFonts w:ascii="Arial" w:eastAsia="宋体" w:hAnsi="Arial" w:cs="Arial"/>
                <w:color w:val="000000"/>
                <w:sz w:val="18"/>
                <w:szCs w:val="18"/>
              </w:rPr>
              <w:t>23 </w:t>
            </w:r>
          </w:p>
        </w:tc>
        <w:tc>
          <w:tcPr>
            <w:tcW w:w="0" w:type="auto"/>
            <w:tcBorders>
              <w:bottom w:val="double" w:sz="6" w:space="0" w:color="000000"/>
            </w:tcBorders>
            <w:shd w:val="clear" w:color="auto" w:fill="E2E2E2"/>
            <w:tcMar>
              <w:top w:w="40" w:type="dxa"/>
              <w:bottom w:w="40" w:type="dxa"/>
              <w:right w:w="20" w:type="dxa"/>
            </w:tcMar>
            <w:vAlign w:val="bottom"/>
          </w:tcPr>
          <w:p w14:paraId="64A8A1C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C7" w14:textId="77777777" w:rsidR="008D6614" w:rsidRDefault="008D6614">
            <w:pPr>
              <w:rPr>
                <w:rFonts w:ascii="宋体"/>
              </w:rPr>
            </w:pPr>
          </w:p>
        </w:tc>
        <w:tc>
          <w:tcPr>
            <w:tcW w:w="0" w:type="auto"/>
            <w:tcBorders>
              <w:bottom w:val="double" w:sz="6" w:space="0" w:color="000000"/>
            </w:tcBorders>
            <w:shd w:val="clear" w:color="auto" w:fill="E2E2E2"/>
            <w:tcMar>
              <w:top w:w="40" w:type="dxa"/>
              <w:left w:w="20" w:type="dxa"/>
              <w:bottom w:w="40" w:type="dxa"/>
            </w:tcMar>
            <w:vAlign w:val="bottom"/>
          </w:tcPr>
          <w:p w14:paraId="64A8A1C8" w14:textId="77777777" w:rsidR="008D6614" w:rsidRDefault="00866AF2">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bottom w:w="40" w:type="dxa"/>
              <w:right w:w="0" w:type="dxa"/>
            </w:tcMar>
            <w:vAlign w:val="bottom"/>
          </w:tcPr>
          <w:p w14:paraId="64A8A1C9" w14:textId="77777777" w:rsidR="008D6614" w:rsidRDefault="00866AF2">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bottom w:w="40" w:type="dxa"/>
              <w:right w:w="20" w:type="dxa"/>
            </w:tcMar>
            <w:vAlign w:val="bottom"/>
          </w:tcPr>
          <w:p w14:paraId="64A8A1CA" w14:textId="77777777" w:rsidR="008D6614" w:rsidRDefault="00866AF2">
            <w:pPr>
              <w:jc w:val="right"/>
              <w:textAlignment w:val="bottom"/>
            </w:pPr>
            <w:r>
              <w:rPr>
                <w:rFonts w:ascii="Arial" w:eastAsia="宋体" w:hAnsi="Arial" w:cs="Arial"/>
                <w:color w:val="000000"/>
                <w:sz w:val="18"/>
                <w:szCs w:val="18"/>
              </w:rPr>
              <w:t> </w:t>
            </w:r>
          </w:p>
        </w:tc>
      </w:tr>
    </w:tbl>
    <w:p w14:paraId="64A8A1CC" w14:textId="77777777" w:rsidR="008D6614" w:rsidRDefault="008D6614"/>
    <w:p w14:paraId="64A8A1CD" w14:textId="77777777" w:rsidR="008D6614" w:rsidRDefault="00866AF2">
      <w:pPr>
        <w:ind w:firstLine="540"/>
        <w:jc w:val="both"/>
      </w:pPr>
      <w:r>
        <w:rPr>
          <w:rFonts w:ascii="Arial" w:eastAsia="宋体" w:hAnsi="Arial" w:cs="Arial"/>
          <w:color w:val="000000"/>
          <w:sz w:val="20"/>
          <w:szCs w:val="20"/>
        </w:rPr>
        <w:t>Our financial assets and liabilities are valued using market prices on both active markets (Level 1), less active markets (Level 2) and little or no market activity (Level 3). Level 1 ins</w:t>
      </w:r>
      <w:r>
        <w:rPr>
          <w:rFonts w:ascii="Arial" w:eastAsia="宋体" w:hAnsi="Arial" w:cs="Arial"/>
          <w:color w:val="000000"/>
          <w:sz w:val="20"/>
          <w:szCs w:val="20"/>
        </w:rPr>
        <w:t>trument valuations are obtained from real-time quotes for transactions in active exchange markets involving identical assets. Level 2 instrument valuations are obtained from readily available pricing sources for comparable instruments, identical instrument</w:t>
      </w:r>
      <w:r>
        <w:rPr>
          <w:rFonts w:ascii="Arial" w:eastAsia="宋体" w:hAnsi="Arial" w:cs="Arial"/>
          <w:color w:val="000000"/>
          <w:sz w:val="20"/>
          <w:szCs w:val="20"/>
        </w:rPr>
        <w:t xml:space="preserve">s in less active markets, or models using market observable inputs. Level 3 instrument valuations typically reflect management’s estimate of assumptions that market participants would use in pricing the asset or liability. We did not have any transfers of </w:t>
      </w:r>
      <w:r>
        <w:rPr>
          <w:rFonts w:ascii="Arial" w:eastAsia="宋体" w:hAnsi="Arial" w:cs="Arial"/>
          <w:color w:val="000000"/>
          <w:sz w:val="20"/>
          <w:szCs w:val="20"/>
        </w:rPr>
        <w:t>financial instruments between valuation levels during the three months ended March 31, 2020.</w:t>
      </w:r>
    </w:p>
    <w:p w14:paraId="64A8A1CE" w14:textId="77777777" w:rsidR="008D6614" w:rsidRDefault="008D6614">
      <w:pPr>
        <w:ind w:firstLine="540"/>
        <w:jc w:val="both"/>
      </w:pPr>
    </w:p>
    <w:p w14:paraId="64A8A1CF" w14:textId="77777777" w:rsidR="008D6614" w:rsidRDefault="00866AF2">
      <w:pPr>
        <w:ind w:firstLine="540"/>
        <w:jc w:val="both"/>
      </w:pPr>
      <w:r>
        <w:rPr>
          <w:rFonts w:ascii="Arial" w:eastAsia="宋体" w:hAnsi="Arial" w:cs="Arial"/>
          <w:color w:val="000000"/>
          <w:sz w:val="20"/>
          <w:szCs w:val="20"/>
        </w:rPr>
        <w:t xml:space="preserve">The majority of our derivative instruments are valued using pricing models that take into account the contract terms as well as multiple inputs where applicable, </w:t>
      </w:r>
      <w:r>
        <w:rPr>
          <w:rFonts w:ascii="Arial" w:eastAsia="宋体" w:hAnsi="Arial" w:cs="Arial"/>
          <w:color w:val="000000"/>
          <w:sz w:val="20"/>
          <w:szCs w:val="20"/>
        </w:rPr>
        <w:t>such as equity prices, interest rate yield curves, option volatility and currency rates. Our warrant, which is accounted for as a derivative instrument, is valued using a Black-Scholes model. Key assumptions used in the valuation include risk-free interest</w:t>
      </w:r>
      <w:r>
        <w:rPr>
          <w:rFonts w:ascii="Arial" w:eastAsia="宋体" w:hAnsi="Arial" w:cs="Arial"/>
          <w:color w:val="000000"/>
          <w:sz w:val="20"/>
          <w:szCs w:val="20"/>
        </w:rPr>
        <w:t xml:space="preserve"> rates; Adyen’s common stock price, equity volatility and common stock outstanding; exercise price; and details specific to the warrant. The value is also probability adjusted for management’s assumptions with respect to vesting of the four tranches which </w:t>
      </w:r>
      <w:r>
        <w:rPr>
          <w:rFonts w:ascii="Arial" w:eastAsia="宋体" w:hAnsi="Arial" w:cs="Arial"/>
          <w:color w:val="000000"/>
          <w:sz w:val="20"/>
          <w:szCs w:val="20"/>
        </w:rPr>
        <w:t>are each subject to meeting processing volume milestone targets.</w:t>
      </w:r>
      <w:r>
        <w:rPr>
          <w:rFonts w:ascii="sans-serif" w:eastAsia="宋体" w:hAnsi="sans-serif" w:cs="sans-serif"/>
          <w:color w:val="FF0000"/>
          <w:sz w:val="22"/>
          <w:szCs w:val="22"/>
        </w:rPr>
        <w:t xml:space="preserve"> </w:t>
      </w:r>
      <w:r>
        <w:rPr>
          <w:rFonts w:ascii="Arial" w:eastAsia="宋体" w:hAnsi="Arial" w:cs="Arial"/>
          <w:color w:val="000000"/>
          <w:sz w:val="20"/>
          <w:szCs w:val="20"/>
        </w:rPr>
        <w:t xml:space="preserve">These assumptions and the probability of meeting processing volume milestone targets may have a significant impact on the value of the warrant. Refer to “Note 8 – Derivative Instruments” for </w:t>
      </w:r>
      <w:r>
        <w:rPr>
          <w:rFonts w:ascii="Arial" w:eastAsia="宋体" w:hAnsi="Arial" w:cs="Arial"/>
          <w:color w:val="000000"/>
          <w:sz w:val="20"/>
          <w:szCs w:val="20"/>
        </w:rPr>
        <w:t>further details on our derivative instruments.</w:t>
      </w:r>
    </w:p>
    <w:p w14:paraId="64A8A1D0" w14:textId="77777777" w:rsidR="008D6614" w:rsidRDefault="008D6614">
      <w:pPr>
        <w:ind w:firstLine="450"/>
        <w:jc w:val="both"/>
      </w:pPr>
    </w:p>
    <w:p w14:paraId="64A8A1D1" w14:textId="77777777" w:rsidR="008D6614" w:rsidRDefault="00866AF2">
      <w:pPr>
        <w:ind w:firstLine="540"/>
        <w:jc w:val="both"/>
      </w:pPr>
      <w:r>
        <w:rPr>
          <w:rFonts w:ascii="Arial" w:eastAsia="宋体" w:hAnsi="Arial" w:cs="Arial"/>
          <w:color w:val="000000"/>
          <w:sz w:val="20"/>
          <w:szCs w:val="20"/>
        </w:rPr>
        <w:t xml:space="preserve">Other financial instruments, including accounts receivable and accounts payable, are carried at cost, which approximates their fair value because of the short-term nature of these instruments. </w:t>
      </w:r>
    </w:p>
    <w:p w14:paraId="64A8A1D2" w14:textId="77777777" w:rsidR="008D6614" w:rsidRDefault="008D6614">
      <w:pPr>
        <w:ind w:firstLine="540"/>
        <w:jc w:val="both"/>
      </w:pPr>
    </w:p>
    <w:p w14:paraId="64A8A1D3" w14:textId="77777777" w:rsidR="008D6614" w:rsidRDefault="00866AF2">
      <w:pPr>
        <w:ind w:firstLine="540"/>
      </w:pPr>
      <w:r>
        <w:rPr>
          <w:rFonts w:ascii="Arial" w:eastAsia="宋体" w:hAnsi="Arial" w:cs="Arial"/>
          <w:color w:val="000000"/>
          <w:sz w:val="20"/>
          <w:szCs w:val="20"/>
        </w:rPr>
        <w:t xml:space="preserve">The </w:t>
      </w:r>
      <w:r>
        <w:rPr>
          <w:rFonts w:ascii="Arial" w:eastAsia="宋体" w:hAnsi="Arial" w:cs="Arial"/>
          <w:color w:val="000000"/>
          <w:sz w:val="20"/>
          <w:szCs w:val="20"/>
        </w:rPr>
        <w:t>following table presents a reconciliation of the opening to closing balance of assets measured using significant unobservable inputs (Level 3) (in millions):</w:t>
      </w:r>
    </w:p>
    <w:p w14:paraId="64A8A1D4" w14:textId="77777777" w:rsidR="008D6614" w:rsidRDefault="008D6614">
      <w:pPr>
        <w:ind w:firstLine="540"/>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5881"/>
        <w:gridCol w:w="49"/>
        <w:gridCol w:w="136"/>
        <w:gridCol w:w="981"/>
        <w:gridCol w:w="86"/>
        <w:gridCol w:w="36"/>
        <w:gridCol w:w="36"/>
        <w:gridCol w:w="36"/>
        <w:gridCol w:w="137"/>
        <w:gridCol w:w="823"/>
        <w:gridCol w:w="86"/>
      </w:tblGrid>
      <w:tr w:rsidR="008D6614" w14:paraId="64A8A1E1" w14:textId="77777777">
        <w:trPr>
          <w:jc w:val="center"/>
        </w:trPr>
        <w:tc>
          <w:tcPr>
            <w:tcW w:w="50" w:type="pct"/>
            <w:shd w:val="clear" w:color="auto" w:fill="auto"/>
            <w:vAlign w:val="center"/>
          </w:tcPr>
          <w:p w14:paraId="64A8A1D5" w14:textId="77777777" w:rsidR="008D6614" w:rsidRDefault="008D6614">
            <w:pPr>
              <w:rPr>
                <w:rFonts w:ascii="宋体"/>
              </w:rPr>
            </w:pPr>
          </w:p>
        </w:tc>
        <w:tc>
          <w:tcPr>
            <w:tcW w:w="3547" w:type="pct"/>
            <w:shd w:val="clear" w:color="auto" w:fill="auto"/>
            <w:vAlign w:val="center"/>
          </w:tcPr>
          <w:p w14:paraId="64A8A1D6" w14:textId="77777777" w:rsidR="008D6614" w:rsidRDefault="008D6614">
            <w:pPr>
              <w:rPr>
                <w:rFonts w:ascii="宋体"/>
              </w:rPr>
            </w:pPr>
          </w:p>
        </w:tc>
        <w:tc>
          <w:tcPr>
            <w:tcW w:w="50" w:type="pct"/>
            <w:shd w:val="clear" w:color="auto" w:fill="auto"/>
            <w:vAlign w:val="center"/>
          </w:tcPr>
          <w:p w14:paraId="64A8A1D7" w14:textId="77777777" w:rsidR="008D6614" w:rsidRDefault="008D6614">
            <w:pPr>
              <w:rPr>
                <w:rFonts w:ascii="宋体"/>
              </w:rPr>
            </w:pPr>
          </w:p>
        </w:tc>
        <w:tc>
          <w:tcPr>
            <w:tcW w:w="50" w:type="pct"/>
            <w:shd w:val="clear" w:color="auto" w:fill="auto"/>
            <w:vAlign w:val="center"/>
          </w:tcPr>
          <w:p w14:paraId="64A8A1D8" w14:textId="77777777" w:rsidR="008D6614" w:rsidRDefault="008D6614">
            <w:pPr>
              <w:rPr>
                <w:rFonts w:ascii="宋体"/>
              </w:rPr>
            </w:pPr>
          </w:p>
        </w:tc>
        <w:tc>
          <w:tcPr>
            <w:tcW w:w="609" w:type="pct"/>
            <w:shd w:val="clear" w:color="auto" w:fill="auto"/>
            <w:vAlign w:val="center"/>
          </w:tcPr>
          <w:p w14:paraId="64A8A1D9" w14:textId="77777777" w:rsidR="008D6614" w:rsidRDefault="008D6614">
            <w:pPr>
              <w:rPr>
                <w:rFonts w:ascii="宋体"/>
              </w:rPr>
            </w:pPr>
          </w:p>
        </w:tc>
        <w:tc>
          <w:tcPr>
            <w:tcW w:w="50" w:type="pct"/>
            <w:shd w:val="clear" w:color="auto" w:fill="auto"/>
            <w:vAlign w:val="center"/>
          </w:tcPr>
          <w:p w14:paraId="64A8A1DA" w14:textId="77777777" w:rsidR="008D6614" w:rsidRDefault="008D6614">
            <w:pPr>
              <w:rPr>
                <w:rFonts w:ascii="宋体"/>
              </w:rPr>
            </w:pPr>
          </w:p>
        </w:tc>
        <w:tc>
          <w:tcPr>
            <w:tcW w:w="5" w:type="pct"/>
            <w:shd w:val="clear" w:color="auto" w:fill="auto"/>
            <w:vAlign w:val="center"/>
          </w:tcPr>
          <w:p w14:paraId="64A8A1DB" w14:textId="77777777" w:rsidR="008D6614" w:rsidRDefault="008D6614">
            <w:pPr>
              <w:rPr>
                <w:rFonts w:ascii="宋体"/>
              </w:rPr>
            </w:pPr>
          </w:p>
        </w:tc>
        <w:tc>
          <w:tcPr>
            <w:tcW w:w="19" w:type="pct"/>
            <w:shd w:val="clear" w:color="auto" w:fill="auto"/>
            <w:vAlign w:val="center"/>
          </w:tcPr>
          <w:p w14:paraId="64A8A1DC" w14:textId="77777777" w:rsidR="008D6614" w:rsidRDefault="008D6614">
            <w:pPr>
              <w:rPr>
                <w:rFonts w:ascii="宋体"/>
              </w:rPr>
            </w:pPr>
          </w:p>
        </w:tc>
        <w:tc>
          <w:tcPr>
            <w:tcW w:w="5" w:type="pct"/>
            <w:shd w:val="clear" w:color="auto" w:fill="auto"/>
            <w:vAlign w:val="center"/>
          </w:tcPr>
          <w:p w14:paraId="64A8A1DD" w14:textId="77777777" w:rsidR="008D6614" w:rsidRDefault="008D6614">
            <w:pPr>
              <w:rPr>
                <w:rFonts w:ascii="宋体"/>
              </w:rPr>
            </w:pPr>
          </w:p>
        </w:tc>
        <w:tc>
          <w:tcPr>
            <w:tcW w:w="50" w:type="pct"/>
            <w:shd w:val="clear" w:color="auto" w:fill="auto"/>
            <w:vAlign w:val="center"/>
          </w:tcPr>
          <w:p w14:paraId="64A8A1DE" w14:textId="77777777" w:rsidR="008D6614" w:rsidRDefault="008D6614">
            <w:pPr>
              <w:rPr>
                <w:rFonts w:ascii="宋体"/>
              </w:rPr>
            </w:pPr>
          </w:p>
        </w:tc>
        <w:tc>
          <w:tcPr>
            <w:tcW w:w="514" w:type="pct"/>
            <w:shd w:val="clear" w:color="auto" w:fill="auto"/>
            <w:vAlign w:val="center"/>
          </w:tcPr>
          <w:p w14:paraId="64A8A1DF" w14:textId="77777777" w:rsidR="008D6614" w:rsidRDefault="008D6614">
            <w:pPr>
              <w:rPr>
                <w:rFonts w:ascii="宋体"/>
              </w:rPr>
            </w:pPr>
          </w:p>
        </w:tc>
        <w:tc>
          <w:tcPr>
            <w:tcW w:w="50" w:type="pct"/>
            <w:shd w:val="clear" w:color="auto" w:fill="auto"/>
            <w:vAlign w:val="center"/>
          </w:tcPr>
          <w:p w14:paraId="64A8A1E0" w14:textId="77777777" w:rsidR="008D6614" w:rsidRDefault="008D6614">
            <w:pPr>
              <w:rPr>
                <w:rFonts w:ascii="宋体"/>
              </w:rPr>
            </w:pPr>
          </w:p>
        </w:tc>
      </w:tr>
      <w:tr w:rsidR="008D6614" w14:paraId="64A8A1E6" w14:textId="77777777">
        <w:trPr>
          <w:jc w:val="center"/>
        </w:trPr>
        <w:tc>
          <w:tcPr>
            <w:tcW w:w="0" w:type="auto"/>
            <w:gridSpan w:val="3"/>
            <w:shd w:val="clear" w:color="auto" w:fill="auto"/>
            <w:tcMar>
              <w:left w:w="20" w:type="dxa"/>
              <w:right w:w="20" w:type="dxa"/>
            </w:tcMar>
            <w:vAlign w:val="bottom"/>
          </w:tcPr>
          <w:p w14:paraId="64A8A1E2"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1E3" w14:textId="77777777" w:rsidR="008D6614" w:rsidRDefault="00866AF2">
            <w:pPr>
              <w:jc w:val="center"/>
              <w:textAlignment w:val="bottom"/>
            </w:pPr>
            <w:r>
              <w:rPr>
                <w:rFonts w:ascii="Arial" w:eastAsia="宋体" w:hAnsi="Arial" w:cs="Arial"/>
                <w:b/>
                <w:bCs/>
                <w:color w:val="000000"/>
                <w:sz w:val="16"/>
                <w:szCs w:val="16"/>
              </w:rPr>
              <w:t>March 31,</w:t>
            </w:r>
            <w:r>
              <w:rPr>
                <w:rFonts w:ascii="Arial" w:eastAsia="宋体" w:hAnsi="Arial" w:cs="Arial"/>
                <w:b/>
                <w:bCs/>
                <w:color w:val="000000"/>
                <w:sz w:val="16"/>
                <w:szCs w:val="16"/>
              </w:rPr>
              <w:br/>
              <w:t>2020</w:t>
            </w:r>
          </w:p>
        </w:tc>
        <w:tc>
          <w:tcPr>
            <w:tcW w:w="0" w:type="auto"/>
            <w:gridSpan w:val="3"/>
            <w:shd w:val="clear" w:color="auto" w:fill="auto"/>
            <w:tcMar>
              <w:left w:w="20" w:type="dxa"/>
              <w:right w:w="20" w:type="dxa"/>
            </w:tcMar>
            <w:vAlign w:val="bottom"/>
          </w:tcPr>
          <w:p w14:paraId="64A8A1E4"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1E5" w14:textId="77777777" w:rsidR="008D6614" w:rsidRDefault="00866AF2">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8D6614" w14:paraId="64A8A1EF" w14:textId="77777777">
        <w:trPr>
          <w:jc w:val="center"/>
        </w:trPr>
        <w:tc>
          <w:tcPr>
            <w:tcW w:w="0" w:type="auto"/>
            <w:gridSpan w:val="3"/>
            <w:shd w:val="clear" w:color="auto" w:fill="E2E2E2"/>
            <w:tcMar>
              <w:top w:w="40" w:type="dxa"/>
              <w:left w:w="20" w:type="dxa"/>
              <w:bottom w:w="40" w:type="dxa"/>
              <w:right w:w="20" w:type="dxa"/>
            </w:tcMar>
            <w:vAlign w:val="bottom"/>
          </w:tcPr>
          <w:p w14:paraId="64A8A1E7" w14:textId="77777777" w:rsidR="008D6614" w:rsidRDefault="00866AF2">
            <w:pPr>
              <w:textAlignment w:val="bottom"/>
            </w:pPr>
            <w:r>
              <w:rPr>
                <w:rFonts w:ascii="Arial" w:eastAsia="宋体" w:hAnsi="Arial" w:cs="Arial"/>
                <w:color w:val="000000"/>
                <w:sz w:val="18"/>
                <w:szCs w:val="18"/>
              </w:rPr>
              <w:t>Opening balance</w:t>
            </w:r>
          </w:p>
        </w:tc>
        <w:tc>
          <w:tcPr>
            <w:tcW w:w="0" w:type="auto"/>
            <w:tcBorders>
              <w:top w:val="single" w:sz="8" w:space="0" w:color="000000"/>
            </w:tcBorders>
            <w:shd w:val="clear" w:color="auto" w:fill="E2E2E2"/>
            <w:tcMar>
              <w:top w:w="40" w:type="dxa"/>
              <w:left w:w="20" w:type="dxa"/>
              <w:bottom w:w="40" w:type="dxa"/>
            </w:tcMar>
            <w:vAlign w:val="bottom"/>
          </w:tcPr>
          <w:p w14:paraId="64A8A1E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1E9" w14:textId="77777777" w:rsidR="008D6614" w:rsidRDefault="00866AF2">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E2E2E2"/>
            <w:tcMar>
              <w:top w:w="40" w:type="dxa"/>
              <w:bottom w:w="40" w:type="dxa"/>
              <w:right w:w="20" w:type="dxa"/>
            </w:tcMar>
            <w:vAlign w:val="bottom"/>
          </w:tcPr>
          <w:p w14:paraId="64A8A1E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1EB"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1EC"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1ED" w14:textId="77777777" w:rsidR="008D6614" w:rsidRDefault="00866AF2">
            <w:pPr>
              <w:jc w:val="right"/>
              <w:textAlignment w:val="bottom"/>
            </w:pPr>
            <w:r>
              <w:rPr>
                <w:rFonts w:ascii="Arial" w:eastAsia="宋体" w:hAnsi="Arial" w:cs="Arial"/>
                <w:color w:val="000000"/>
                <w:sz w:val="18"/>
                <w:szCs w:val="18"/>
              </w:rPr>
              <w:t>148 </w:t>
            </w:r>
          </w:p>
        </w:tc>
        <w:tc>
          <w:tcPr>
            <w:tcW w:w="0" w:type="auto"/>
            <w:tcBorders>
              <w:top w:val="single" w:sz="8" w:space="0" w:color="000000"/>
            </w:tcBorders>
            <w:shd w:val="clear" w:color="auto" w:fill="E2E2E2"/>
            <w:tcMar>
              <w:top w:w="40" w:type="dxa"/>
              <w:bottom w:w="40" w:type="dxa"/>
              <w:right w:w="20" w:type="dxa"/>
            </w:tcMar>
            <w:vAlign w:val="bottom"/>
          </w:tcPr>
          <w:p w14:paraId="64A8A1EE" w14:textId="77777777" w:rsidR="008D6614" w:rsidRDefault="00866AF2">
            <w:pPr>
              <w:jc w:val="right"/>
              <w:textAlignment w:val="bottom"/>
            </w:pPr>
            <w:r>
              <w:rPr>
                <w:rFonts w:ascii="Arial" w:eastAsia="宋体" w:hAnsi="Arial" w:cs="Arial"/>
                <w:color w:val="000000"/>
                <w:sz w:val="18"/>
                <w:szCs w:val="18"/>
              </w:rPr>
              <w:t> </w:t>
            </w:r>
          </w:p>
        </w:tc>
      </w:tr>
      <w:tr w:rsidR="008D6614" w14:paraId="64A8A1F4" w14:textId="77777777">
        <w:trPr>
          <w:jc w:val="center"/>
          <w:hidden/>
        </w:trPr>
        <w:tc>
          <w:tcPr>
            <w:tcW w:w="0" w:type="auto"/>
            <w:gridSpan w:val="3"/>
            <w:shd w:val="clear" w:color="auto" w:fill="auto"/>
            <w:vAlign w:val="center"/>
          </w:tcPr>
          <w:p w14:paraId="64A8A1F0" w14:textId="77777777" w:rsidR="008D6614" w:rsidRDefault="008D6614">
            <w:pPr>
              <w:rPr>
                <w:rFonts w:ascii="宋体"/>
                <w:vanish/>
              </w:rPr>
            </w:pPr>
          </w:p>
        </w:tc>
        <w:tc>
          <w:tcPr>
            <w:tcW w:w="0" w:type="auto"/>
            <w:gridSpan w:val="3"/>
            <w:shd w:val="clear" w:color="auto" w:fill="auto"/>
            <w:vAlign w:val="center"/>
          </w:tcPr>
          <w:p w14:paraId="64A8A1F1" w14:textId="77777777" w:rsidR="008D6614" w:rsidRDefault="008D6614">
            <w:pPr>
              <w:rPr>
                <w:rFonts w:ascii="宋体"/>
                <w:vanish/>
              </w:rPr>
            </w:pPr>
          </w:p>
        </w:tc>
        <w:tc>
          <w:tcPr>
            <w:tcW w:w="0" w:type="auto"/>
            <w:gridSpan w:val="3"/>
            <w:shd w:val="clear" w:color="auto" w:fill="auto"/>
            <w:vAlign w:val="center"/>
          </w:tcPr>
          <w:p w14:paraId="64A8A1F2" w14:textId="77777777" w:rsidR="008D6614" w:rsidRDefault="008D6614">
            <w:pPr>
              <w:rPr>
                <w:rFonts w:ascii="宋体"/>
                <w:vanish/>
              </w:rPr>
            </w:pPr>
          </w:p>
        </w:tc>
        <w:tc>
          <w:tcPr>
            <w:tcW w:w="0" w:type="auto"/>
            <w:gridSpan w:val="3"/>
            <w:shd w:val="clear" w:color="auto" w:fill="auto"/>
            <w:vAlign w:val="center"/>
          </w:tcPr>
          <w:p w14:paraId="64A8A1F3" w14:textId="77777777" w:rsidR="008D6614" w:rsidRDefault="008D6614">
            <w:pPr>
              <w:rPr>
                <w:rFonts w:ascii="宋体"/>
                <w:vanish/>
              </w:rPr>
            </w:pPr>
          </w:p>
        </w:tc>
      </w:tr>
      <w:tr w:rsidR="008D6614" w14:paraId="64A8A1FB" w14:textId="77777777">
        <w:trPr>
          <w:jc w:val="center"/>
        </w:trPr>
        <w:tc>
          <w:tcPr>
            <w:tcW w:w="0" w:type="auto"/>
            <w:gridSpan w:val="3"/>
            <w:shd w:val="clear" w:color="auto" w:fill="FFFFFF"/>
            <w:tcMar>
              <w:top w:w="40" w:type="dxa"/>
              <w:left w:w="225" w:type="dxa"/>
              <w:bottom w:w="40" w:type="dxa"/>
              <w:right w:w="20" w:type="dxa"/>
            </w:tcMar>
            <w:vAlign w:val="bottom"/>
          </w:tcPr>
          <w:p w14:paraId="64A8A1F5" w14:textId="77777777" w:rsidR="008D6614" w:rsidRDefault="00866AF2">
            <w:pPr>
              <w:textAlignment w:val="bottom"/>
            </w:pPr>
            <w:r>
              <w:rPr>
                <w:rFonts w:ascii="Arial" w:eastAsia="宋体" w:hAnsi="Arial" w:cs="Arial"/>
                <w:color w:val="000000"/>
                <w:sz w:val="18"/>
                <w:szCs w:val="18"/>
              </w:rPr>
              <w:t>Change in fair value</w:t>
            </w:r>
          </w:p>
        </w:tc>
        <w:tc>
          <w:tcPr>
            <w:tcW w:w="0" w:type="auto"/>
            <w:gridSpan w:val="2"/>
            <w:shd w:val="clear" w:color="auto" w:fill="FFFFFF"/>
            <w:tcMar>
              <w:top w:w="40" w:type="dxa"/>
              <w:left w:w="20" w:type="dxa"/>
              <w:bottom w:w="40" w:type="dxa"/>
              <w:right w:w="0" w:type="dxa"/>
            </w:tcMar>
            <w:vAlign w:val="bottom"/>
          </w:tcPr>
          <w:p w14:paraId="64A8A1F6" w14:textId="77777777" w:rsidR="008D6614" w:rsidRDefault="00866AF2">
            <w:pPr>
              <w:jc w:val="right"/>
              <w:textAlignment w:val="bottom"/>
            </w:pPr>
            <w:r>
              <w:rPr>
                <w:rFonts w:ascii="Arial" w:eastAsia="宋体" w:hAnsi="Arial" w:cs="Arial"/>
                <w:color w:val="000000"/>
                <w:sz w:val="18"/>
                <w:szCs w:val="18"/>
              </w:rPr>
              <w:t>12 </w:t>
            </w:r>
          </w:p>
        </w:tc>
        <w:tc>
          <w:tcPr>
            <w:tcW w:w="0" w:type="auto"/>
            <w:shd w:val="clear" w:color="auto" w:fill="FFFFFF"/>
            <w:tcMar>
              <w:top w:w="40" w:type="dxa"/>
              <w:bottom w:w="40" w:type="dxa"/>
              <w:right w:w="20" w:type="dxa"/>
            </w:tcMar>
            <w:vAlign w:val="bottom"/>
          </w:tcPr>
          <w:p w14:paraId="64A8A1F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1F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1F9" w14:textId="77777777" w:rsidR="008D6614" w:rsidRDefault="00866AF2">
            <w:pPr>
              <w:jc w:val="right"/>
              <w:textAlignment w:val="bottom"/>
            </w:pPr>
            <w:r>
              <w:rPr>
                <w:rFonts w:ascii="Arial" w:eastAsia="宋体" w:hAnsi="Arial" w:cs="Arial"/>
                <w:color w:val="000000"/>
                <w:sz w:val="18"/>
                <w:szCs w:val="18"/>
              </w:rPr>
              <w:t>133 </w:t>
            </w:r>
          </w:p>
        </w:tc>
        <w:tc>
          <w:tcPr>
            <w:tcW w:w="0" w:type="auto"/>
            <w:shd w:val="clear" w:color="auto" w:fill="FFFFFF"/>
            <w:tcMar>
              <w:top w:w="40" w:type="dxa"/>
              <w:bottom w:w="40" w:type="dxa"/>
              <w:right w:w="20" w:type="dxa"/>
            </w:tcMar>
            <w:vAlign w:val="bottom"/>
          </w:tcPr>
          <w:p w14:paraId="64A8A1FA" w14:textId="77777777" w:rsidR="008D6614" w:rsidRDefault="00866AF2">
            <w:pPr>
              <w:jc w:val="right"/>
              <w:textAlignment w:val="bottom"/>
            </w:pPr>
            <w:r>
              <w:rPr>
                <w:rFonts w:ascii="Arial" w:eastAsia="宋体" w:hAnsi="Arial" w:cs="Arial"/>
                <w:color w:val="000000"/>
                <w:sz w:val="18"/>
                <w:szCs w:val="18"/>
              </w:rPr>
              <w:t> </w:t>
            </w:r>
          </w:p>
        </w:tc>
      </w:tr>
      <w:tr w:rsidR="008D6614" w14:paraId="64A8A204" w14:textId="77777777">
        <w:trPr>
          <w:jc w:val="center"/>
        </w:trPr>
        <w:tc>
          <w:tcPr>
            <w:tcW w:w="0" w:type="auto"/>
            <w:gridSpan w:val="3"/>
            <w:shd w:val="clear" w:color="auto" w:fill="E2E2E2"/>
            <w:tcMar>
              <w:top w:w="40" w:type="dxa"/>
              <w:left w:w="20" w:type="dxa"/>
              <w:bottom w:w="40" w:type="dxa"/>
              <w:right w:w="20" w:type="dxa"/>
            </w:tcMar>
            <w:vAlign w:val="bottom"/>
          </w:tcPr>
          <w:p w14:paraId="64A8A1FC" w14:textId="77777777" w:rsidR="008D6614" w:rsidRDefault="00866AF2">
            <w:pPr>
              <w:textAlignment w:val="bottom"/>
            </w:pPr>
            <w:r>
              <w:rPr>
                <w:rFonts w:ascii="Arial" w:eastAsia="宋体" w:hAnsi="Arial" w:cs="Arial"/>
                <w:color w:val="000000"/>
                <w:sz w:val="18"/>
                <w:szCs w:val="18"/>
              </w:rPr>
              <w:t>Closing balance</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1FD"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1FE" w14:textId="77777777" w:rsidR="008D6614" w:rsidRDefault="00866AF2">
            <w:pPr>
              <w:jc w:val="right"/>
              <w:textAlignment w:val="bottom"/>
            </w:pPr>
            <w:r>
              <w:rPr>
                <w:rFonts w:ascii="Arial" w:eastAsia="宋体" w:hAnsi="Arial" w:cs="Arial"/>
                <w:color w:val="000000"/>
                <w:sz w:val="18"/>
                <w:szCs w:val="18"/>
              </w:rPr>
              <w:t>293 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1F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200"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201"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202" w14:textId="77777777" w:rsidR="008D6614" w:rsidRDefault="00866AF2">
            <w:pPr>
              <w:jc w:val="right"/>
              <w:textAlignment w:val="bottom"/>
            </w:pPr>
            <w:r>
              <w:rPr>
                <w:rFonts w:ascii="Arial" w:eastAsia="宋体" w:hAnsi="Arial" w:cs="Arial"/>
                <w:color w:val="000000"/>
                <w:sz w:val="18"/>
                <w:szCs w:val="18"/>
              </w:rPr>
              <w:t>281 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203" w14:textId="77777777" w:rsidR="008D6614" w:rsidRDefault="00866AF2">
            <w:pPr>
              <w:jc w:val="right"/>
              <w:textAlignment w:val="bottom"/>
            </w:pPr>
            <w:r>
              <w:rPr>
                <w:rFonts w:ascii="Arial" w:eastAsia="宋体" w:hAnsi="Arial" w:cs="Arial"/>
                <w:color w:val="000000"/>
                <w:sz w:val="18"/>
                <w:szCs w:val="18"/>
              </w:rPr>
              <w:t> </w:t>
            </w:r>
          </w:p>
        </w:tc>
      </w:tr>
    </w:tbl>
    <w:p w14:paraId="64A8A205" w14:textId="77777777" w:rsidR="008D6614" w:rsidRDefault="008D6614">
      <w:pPr>
        <w:ind w:firstLine="450"/>
      </w:pPr>
    </w:p>
    <w:p w14:paraId="64A8A206" w14:textId="77777777" w:rsidR="008D6614" w:rsidRDefault="008D6614">
      <w:pPr>
        <w:jc w:val="center"/>
      </w:pPr>
    </w:p>
    <w:p w14:paraId="64A8A207" w14:textId="77777777" w:rsidR="008D6614" w:rsidRDefault="00866AF2">
      <w:pPr>
        <w:jc w:val="center"/>
      </w:pPr>
      <w:r>
        <w:rPr>
          <w:rFonts w:ascii="Arial" w:eastAsia="宋体" w:hAnsi="Arial" w:cs="Arial"/>
          <w:color w:val="000000"/>
          <w:sz w:val="20"/>
          <w:szCs w:val="20"/>
        </w:rPr>
        <w:t>23</w:t>
      </w:r>
    </w:p>
    <w:p w14:paraId="64A8A208" w14:textId="77777777" w:rsidR="008D6614" w:rsidRDefault="00866AF2">
      <w:r>
        <w:pict w14:anchorId="64A8B9F4">
          <v:rect id="_x0000_i1047" style="width:415.3pt;height:1.5pt" o:hralign="center" o:hrstd="t" o:hr="t" fillcolor="#a0a0a0" stroked="f"/>
        </w:pict>
      </w:r>
    </w:p>
    <w:p w14:paraId="64A8A209" w14:textId="77777777" w:rsidR="008D6614" w:rsidRDefault="008D6614">
      <w:pPr>
        <w:jc w:val="center"/>
      </w:pPr>
    </w:p>
    <w:p w14:paraId="64A8A20A" w14:textId="77777777" w:rsidR="008D6614" w:rsidRDefault="00866AF2">
      <w:pPr>
        <w:jc w:val="center"/>
      </w:pPr>
      <w:r>
        <w:rPr>
          <w:rFonts w:ascii="Arial" w:eastAsia="宋体" w:hAnsi="Arial" w:cs="Arial"/>
          <w:b/>
          <w:bCs/>
          <w:color w:val="000000"/>
          <w:sz w:val="20"/>
          <w:szCs w:val="20"/>
        </w:rPr>
        <w:t>eBay Inc.</w:t>
      </w:r>
    </w:p>
    <w:p w14:paraId="64A8A20B"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A20C" w14:textId="77777777" w:rsidR="008D6614" w:rsidRDefault="00866AF2">
      <w:pPr>
        <w:ind w:firstLine="450"/>
      </w:pPr>
      <w:r>
        <w:rPr>
          <w:rFonts w:ascii="Arial" w:eastAsia="宋体" w:hAnsi="Arial" w:cs="Arial"/>
          <w:color w:val="000000"/>
          <w:sz w:val="20"/>
          <w:szCs w:val="20"/>
        </w:rPr>
        <w:t xml:space="preserve">The following presents quantitative information about Level 3 significant unobservable inputs </w:t>
      </w:r>
      <w:r>
        <w:rPr>
          <w:rFonts w:ascii="Arial" w:eastAsia="宋体" w:hAnsi="Arial" w:cs="Arial"/>
          <w:color w:val="000000"/>
          <w:sz w:val="20"/>
          <w:szCs w:val="20"/>
        </w:rPr>
        <w:t>used in the fair value measurement of the warrant as of March 31, 2020 (in millions):</w:t>
      </w:r>
    </w:p>
    <w:p w14:paraId="64A8A20D" w14:textId="77777777" w:rsidR="008D6614" w:rsidRDefault="008D6614">
      <w:pPr>
        <w:ind w:firstLine="450"/>
      </w:pPr>
    </w:p>
    <w:tbl>
      <w:tblPr>
        <w:tblW w:w="4978" w:type="pct"/>
        <w:tblCellMar>
          <w:top w:w="15" w:type="dxa"/>
          <w:left w:w="15" w:type="dxa"/>
          <w:bottom w:w="15" w:type="dxa"/>
          <w:right w:w="15" w:type="dxa"/>
        </w:tblCellMar>
        <w:tblLook w:val="04A0" w:firstRow="1" w:lastRow="0" w:firstColumn="1" w:lastColumn="0" w:noHBand="0" w:noVBand="1"/>
      </w:tblPr>
      <w:tblGrid>
        <w:gridCol w:w="66"/>
        <w:gridCol w:w="1439"/>
        <w:gridCol w:w="66"/>
        <w:gridCol w:w="36"/>
        <w:gridCol w:w="36"/>
        <w:gridCol w:w="36"/>
        <w:gridCol w:w="136"/>
        <w:gridCol w:w="1404"/>
        <w:gridCol w:w="86"/>
        <w:gridCol w:w="36"/>
        <w:gridCol w:w="36"/>
        <w:gridCol w:w="36"/>
        <w:gridCol w:w="62"/>
        <w:gridCol w:w="1411"/>
        <w:gridCol w:w="67"/>
        <w:gridCol w:w="36"/>
        <w:gridCol w:w="36"/>
        <w:gridCol w:w="36"/>
        <w:gridCol w:w="59"/>
        <w:gridCol w:w="1439"/>
        <w:gridCol w:w="67"/>
        <w:gridCol w:w="36"/>
        <w:gridCol w:w="36"/>
        <w:gridCol w:w="36"/>
        <w:gridCol w:w="58"/>
        <w:gridCol w:w="1440"/>
        <w:gridCol w:w="67"/>
      </w:tblGrid>
      <w:tr w:rsidR="008D6614" w14:paraId="64A8A229" w14:textId="77777777">
        <w:tc>
          <w:tcPr>
            <w:tcW w:w="50" w:type="pct"/>
            <w:shd w:val="clear" w:color="auto" w:fill="auto"/>
            <w:vAlign w:val="center"/>
          </w:tcPr>
          <w:p w14:paraId="64A8A20E" w14:textId="77777777" w:rsidR="008D6614" w:rsidRDefault="008D6614">
            <w:pPr>
              <w:rPr>
                <w:rFonts w:ascii="宋体"/>
              </w:rPr>
            </w:pPr>
          </w:p>
        </w:tc>
        <w:tc>
          <w:tcPr>
            <w:tcW w:w="876" w:type="pct"/>
            <w:shd w:val="clear" w:color="auto" w:fill="auto"/>
            <w:vAlign w:val="center"/>
          </w:tcPr>
          <w:p w14:paraId="64A8A20F" w14:textId="77777777" w:rsidR="008D6614" w:rsidRDefault="008D6614">
            <w:pPr>
              <w:rPr>
                <w:rFonts w:ascii="宋体"/>
              </w:rPr>
            </w:pPr>
          </w:p>
        </w:tc>
        <w:tc>
          <w:tcPr>
            <w:tcW w:w="50" w:type="pct"/>
            <w:shd w:val="clear" w:color="auto" w:fill="auto"/>
            <w:vAlign w:val="center"/>
          </w:tcPr>
          <w:p w14:paraId="64A8A210" w14:textId="77777777" w:rsidR="008D6614" w:rsidRDefault="008D6614">
            <w:pPr>
              <w:rPr>
                <w:rFonts w:ascii="宋体"/>
              </w:rPr>
            </w:pPr>
          </w:p>
        </w:tc>
        <w:tc>
          <w:tcPr>
            <w:tcW w:w="5" w:type="pct"/>
            <w:shd w:val="clear" w:color="auto" w:fill="auto"/>
            <w:vAlign w:val="center"/>
          </w:tcPr>
          <w:p w14:paraId="64A8A211" w14:textId="77777777" w:rsidR="008D6614" w:rsidRDefault="008D6614">
            <w:pPr>
              <w:rPr>
                <w:rFonts w:ascii="宋体"/>
              </w:rPr>
            </w:pPr>
          </w:p>
        </w:tc>
        <w:tc>
          <w:tcPr>
            <w:tcW w:w="26" w:type="pct"/>
            <w:shd w:val="clear" w:color="auto" w:fill="auto"/>
            <w:vAlign w:val="center"/>
          </w:tcPr>
          <w:p w14:paraId="64A8A212" w14:textId="77777777" w:rsidR="008D6614" w:rsidRDefault="008D6614">
            <w:pPr>
              <w:rPr>
                <w:rFonts w:ascii="宋体"/>
              </w:rPr>
            </w:pPr>
          </w:p>
        </w:tc>
        <w:tc>
          <w:tcPr>
            <w:tcW w:w="5" w:type="pct"/>
            <w:shd w:val="clear" w:color="auto" w:fill="auto"/>
            <w:vAlign w:val="center"/>
          </w:tcPr>
          <w:p w14:paraId="64A8A213" w14:textId="77777777" w:rsidR="008D6614" w:rsidRDefault="008D6614">
            <w:pPr>
              <w:rPr>
                <w:rFonts w:ascii="宋体"/>
              </w:rPr>
            </w:pPr>
          </w:p>
        </w:tc>
        <w:tc>
          <w:tcPr>
            <w:tcW w:w="50" w:type="pct"/>
            <w:shd w:val="clear" w:color="auto" w:fill="auto"/>
            <w:vAlign w:val="center"/>
          </w:tcPr>
          <w:p w14:paraId="64A8A214" w14:textId="77777777" w:rsidR="008D6614" w:rsidRDefault="008D6614">
            <w:pPr>
              <w:rPr>
                <w:rFonts w:ascii="宋体"/>
              </w:rPr>
            </w:pPr>
          </w:p>
        </w:tc>
        <w:tc>
          <w:tcPr>
            <w:tcW w:w="861" w:type="pct"/>
            <w:shd w:val="clear" w:color="auto" w:fill="auto"/>
            <w:vAlign w:val="center"/>
          </w:tcPr>
          <w:p w14:paraId="64A8A215" w14:textId="77777777" w:rsidR="008D6614" w:rsidRDefault="008D6614">
            <w:pPr>
              <w:rPr>
                <w:rFonts w:ascii="宋体"/>
              </w:rPr>
            </w:pPr>
          </w:p>
        </w:tc>
        <w:tc>
          <w:tcPr>
            <w:tcW w:w="50" w:type="pct"/>
            <w:shd w:val="clear" w:color="auto" w:fill="auto"/>
            <w:vAlign w:val="center"/>
          </w:tcPr>
          <w:p w14:paraId="64A8A216" w14:textId="77777777" w:rsidR="008D6614" w:rsidRDefault="008D6614">
            <w:pPr>
              <w:rPr>
                <w:rFonts w:ascii="宋体"/>
              </w:rPr>
            </w:pPr>
          </w:p>
        </w:tc>
        <w:tc>
          <w:tcPr>
            <w:tcW w:w="5" w:type="pct"/>
            <w:shd w:val="clear" w:color="auto" w:fill="auto"/>
            <w:vAlign w:val="center"/>
          </w:tcPr>
          <w:p w14:paraId="64A8A217" w14:textId="77777777" w:rsidR="008D6614" w:rsidRDefault="008D6614">
            <w:pPr>
              <w:rPr>
                <w:rFonts w:ascii="宋体"/>
              </w:rPr>
            </w:pPr>
          </w:p>
        </w:tc>
        <w:tc>
          <w:tcPr>
            <w:tcW w:w="26" w:type="pct"/>
            <w:shd w:val="clear" w:color="auto" w:fill="auto"/>
            <w:vAlign w:val="center"/>
          </w:tcPr>
          <w:p w14:paraId="64A8A218" w14:textId="77777777" w:rsidR="008D6614" w:rsidRDefault="008D6614">
            <w:pPr>
              <w:rPr>
                <w:rFonts w:ascii="宋体"/>
              </w:rPr>
            </w:pPr>
          </w:p>
        </w:tc>
        <w:tc>
          <w:tcPr>
            <w:tcW w:w="5" w:type="pct"/>
            <w:shd w:val="clear" w:color="auto" w:fill="auto"/>
            <w:vAlign w:val="center"/>
          </w:tcPr>
          <w:p w14:paraId="64A8A219" w14:textId="77777777" w:rsidR="008D6614" w:rsidRDefault="008D6614">
            <w:pPr>
              <w:rPr>
                <w:rFonts w:ascii="宋体"/>
              </w:rPr>
            </w:pPr>
          </w:p>
        </w:tc>
        <w:tc>
          <w:tcPr>
            <w:tcW w:w="50" w:type="pct"/>
            <w:shd w:val="clear" w:color="auto" w:fill="auto"/>
            <w:vAlign w:val="center"/>
          </w:tcPr>
          <w:p w14:paraId="64A8A21A" w14:textId="77777777" w:rsidR="008D6614" w:rsidRDefault="008D6614">
            <w:pPr>
              <w:rPr>
                <w:rFonts w:ascii="宋体"/>
              </w:rPr>
            </w:pPr>
          </w:p>
        </w:tc>
        <w:tc>
          <w:tcPr>
            <w:tcW w:w="861" w:type="pct"/>
            <w:shd w:val="clear" w:color="auto" w:fill="auto"/>
            <w:vAlign w:val="center"/>
          </w:tcPr>
          <w:p w14:paraId="64A8A21B" w14:textId="77777777" w:rsidR="008D6614" w:rsidRDefault="008D6614">
            <w:pPr>
              <w:rPr>
                <w:rFonts w:ascii="宋体"/>
              </w:rPr>
            </w:pPr>
          </w:p>
        </w:tc>
        <w:tc>
          <w:tcPr>
            <w:tcW w:w="50" w:type="pct"/>
            <w:shd w:val="clear" w:color="auto" w:fill="auto"/>
            <w:vAlign w:val="center"/>
          </w:tcPr>
          <w:p w14:paraId="64A8A21C" w14:textId="77777777" w:rsidR="008D6614" w:rsidRDefault="008D6614">
            <w:pPr>
              <w:rPr>
                <w:rFonts w:ascii="宋体"/>
              </w:rPr>
            </w:pPr>
          </w:p>
        </w:tc>
        <w:tc>
          <w:tcPr>
            <w:tcW w:w="5" w:type="pct"/>
            <w:shd w:val="clear" w:color="auto" w:fill="auto"/>
            <w:vAlign w:val="center"/>
          </w:tcPr>
          <w:p w14:paraId="64A8A21D" w14:textId="77777777" w:rsidR="008D6614" w:rsidRDefault="008D6614">
            <w:pPr>
              <w:rPr>
                <w:rFonts w:ascii="宋体"/>
              </w:rPr>
            </w:pPr>
          </w:p>
        </w:tc>
        <w:tc>
          <w:tcPr>
            <w:tcW w:w="26" w:type="pct"/>
            <w:shd w:val="clear" w:color="auto" w:fill="auto"/>
            <w:vAlign w:val="center"/>
          </w:tcPr>
          <w:p w14:paraId="64A8A21E" w14:textId="77777777" w:rsidR="008D6614" w:rsidRDefault="008D6614">
            <w:pPr>
              <w:rPr>
                <w:rFonts w:ascii="宋体"/>
              </w:rPr>
            </w:pPr>
          </w:p>
        </w:tc>
        <w:tc>
          <w:tcPr>
            <w:tcW w:w="5" w:type="pct"/>
            <w:shd w:val="clear" w:color="auto" w:fill="auto"/>
            <w:vAlign w:val="center"/>
          </w:tcPr>
          <w:p w14:paraId="64A8A21F" w14:textId="77777777" w:rsidR="008D6614" w:rsidRDefault="008D6614">
            <w:pPr>
              <w:rPr>
                <w:rFonts w:ascii="宋体"/>
              </w:rPr>
            </w:pPr>
          </w:p>
        </w:tc>
        <w:tc>
          <w:tcPr>
            <w:tcW w:w="50" w:type="pct"/>
            <w:shd w:val="clear" w:color="auto" w:fill="auto"/>
            <w:vAlign w:val="center"/>
          </w:tcPr>
          <w:p w14:paraId="64A8A220" w14:textId="77777777" w:rsidR="008D6614" w:rsidRDefault="008D6614">
            <w:pPr>
              <w:rPr>
                <w:rFonts w:ascii="宋体"/>
              </w:rPr>
            </w:pPr>
          </w:p>
        </w:tc>
        <w:tc>
          <w:tcPr>
            <w:tcW w:w="876" w:type="pct"/>
            <w:shd w:val="clear" w:color="auto" w:fill="auto"/>
            <w:vAlign w:val="center"/>
          </w:tcPr>
          <w:p w14:paraId="64A8A221" w14:textId="77777777" w:rsidR="008D6614" w:rsidRDefault="008D6614">
            <w:pPr>
              <w:rPr>
                <w:rFonts w:ascii="宋体"/>
              </w:rPr>
            </w:pPr>
          </w:p>
        </w:tc>
        <w:tc>
          <w:tcPr>
            <w:tcW w:w="50" w:type="pct"/>
            <w:shd w:val="clear" w:color="auto" w:fill="auto"/>
            <w:vAlign w:val="center"/>
          </w:tcPr>
          <w:p w14:paraId="64A8A222" w14:textId="77777777" w:rsidR="008D6614" w:rsidRDefault="008D6614">
            <w:pPr>
              <w:rPr>
                <w:rFonts w:ascii="宋体"/>
              </w:rPr>
            </w:pPr>
          </w:p>
        </w:tc>
        <w:tc>
          <w:tcPr>
            <w:tcW w:w="5" w:type="pct"/>
            <w:shd w:val="clear" w:color="auto" w:fill="auto"/>
            <w:vAlign w:val="center"/>
          </w:tcPr>
          <w:p w14:paraId="64A8A223" w14:textId="77777777" w:rsidR="008D6614" w:rsidRDefault="008D6614">
            <w:pPr>
              <w:rPr>
                <w:rFonts w:ascii="宋体"/>
              </w:rPr>
            </w:pPr>
          </w:p>
        </w:tc>
        <w:tc>
          <w:tcPr>
            <w:tcW w:w="26" w:type="pct"/>
            <w:shd w:val="clear" w:color="auto" w:fill="auto"/>
            <w:vAlign w:val="center"/>
          </w:tcPr>
          <w:p w14:paraId="64A8A224" w14:textId="77777777" w:rsidR="008D6614" w:rsidRDefault="008D6614">
            <w:pPr>
              <w:rPr>
                <w:rFonts w:ascii="宋体"/>
              </w:rPr>
            </w:pPr>
          </w:p>
        </w:tc>
        <w:tc>
          <w:tcPr>
            <w:tcW w:w="5" w:type="pct"/>
            <w:shd w:val="clear" w:color="auto" w:fill="auto"/>
            <w:vAlign w:val="center"/>
          </w:tcPr>
          <w:p w14:paraId="64A8A225" w14:textId="77777777" w:rsidR="008D6614" w:rsidRDefault="008D6614">
            <w:pPr>
              <w:rPr>
                <w:rFonts w:ascii="宋体"/>
              </w:rPr>
            </w:pPr>
          </w:p>
        </w:tc>
        <w:tc>
          <w:tcPr>
            <w:tcW w:w="50" w:type="pct"/>
            <w:shd w:val="clear" w:color="auto" w:fill="auto"/>
            <w:vAlign w:val="center"/>
          </w:tcPr>
          <w:p w14:paraId="64A8A226" w14:textId="77777777" w:rsidR="008D6614" w:rsidRDefault="008D6614">
            <w:pPr>
              <w:rPr>
                <w:rFonts w:ascii="宋体"/>
              </w:rPr>
            </w:pPr>
          </w:p>
        </w:tc>
        <w:tc>
          <w:tcPr>
            <w:tcW w:w="876" w:type="pct"/>
            <w:shd w:val="clear" w:color="auto" w:fill="auto"/>
            <w:vAlign w:val="center"/>
          </w:tcPr>
          <w:p w14:paraId="64A8A227" w14:textId="77777777" w:rsidR="008D6614" w:rsidRDefault="008D6614">
            <w:pPr>
              <w:rPr>
                <w:rFonts w:ascii="宋体"/>
              </w:rPr>
            </w:pPr>
          </w:p>
        </w:tc>
        <w:tc>
          <w:tcPr>
            <w:tcW w:w="50" w:type="pct"/>
            <w:shd w:val="clear" w:color="auto" w:fill="auto"/>
            <w:vAlign w:val="center"/>
          </w:tcPr>
          <w:p w14:paraId="64A8A228" w14:textId="77777777" w:rsidR="008D6614" w:rsidRDefault="008D6614">
            <w:pPr>
              <w:rPr>
                <w:rFonts w:ascii="宋体"/>
              </w:rPr>
            </w:pPr>
          </w:p>
        </w:tc>
      </w:tr>
      <w:tr w:rsidR="008D6614" w14:paraId="64A8A233" w14:textId="77777777">
        <w:tc>
          <w:tcPr>
            <w:tcW w:w="0" w:type="auto"/>
            <w:gridSpan w:val="3"/>
            <w:shd w:val="clear" w:color="auto" w:fill="auto"/>
            <w:tcMar>
              <w:left w:w="20" w:type="dxa"/>
              <w:right w:w="20" w:type="dxa"/>
            </w:tcMar>
            <w:vAlign w:val="bottom"/>
          </w:tcPr>
          <w:p w14:paraId="64A8A22A"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22B"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2C" w14:textId="77777777" w:rsidR="008D6614" w:rsidRDefault="00866AF2">
            <w:pPr>
              <w:jc w:val="center"/>
              <w:textAlignment w:val="bottom"/>
            </w:pPr>
            <w:r>
              <w:rPr>
                <w:rFonts w:ascii="Arial" w:eastAsia="宋体" w:hAnsi="Arial" w:cs="Arial"/>
                <w:color w:val="000000"/>
                <w:sz w:val="18"/>
                <w:szCs w:val="18"/>
              </w:rPr>
              <w:t xml:space="preserve">Fair value </w:t>
            </w:r>
          </w:p>
        </w:tc>
        <w:tc>
          <w:tcPr>
            <w:tcW w:w="0" w:type="auto"/>
            <w:gridSpan w:val="3"/>
            <w:shd w:val="clear" w:color="auto" w:fill="auto"/>
            <w:tcMar>
              <w:left w:w="20" w:type="dxa"/>
              <w:right w:w="20" w:type="dxa"/>
            </w:tcMar>
            <w:vAlign w:val="bottom"/>
          </w:tcPr>
          <w:p w14:paraId="64A8A22D"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2E" w14:textId="77777777" w:rsidR="008D6614" w:rsidRDefault="00866AF2">
            <w:pPr>
              <w:jc w:val="center"/>
              <w:textAlignment w:val="bottom"/>
            </w:pPr>
            <w:r>
              <w:rPr>
                <w:rFonts w:ascii="Arial" w:eastAsia="宋体" w:hAnsi="Arial" w:cs="Arial"/>
                <w:color w:val="000000"/>
                <w:sz w:val="18"/>
                <w:szCs w:val="18"/>
              </w:rPr>
              <w:t>Valuation technique</w:t>
            </w:r>
          </w:p>
        </w:tc>
        <w:tc>
          <w:tcPr>
            <w:tcW w:w="0" w:type="auto"/>
            <w:gridSpan w:val="3"/>
            <w:shd w:val="clear" w:color="auto" w:fill="auto"/>
            <w:tcMar>
              <w:left w:w="20" w:type="dxa"/>
              <w:right w:w="20" w:type="dxa"/>
            </w:tcMar>
            <w:vAlign w:val="bottom"/>
          </w:tcPr>
          <w:p w14:paraId="64A8A22F"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30" w14:textId="77777777" w:rsidR="008D6614" w:rsidRDefault="00866AF2">
            <w:pPr>
              <w:jc w:val="center"/>
              <w:textAlignment w:val="bottom"/>
            </w:pPr>
            <w:r>
              <w:rPr>
                <w:rFonts w:ascii="Arial" w:eastAsia="宋体" w:hAnsi="Arial" w:cs="Arial"/>
                <w:color w:val="000000"/>
                <w:sz w:val="18"/>
                <w:szCs w:val="18"/>
              </w:rPr>
              <w:t>Unobservable Input</w:t>
            </w:r>
          </w:p>
        </w:tc>
        <w:tc>
          <w:tcPr>
            <w:tcW w:w="0" w:type="auto"/>
            <w:gridSpan w:val="3"/>
            <w:shd w:val="clear" w:color="auto" w:fill="auto"/>
            <w:tcMar>
              <w:left w:w="20" w:type="dxa"/>
              <w:right w:w="20" w:type="dxa"/>
            </w:tcMar>
            <w:vAlign w:val="bottom"/>
          </w:tcPr>
          <w:p w14:paraId="64A8A231"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32" w14:textId="77777777" w:rsidR="008D6614" w:rsidRDefault="00866AF2">
            <w:pPr>
              <w:jc w:val="center"/>
              <w:textAlignment w:val="bottom"/>
            </w:pPr>
            <w:r>
              <w:rPr>
                <w:rFonts w:ascii="Arial" w:eastAsia="宋体" w:hAnsi="Arial" w:cs="Arial"/>
                <w:color w:val="000000"/>
                <w:sz w:val="18"/>
                <w:szCs w:val="18"/>
              </w:rPr>
              <w:t>Range (weighted average)</w:t>
            </w:r>
            <w:r>
              <w:rPr>
                <w:rFonts w:ascii="Arial" w:eastAsia="宋体" w:hAnsi="Arial" w:cs="Arial"/>
                <w:color w:val="000000"/>
                <w:sz w:val="11"/>
                <w:szCs w:val="11"/>
              </w:rPr>
              <w:t>(1)</w:t>
            </w:r>
          </w:p>
        </w:tc>
      </w:tr>
      <w:tr w:rsidR="008D6614" w14:paraId="64A8A23D" w14:textId="77777777">
        <w:trPr>
          <w:trHeight w:val="60"/>
        </w:trPr>
        <w:tc>
          <w:tcPr>
            <w:tcW w:w="0" w:type="auto"/>
            <w:gridSpan w:val="3"/>
            <w:shd w:val="clear" w:color="auto" w:fill="auto"/>
            <w:tcMar>
              <w:left w:w="20" w:type="dxa"/>
              <w:right w:w="20" w:type="dxa"/>
            </w:tcMar>
            <w:vAlign w:val="bottom"/>
          </w:tcPr>
          <w:p w14:paraId="64A8A234"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235" w14:textId="77777777" w:rsidR="008D6614" w:rsidRDefault="008D661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64A8A236"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237" w14:textId="77777777" w:rsidR="008D6614" w:rsidRDefault="008D661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64A8A238"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239" w14:textId="77777777" w:rsidR="008D6614" w:rsidRDefault="008D661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64A8A23A"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23B" w14:textId="77777777" w:rsidR="008D6614" w:rsidRDefault="008D661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64A8A23C" w14:textId="77777777" w:rsidR="008D6614" w:rsidRDefault="008D6614">
            <w:pPr>
              <w:rPr>
                <w:rFonts w:ascii="宋体"/>
              </w:rPr>
            </w:pPr>
          </w:p>
        </w:tc>
      </w:tr>
      <w:tr w:rsidR="008D6614" w14:paraId="64A8A249" w14:textId="77777777">
        <w:tc>
          <w:tcPr>
            <w:tcW w:w="0" w:type="auto"/>
            <w:gridSpan w:val="3"/>
            <w:shd w:val="clear" w:color="auto" w:fill="E2E2E2"/>
            <w:tcMar>
              <w:top w:w="40" w:type="dxa"/>
              <w:left w:w="20" w:type="dxa"/>
              <w:bottom w:w="40" w:type="dxa"/>
              <w:right w:w="20" w:type="dxa"/>
            </w:tcMar>
            <w:vAlign w:val="bottom"/>
          </w:tcPr>
          <w:p w14:paraId="64A8A23E" w14:textId="77777777" w:rsidR="008D6614" w:rsidRDefault="00866AF2">
            <w:pPr>
              <w:textAlignment w:val="bottom"/>
            </w:pPr>
            <w:r>
              <w:rPr>
                <w:rFonts w:ascii="Arial" w:eastAsia="宋体" w:hAnsi="Arial" w:cs="Arial"/>
                <w:color w:val="000000"/>
                <w:sz w:val="18"/>
                <w:szCs w:val="18"/>
              </w:rPr>
              <w:t>Warrant</w:t>
            </w:r>
          </w:p>
        </w:tc>
        <w:tc>
          <w:tcPr>
            <w:tcW w:w="0" w:type="auto"/>
            <w:gridSpan w:val="3"/>
            <w:shd w:val="clear" w:color="auto" w:fill="E2E2E2"/>
            <w:tcMar>
              <w:left w:w="20" w:type="dxa"/>
              <w:right w:w="20" w:type="dxa"/>
            </w:tcMar>
            <w:vAlign w:val="bottom"/>
          </w:tcPr>
          <w:p w14:paraId="64A8A23F"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A240"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A241" w14:textId="77777777" w:rsidR="008D6614" w:rsidRDefault="00866AF2">
            <w:pPr>
              <w:jc w:val="right"/>
              <w:textAlignment w:val="bottom"/>
            </w:pPr>
            <w:r>
              <w:rPr>
                <w:rFonts w:ascii="Arial" w:eastAsia="宋体" w:hAnsi="Arial" w:cs="Arial"/>
                <w:color w:val="000000"/>
                <w:sz w:val="18"/>
                <w:szCs w:val="18"/>
              </w:rPr>
              <w:t>293 </w:t>
            </w:r>
          </w:p>
        </w:tc>
        <w:tc>
          <w:tcPr>
            <w:tcW w:w="0" w:type="auto"/>
            <w:shd w:val="clear" w:color="auto" w:fill="E2E2E2"/>
            <w:tcMar>
              <w:top w:w="40" w:type="dxa"/>
              <w:bottom w:w="40" w:type="dxa"/>
              <w:right w:w="20" w:type="dxa"/>
            </w:tcMar>
            <w:vAlign w:val="bottom"/>
          </w:tcPr>
          <w:p w14:paraId="64A8A24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243"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A244" w14:textId="77777777" w:rsidR="008D6614" w:rsidRDefault="00866AF2">
            <w:pPr>
              <w:jc w:val="center"/>
              <w:textAlignment w:val="bottom"/>
            </w:pPr>
            <w:r>
              <w:rPr>
                <w:rFonts w:ascii="Arial" w:eastAsia="宋体" w:hAnsi="Arial" w:cs="Arial"/>
                <w:color w:val="000000"/>
                <w:sz w:val="18"/>
                <w:szCs w:val="18"/>
              </w:rPr>
              <w:t>Black-Scholes and Monte Carlo</w:t>
            </w:r>
          </w:p>
        </w:tc>
        <w:tc>
          <w:tcPr>
            <w:tcW w:w="0" w:type="auto"/>
            <w:gridSpan w:val="3"/>
            <w:shd w:val="clear" w:color="auto" w:fill="E2E2E2"/>
            <w:tcMar>
              <w:left w:w="20" w:type="dxa"/>
              <w:right w:w="20" w:type="dxa"/>
            </w:tcMar>
            <w:vAlign w:val="bottom"/>
          </w:tcPr>
          <w:p w14:paraId="64A8A245"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A246" w14:textId="77777777" w:rsidR="008D6614" w:rsidRDefault="00866AF2">
            <w:pPr>
              <w:jc w:val="center"/>
              <w:textAlignment w:val="bottom"/>
            </w:pPr>
            <w:r>
              <w:rPr>
                <w:rFonts w:ascii="Arial" w:eastAsia="宋体" w:hAnsi="Arial" w:cs="Arial"/>
                <w:color w:val="000000"/>
                <w:sz w:val="18"/>
                <w:szCs w:val="18"/>
              </w:rPr>
              <w:t>Probability of vesting</w:t>
            </w:r>
          </w:p>
        </w:tc>
        <w:tc>
          <w:tcPr>
            <w:tcW w:w="0" w:type="auto"/>
            <w:gridSpan w:val="3"/>
            <w:shd w:val="clear" w:color="auto" w:fill="E2E2E2"/>
            <w:tcMar>
              <w:left w:w="20" w:type="dxa"/>
              <w:right w:w="20" w:type="dxa"/>
            </w:tcMar>
            <w:vAlign w:val="bottom"/>
          </w:tcPr>
          <w:p w14:paraId="64A8A247"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A248" w14:textId="77777777" w:rsidR="008D6614" w:rsidRDefault="00866AF2">
            <w:pPr>
              <w:jc w:val="center"/>
              <w:textAlignment w:val="bottom"/>
            </w:pPr>
            <w:r>
              <w:rPr>
                <w:rFonts w:ascii="Arial" w:eastAsia="宋体" w:hAnsi="Arial" w:cs="Arial"/>
                <w:color w:val="000000"/>
                <w:sz w:val="18"/>
                <w:szCs w:val="18"/>
              </w:rPr>
              <w:t xml:space="preserve">0.0% - </w:t>
            </w:r>
            <w:r>
              <w:rPr>
                <w:rFonts w:ascii="Arial" w:eastAsia="宋体" w:hAnsi="Arial" w:cs="Arial"/>
                <w:color w:val="000000"/>
                <w:sz w:val="18"/>
                <w:szCs w:val="18"/>
              </w:rPr>
              <w:t>90.0% (69.0%)</w:t>
            </w:r>
          </w:p>
        </w:tc>
      </w:tr>
      <w:tr w:rsidR="008D6614" w14:paraId="64A8A253" w14:textId="77777777">
        <w:tc>
          <w:tcPr>
            <w:tcW w:w="0" w:type="auto"/>
            <w:gridSpan w:val="3"/>
            <w:shd w:val="clear" w:color="auto" w:fill="FFFFFF"/>
            <w:tcMar>
              <w:left w:w="20" w:type="dxa"/>
              <w:right w:w="20" w:type="dxa"/>
            </w:tcMar>
            <w:vAlign w:val="bottom"/>
          </w:tcPr>
          <w:p w14:paraId="64A8A24A"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4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4C"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4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4E" w14:textId="77777777" w:rsidR="008D6614" w:rsidRDefault="008D6614">
            <w:pPr>
              <w:jc w:val="center"/>
              <w:rPr>
                <w:rFonts w:ascii="宋体"/>
              </w:rPr>
            </w:pPr>
          </w:p>
        </w:tc>
        <w:tc>
          <w:tcPr>
            <w:tcW w:w="0" w:type="auto"/>
            <w:gridSpan w:val="3"/>
            <w:shd w:val="clear" w:color="auto" w:fill="FFFFFF"/>
            <w:tcMar>
              <w:left w:w="20" w:type="dxa"/>
              <w:right w:w="20" w:type="dxa"/>
            </w:tcMar>
            <w:vAlign w:val="bottom"/>
          </w:tcPr>
          <w:p w14:paraId="64A8A24F"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A250" w14:textId="77777777" w:rsidR="008D6614" w:rsidRDefault="00866AF2">
            <w:pPr>
              <w:jc w:val="center"/>
              <w:textAlignment w:val="bottom"/>
            </w:pPr>
            <w:r>
              <w:rPr>
                <w:rFonts w:ascii="Arial" w:eastAsia="宋体" w:hAnsi="Arial" w:cs="Arial"/>
                <w:color w:val="000000"/>
                <w:sz w:val="18"/>
                <w:szCs w:val="18"/>
              </w:rPr>
              <w:t>Equity volatility</w:t>
            </w:r>
          </w:p>
        </w:tc>
        <w:tc>
          <w:tcPr>
            <w:tcW w:w="0" w:type="auto"/>
            <w:gridSpan w:val="3"/>
            <w:shd w:val="clear" w:color="auto" w:fill="FFFFFF"/>
            <w:tcMar>
              <w:left w:w="20" w:type="dxa"/>
              <w:right w:w="20" w:type="dxa"/>
            </w:tcMar>
            <w:vAlign w:val="bottom"/>
          </w:tcPr>
          <w:p w14:paraId="64A8A251"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A252" w14:textId="77777777" w:rsidR="008D6614" w:rsidRDefault="00866AF2">
            <w:pPr>
              <w:jc w:val="center"/>
              <w:textAlignment w:val="bottom"/>
            </w:pPr>
            <w:r>
              <w:rPr>
                <w:rFonts w:ascii="Arial" w:eastAsia="宋体" w:hAnsi="Arial" w:cs="Arial"/>
                <w:color w:val="000000"/>
                <w:sz w:val="18"/>
                <w:szCs w:val="18"/>
              </w:rPr>
              <w:t>20.7% - 55.3% (35.0%)</w:t>
            </w:r>
          </w:p>
        </w:tc>
      </w:tr>
    </w:tbl>
    <w:p w14:paraId="64A8A254" w14:textId="77777777" w:rsidR="008D6614" w:rsidRDefault="00866AF2">
      <w:pPr>
        <w:ind w:hanging="180"/>
      </w:pPr>
      <w:r>
        <w:rPr>
          <w:rFonts w:ascii="Arial" w:eastAsia="宋体" w:hAnsi="Arial" w:cs="Arial"/>
          <w:color w:val="000000"/>
          <w:sz w:val="10"/>
          <w:szCs w:val="10"/>
        </w:rPr>
        <w:t>(1)</w:t>
      </w:r>
      <w:r>
        <w:rPr>
          <w:rFonts w:ascii="Arial" w:eastAsia="宋体" w:hAnsi="Arial" w:cs="Arial"/>
          <w:color w:val="000000"/>
          <w:sz w:val="16"/>
          <w:szCs w:val="16"/>
        </w:rPr>
        <w:t xml:space="preserve"> Probability of vesting were weighted by the unadjusted value of the tranches. For volatility, the average represents the arithmetic average of the inputs and is not weighted by the relative fair value or notional amount.</w:t>
      </w:r>
    </w:p>
    <w:p w14:paraId="64A8A255" w14:textId="77777777" w:rsidR="008D6614" w:rsidRDefault="008D6614"/>
    <w:p w14:paraId="64A8A256" w14:textId="77777777" w:rsidR="008D6614" w:rsidRDefault="00866AF2">
      <w:r>
        <w:rPr>
          <w:rFonts w:ascii="Arial" w:eastAsia="宋体" w:hAnsi="Arial" w:cs="Arial"/>
          <w:b/>
          <w:bCs/>
          <w:color w:val="000000"/>
          <w:sz w:val="20"/>
          <w:szCs w:val="20"/>
        </w:rPr>
        <w:t>Note 10 — Debt</w:t>
      </w:r>
    </w:p>
    <w:p w14:paraId="64A8A257" w14:textId="77777777" w:rsidR="008D6614" w:rsidRDefault="008D6614">
      <w:pPr>
        <w:ind w:firstLine="540"/>
      </w:pPr>
    </w:p>
    <w:p w14:paraId="64A8A258" w14:textId="77777777" w:rsidR="008D6614" w:rsidRDefault="00866AF2">
      <w:pPr>
        <w:ind w:firstLine="540"/>
      </w:pPr>
      <w:r>
        <w:rPr>
          <w:rFonts w:ascii="Arial" w:eastAsia="宋体" w:hAnsi="Arial" w:cs="Arial"/>
          <w:color w:val="000000"/>
          <w:sz w:val="20"/>
          <w:szCs w:val="20"/>
        </w:rPr>
        <w:t xml:space="preserve">The </w:t>
      </w:r>
      <w:r>
        <w:rPr>
          <w:rFonts w:ascii="Arial" w:eastAsia="宋体" w:hAnsi="Arial" w:cs="Arial"/>
          <w:color w:val="000000"/>
          <w:sz w:val="20"/>
          <w:szCs w:val="20"/>
        </w:rPr>
        <w:t>following table summarizes the carrying value of our outstanding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2181"/>
        <w:gridCol w:w="52"/>
        <w:gridCol w:w="36"/>
        <w:gridCol w:w="36"/>
        <w:gridCol w:w="36"/>
        <w:gridCol w:w="45"/>
        <w:gridCol w:w="1006"/>
        <w:gridCol w:w="80"/>
        <w:gridCol w:w="36"/>
        <w:gridCol w:w="36"/>
        <w:gridCol w:w="36"/>
        <w:gridCol w:w="124"/>
        <w:gridCol w:w="982"/>
        <w:gridCol w:w="80"/>
        <w:gridCol w:w="36"/>
        <w:gridCol w:w="36"/>
        <w:gridCol w:w="36"/>
        <w:gridCol w:w="53"/>
        <w:gridCol w:w="738"/>
        <w:gridCol w:w="178"/>
        <w:gridCol w:w="36"/>
        <w:gridCol w:w="36"/>
        <w:gridCol w:w="36"/>
        <w:gridCol w:w="125"/>
        <w:gridCol w:w="988"/>
        <w:gridCol w:w="86"/>
        <w:gridCol w:w="36"/>
        <w:gridCol w:w="36"/>
        <w:gridCol w:w="36"/>
        <w:gridCol w:w="53"/>
        <w:gridCol w:w="770"/>
        <w:gridCol w:w="178"/>
      </w:tblGrid>
      <w:tr w:rsidR="008D6614" w14:paraId="64A8A27A" w14:textId="77777777">
        <w:trPr>
          <w:jc w:val="center"/>
        </w:trPr>
        <w:tc>
          <w:tcPr>
            <w:tcW w:w="50" w:type="pct"/>
            <w:shd w:val="clear" w:color="auto" w:fill="auto"/>
            <w:vAlign w:val="center"/>
          </w:tcPr>
          <w:p w14:paraId="64A8A259" w14:textId="77777777" w:rsidR="008D6614" w:rsidRDefault="008D6614">
            <w:pPr>
              <w:rPr>
                <w:rFonts w:ascii="宋体"/>
              </w:rPr>
            </w:pPr>
          </w:p>
        </w:tc>
        <w:tc>
          <w:tcPr>
            <w:tcW w:w="1329" w:type="pct"/>
            <w:shd w:val="clear" w:color="auto" w:fill="auto"/>
            <w:vAlign w:val="center"/>
          </w:tcPr>
          <w:p w14:paraId="64A8A25A" w14:textId="77777777" w:rsidR="008D6614" w:rsidRDefault="008D6614">
            <w:pPr>
              <w:rPr>
                <w:rFonts w:ascii="宋体"/>
              </w:rPr>
            </w:pPr>
          </w:p>
        </w:tc>
        <w:tc>
          <w:tcPr>
            <w:tcW w:w="50" w:type="pct"/>
            <w:shd w:val="clear" w:color="auto" w:fill="auto"/>
            <w:vAlign w:val="center"/>
          </w:tcPr>
          <w:p w14:paraId="64A8A25B" w14:textId="77777777" w:rsidR="008D6614" w:rsidRDefault="008D6614">
            <w:pPr>
              <w:rPr>
                <w:rFonts w:ascii="宋体"/>
              </w:rPr>
            </w:pPr>
          </w:p>
        </w:tc>
        <w:tc>
          <w:tcPr>
            <w:tcW w:w="5" w:type="pct"/>
            <w:shd w:val="clear" w:color="auto" w:fill="auto"/>
            <w:vAlign w:val="center"/>
          </w:tcPr>
          <w:p w14:paraId="64A8A25C" w14:textId="77777777" w:rsidR="008D6614" w:rsidRDefault="008D6614">
            <w:pPr>
              <w:rPr>
                <w:rFonts w:ascii="宋体"/>
              </w:rPr>
            </w:pPr>
          </w:p>
        </w:tc>
        <w:tc>
          <w:tcPr>
            <w:tcW w:w="26" w:type="pct"/>
            <w:shd w:val="clear" w:color="auto" w:fill="auto"/>
            <w:vAlign w:val="center"/>
          </w:tcPr>
          <w:p w14:paraId="64A8A25D" w14:textId="77777777" w:rsidR="008D6614" w:rsidRDefault="008D6614">
            <w:pPr>
              <w:rPr>
                <w:rFonts w:ascii="宋体"/>
              </w:rPr>
            </w:pPr>
          </w:p>
        </w:tc>
        <w:tc>
          <w:tcPr>
            <w:tcW w:w="5" w:type="pct"/>
            <w:shd w:val="clear" w:color="auto" w:fill="auto"/>
            <w:vAlign w:val="center"/>
          </w:tcPr>
          <w:p w14:paraId="64A8A25E" w14:textId="77777777" w:rsidR="008D6614" w:rsidRDefault="008D6614">
            <w:pPr>
              <w:rPr>
                <w:rFonts w:ascii="宋体"/>
              </w:rPr>
            </w:pPr>
          </w:p>
        </w:tc>
        <w:tc>
          <w:tcPr>
            <w:tcW w:w="50" w:type="pct"/>
            <w:shd w:val="clear" w:color="auto" w:fill="auto"/>
            <w:vAlign w:val="center"/>
          </w:tcPr>
          <w:p w14:paraId="64A8A25F" w14:textId="77777777" w:rsidR="008D6614" w:rsidRDefault="008D6614">
            <w:pPr>
              <w:rPr>
                <w:rFonts w:ascii="宋体"/>
              </w:rPr>
            </w:pPr>
          </w:p>
        </w:tc>
        <w:tc>
          <w:tcPr>
            <w:tcW w:w="633" w:type="pct"/>
            <w:shd w:val="clear" w:color="auto" w:fill="auto"/>
            <w:vAlign w:val="center"/>
          </w:tcPr>
          <w:p w14:paraId="64A8A260" w14:textId="77777777" w:rsidR="008D6614" w:rsidRDefault="008D6614">
            <w:pPr>
              <w:rPr>
                <w:rFonts w:ascii="宋体"/>
              </w:rPr>
            </w:pPr>
          </w:p>
        </w:tc>
        <w:tc>
          <w:tcPr>
            <w:tcW w:w="50" w:type="pct"/>
            <w:shd w:val="clear" w:color="auto" w:fill="auto"/>
            <w:vAlign w:val="center"/>
          </w:tcPr>
          <w:p w14:paraId="64A8A261" w14:textId="77777777" w:rsidR="008D6614" w:rsidRDefault="008D6614">
            <w:pPr>
              <w:rPr>
                <w:rFonts w:ascii="宋体"/>
              </w:rPr>
            </w:pPr>
          </w:p>
        </w:tc>
        <w:tc>
          <w:tcPr>
            <w:tcW w:w="5" w:type="pct"/>
            <w:shd w:val="clear" w:color="auto" w:fill="auto"/>
            <w:vAlign w:val="center"/>
          </w:tcPr>
          <w:p w14:paraId="64A8A262" w14:textId="77777777" w:rsidR="008D6614" w:rsidRDefault="008D6614">
            <w:pPr>
              <w:rPr>
                <w:rFonts w:ascii="宋体"/>
              </w:rPr>
            </w:pPr>
          </w:p>
        </w:tc>
        <w:tc>
          <w:tcPr>
            <w:tcW w:w="26" w:type="pct"/>
            <w:shd w:val="clear" w:color="auto" w:fill="auto"/>
            <w:vAlign w:val="center"/>
          </w:tcPr>
          <w:p w14:paraId="64A8A263" w14:textId="77777777" w:rsidR="008D6614" w:rsidRDefault="008D6614">
            <w:pPr>
              <w:rPr>
                <w:rFonts w:ascii="宋体"/>
              </w:rPr>
            </w:pPr>
          </w:p>
        </w:tc>
        <w:tc>
          <w:tcPr>
            <w:tcW w:w="5" w:type="pct"/>
            <w:shd w:val="clear" w:color="auto" w:fill="auto"/>
            <w:vAlign w:val="center"/>
          </w:tcPr>
          <w:p w14:paraId="64A8A264" w14:textId="77777777" w:rsidR="008D6614" w:rsidRDefault="008D6614">
            <w:pPr>
              <w:rPr>
                <w:rFonts w:ascii="宋体"/>
              </w:rPr>
            </w:pPr>
          </w:p>
        </w:tc>
        <w:tc>
          <w:tcPr>
            <w:tcW w:w="50" w:type="pct"/>
            <w:shd w:val="clear" w:color="auto" w:fill="auto"/>
            <w:vAlign w:val="center"/>
          </w:tcPr>
          <w:p w14:paraId="64A8A265" w14:textId="77777777" w:rsidR="008D6614" w:rsidRDefault="008D6614">
            <w:pPr>
              <w:rPr>
                <w:rFonts w:ascii="宋体"/>
              </w:rPr>
            </w:pPr>
          </w:p>
        </w:tc>
        <w:tc>
          <w:tcPr>
            <w:tcW w:w="640" w:type="pct"/>
            <w:shd w:val="clear" w:color="auto" w:fill="auto"/>
            <w:vAlign w:val="center"/>
          </w:tcPr>
          <w:p w14:paraId="64A8A266" w14:textId="77777777" w:rsidR="008D6614" w:rsidRDefault="008D6614">
            <w:pPr>
              <w:rPr>
                <w:rFonts w:ascii="宋体"/>
              </w:rPr>
            </w:pPr>
          </w:p>
        </w:tc>
        <w:tc>
          <w:tcPr>
            <w:tcW w:w="50" w:type="pct"/>
            <w:shd w:val="clear" w:color="auto" w:fill="auto"/>
            <w:vAlign w:val="center"/>
          </w:tcPr>
          <w:p w14:paraId="64A8A267" w14:textId="77777777" w:rsidR="008D6614" w:rsidRDefault="008D6614">
            <w:pPr>
              <w:rPr>
                <w:rFonts w:ascii="宋体"/>
              </w:rPr>
            </w:pPr>
          </w:p>
        </w:tc>
        <w:tc>
          <w:tcPr>
            <w:tcW w:w="5" w:type="pct"/>
            <w:shd w:val="clear" w:color="auto" w:fill="auto"/>
            <w:vAlign w:val="center"/>
          </w:tcPr>
          <w:p w14:paraId="64A8A268" w14:textId="77777777" w:rsidR="008D6614" w:rsidRDefault="008D6614">
            <w:pPr>
              <w:rPr>
                <w:rFonts w:ascii="宋体"/>
              </w:rPr>
            </w:pPr>
          </w:p>
        </w:tc>
        <w:tc>
          <w:tcPr>
            <w:tcW w:w="26" w:type="pct"/>
            <w:shd w:val="clear" w:color="auto" w:fill="auto"/>
            <w:vAlign w:val="center"/>
          </w:tcPr>
          <w:p w14:paraId="64A8A269" w14:textId="77777777" w:rsidR="008D6614" w:rsidRDefault="008D6614">
            <w:pPr>
              <w:rPr>
                <w:rFonts w:ascii="宋体"/>
              </w:rPr>
            </w:pPr>
          </w:p>
        </w:tc>
        <w:tc>
          <w:tcPr>
            <w:tcW w:w="5" w:type="pct"/>
            <w:shd w:val="clear" w:color="auto" w:fill="auto"/>
            <w:vAlign w:val="center"/>
          </w:tcPr>
          <w:p w14:paraId="64A8A26A" w14:textId="77777777" w:rsidR="008D6614" w:rsidRDefault="008D6614">
            <w:pPr>
              <w:rPr>
                <w:rFonts w:ascii="宋体"/>
              </w:rPr>
            </w:pPr>
          </w:p>
        </w:tc>
        <w:tc>
          <w:tcPr>
            <w:tcW w:w="50" w:type="pct"/>
            <w:shd w:val="clear" w:color="auto" w:fill="auto"/>
            <w:vAlign w:val="center"/>
          </w:tcPr>
          <w:p w14:paraId="64A8A26B" w14:textId="77777777" w:rsidR="008D6614" w:rsidRDefault="008D6614">
            <w:pPr>
              <w:rPr>
                <w:rFonts w:ascii="宋体"/>
              </w:rPr>
            </w:pPr>
          </w:p>
        </w:tc>
        <w:tc>
          <w:tcPr>
            <w:tcW w:w="493" w:type="pct"/>
            <w:shd w:val="clear" w:color="auto" w:fill="auto"/>
            <w:vAlign w:val="center"/>
          </w:tcPr>
          <w:p w14:paraId="64A8A26C" w14:textId="77777777" w:rsidR="008D6614" w:rsidRDefault="008D6614">
            <w:pPr>
              <w:rPr>
                <w:rFonts w:ascii="宋体"/>
              </w:rPr>
            </w:pPr>
          </w:p>
        </w:tc>
        <w:tc>
          <w:tcPr>
            <w:tcW w:w="50" w:type="pct"/>
            <w:shd w:val="clear" w:color="auto" w:fill="auto"/>
            <w:vAlign w:val="center"/>
          </w:tcPr>
          <w:p w14:paraId="64A8A26D" w14:textId="77777777" w:rsidR="008D6614" w:rsidRDefault="008D6614">
            <w:pPr>
              <w:rPr>
                <w:rFonts w:ascii="宋体"/>
              </w:rPr>
            </w:pPr>
          </w:p>
        </w:tc>
        <w:tc>
          <w:tcPr>
            <w:tcW w:w="5" w:type="pct"/>
            <w:shd w:val="clear" w:color="auto" w:fill="auto"/>
            <w:vAlign w:val="center"/>
          </w:tcPr>
          <w:p w14:paraId="64A8A26E" w14:textId="77777777" w:rsidR="008D6614" w:rsidRDefault="008D6614">
            <w:pPr>
              <w:rPr>
                <w:rFonts w:ascii="宋体"/>
              </w:rPr>
            </w:pPr>
          </w:p>
        </w:tc>
        <w:tc>
          <w:tcPr>
            <w:tcW w:w="26" w:type="pct"/>
            <w:shd w:val="clear" w:color="auto" w:fill="auto"/>
            <w:vAlign w:val="center"/>
          </w:tcPr>
          <w:p w14:paraId="64A8A26F" w14:textId="77777777" w:rsidR="008D6614" w:rsidRDefault="008D6614">
            <w:pPr>
              <w:rPr>
                <w:rFonts w:ascii="宋体"/>
              </w:rPr>
            </w:pPr>
          </w:p>
        </w:tc>
        <w:tc>
          <w:tcPr>
            <w:tcW w:w="5" w:type="pct"/>
            <w:shd w:val="clear" w:color="auto" w:fill="auto"/>
            <w:vAlign w:val="center"/>
          </w:tcPr>
          <w:p w14:paraId="64A8A270" w14:textId="77777777" w:rsidR="008D6614" w:rsidRDefault="008D6614">
            <w:pPr>
              <w:rPr>
                <w:rFonts w:ascii="宋体"/>
              </w:rPr>
            </w:pPr>
          </w:p>
        </w:tc>
        <w:tc>
          <w:tcPr>
            <w:tcW w:w="50" w:type="pct"/>
            <w:shd w:val="clear" w:color="auto" w:fill="auto"/>
            <w:vAlign w:val="center"/>
          </w:tcPr>
          <w:p w14:paraId="64A8A271" w14:textId="77777777" w:rsidR="008D6614" w:rsidRDefault="008D6614">
            <w:pPr>
              <w:rPr>
                <w:rFonts w:ascii="宋体"/>
              </w:rPr>
            </w:pPr>
          </w:p>
        </w:tc>
        <w:tc>
          <w:tcPr>
            <w:tcW w:w="625" w:type="pct"/>
            <w:shd w:val="clear" w:color="auto" w:fill="auto"/>
            <w:vAlign w:val="center"/>
          </w:tcPr>
          <w:p w14:paraId="64A8A272" w14:textId="77777777" w:rsidR="008D6614" w:rsidRDefault="008D6614">
            <w:pPr>
              <w:rPr>
                <w:rFonts w:ascii="宋体"/>
              </w:rPr>
            </w:pPr>
          </w:p>
        </w:tc>
        <w:tc>
          <w:tcPr>
            <w:tcW w:w="50" w:type="pct"/>
            <w:shd w:val="clear" w:color="auto" w:fill="auto"/>
            <w:vAlign w:val="center"/>
          </w:tcPr>
          <w:p w14:paraId="64A8A273" w14:textId="77777777" w:rsidR="008D6614" w:rsidRDefault="008D6614">
            <w:pPr>
              <w:rPr>
                <w:rFonts w:ascii="宋体"/>
              </w:rPr>
            </w:pPr>
          </w:p>
        </w:tc>
        <w:tc>
          <w:tcPr>
            <w:tcW w:w="5" w:type="pct"/>
            <w:shd w:val="clear" w:color="auto" w:fill="auto"/>
            <w:vAlign w:val="center"/>
          </w:tcPr>
          <w:p w14:paraId="64A8A274" w14:textId="77777777" w:rsidR="008D6614" w:rsidRDefault="008D6614">
            <w:pPr>
              <w:rPr>
                <w:rFonts w:ascii="宋体"/>
              </w:rPr>
            </w:pPr>
          </w:p>
        </w:tc>
        <w:tc>
          <w:tcPr>
            <w:tcW w:w="26" w:type="pct"/>
            <w:shd w:val="clear" w:color="auto" w:fill="auto"/>
            <w:vAlign w:val="center"/>
          </w:tcPr>
          <w:p w14:paraId="64A8A275" w14:textId="77777777" w:rsidR="008D6614" w:rsidRDefault="008D6614">
            <w:pPr>
              <w:rPr>
                <w:rFonts w:ascii="宋体"/>
              </w:rPr>
            </w:pPr>
          </w:p>
        </w:tc>
        <w:tc>
          <w:tcPr>
            <w:tcW w:w="5" w:type="pct"/>
            <w:shd w:val="clear" w:color="auto" w:fill="auto"/>
            <w:vAlign w:val="center"/>
          </w:tcPr>
          <w:p w14:paraId="64A8A276" w14:textId="77777777" w:rsidR="008D6614" w:rsidRDefault="008D6614">
            <w:pPr>
              <w:rPr>
                <w:rFonts w:ascii="宋体"/>
              </w:rPr>
            </w:pPr>
          </w:p>
        </w:tc>
        <w:tc>
          <w:tcPr>
            <w:tcW w:w="50" w:type="pct"/>
            <w:shd w:val="clear" w:color="auto" w:fill="auto"/>
            <w:vAlign w:val="center"/>
          </w:tcPr>
          <w:p w14:paraId="64A8A277" w14:textId="77777777" w:rsidR="008D6614" w:rsidRDefault="008D6614">
            <w:pPr>
              <w:rPr>
                <w:rFonts w:ascii="宋体"/>
              </w:rPr>
            </w:pPr>
          </w:p>
        </w:tc>
        <w:tc>
          <w:tcPr>
            <w:tcW w:w="494" w:type="pct"/>
            <w:shd w:val="clear" w:color="auto" w:fill="auto"/>
            <w:vAlign w:val="center"/>
          </w:tcPr>
          <w:p w14:paraId="64A8A278" w14:textId="77777777" w:rsidR="008D6614" w:rsidRDefault="008D6614">
            <w:pPr>
              <w:rPr>
                <w:rFonts w:ascii="宋体"/>
              </w:rPr>
            </w:pPr>
          </w:p>
        </w:tc>
        <w:tc>
          <w:tcPr>
            <w:tcW w:w="50" w:type="pct"/>
            <w:shd w:val="clear" w:color="auto" w:fill="auto"/>
            <w:vAlign w:val="center"/>
          </w:tcPr>
          <w:p w14:paraId="64A8A279" w14:textId="77777777" w:rsidR="008D6614" w:rsidRDefault="008D6614">
            <w:pPr>
              <w:rPr>
                <w:rFonts w:ascii="宋体"/>
              </w:rPr>
            </w:pPr>
          </w:p>
        </w:tc>
      </w:tr>
      <w:tr w:rsidR="008D6614" w14:paraId="64A8A286" w14:textId="77777777">
        <w:trPr>
          <w:jc w:val="center"/>
        </w:trPr>
        <w:tc>
          <w:tcPr>
            <w:tcW w:w="0" w:type="auto"/>
            <w:gridSpan w:val="3"/>
            <w:shd w:val="clear" w:color="auto" w:fill="auto"/>
            <w:tcMar>
              <w:left w:w="20" w:type="dxa"/>
              <w:right w:w="20" w:type="dxa"/>
            </w:tcMar>
            <w:vAlign w:val="bottom"/>
          </w:tcPr>
          <w:p w14:paraId="64A8A27B"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27C"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7D" w14:textId="77777777" w:rsidR="008D6614" w:rsidRDefault="00866AF2">
            <w:pPr>
              <w:jc w:val="center"/>
              <w:textAlignment w:val="bottom"/>
            </w:pPr>
            <w:r>
              <w:rPr>
                <w:rFonts w:ascii="Arial" w:eastAsia="宋体" w:hAnsi="Arial" w:cs="Arial"/>
                <w:b/>
                <w:bCs/>
                <w:color w:val="000000"/>
                <w:sz w:val="14"/>
                <w:szCs w:val="14"/>
              </w:rPr>
              <w:t>Coupon</w:t>
            </w:r>
          </w:p>
        </w:tc>
        <w:tc>
          <w:tcPr>
            <w:tcW w:w="0" w:type="auto"/>
            <w:gridSpan w:val="3"/>
            <w:shd w:val="clear" w:color="auto" w:fill="auto"/>
            <w:tcMar>
              <w:left w:w="20" w:type="dxa"/>
              <w:right w:w="20" w:type="dxa"/>
            </w:tcMar>
            <w:vAlign w:val="bottom"/>
          </w:tcPr>
          <w:p w14:paraId="64A8A27E"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7F" w14:textId="77777777" w:rsidR="008D6614" w:rsidRDefault="00866AF2">
            <w:pPr>
              <w:jc w:val="center"/>
              <w:textAlignment w:val="bottom"/>
            </w:pPr>
            <w:r>
              <w:rPr>
                <w:rFonts w:ascii="Arial" w:eastAsia="宋体" w:hAnsi="Arial" w:cs="Arial"/>
                <w:b/>
                <w:bCs/>
                <w:color w:val="000000"/>
                <w:sz w:val="14"/>
                <w:szCs w:val="14"/>
              </w:rPr>
              <w:t>As of</w:t>
            </w:r>
          </w:p>
        </w:tc>
        <w:tc>
          <w:tcPr>
            <w:tcW w:w="0" w:type="auto"/>
            <w:gridSpan w:val="3"/>
            <w:shd w:val="clear" w:color="auto" w:fill="auto"/>
            <w:tcMar>
              <w:left w:w="20" w:type="dxa"/>
              <w:right w:w="20" w:type="dxa"/>
            </w:tcMar>
            <w:vAlign w:val="bottom"/>
          </w:tcPr>
          <w:p w14:paraId="64A8A280"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81" w14:textId="77777777" w:rsidR="008D6614" w:rsidRDefault="00866AF2">
            <w:pPr>
              <w:jc w:val="center"/>
              <w:textAlignment w:val="bottom"/>
            </w:pPr>
            <w:r>
              <w:rPr>
                <w:rFonts w:ascii="Arial" w:eastAsia="宋体" w:hAnsi="Arial" w:cs="Arial"/>
                <w:b/>
                <w:bCs/>
                <w:color w:val="000000"/>
                <w:sz w:val="14"/>
                <w:szCs w:val="14"/>
              </w:rPr>
              <w:t>Effective</w:t>
            </w:r>
          </w:p>
        </w:tc>
        <w:tc>
          <w:tcPr>
            <w:tcW w:w="0" w:type="auto"/>
            <w:gridSpan w:val="3"/>
            <w:shd w:val="clear" w:color="auto" w:fill="auto"/>
            <w:tcMar>
              <w:left w:w="20" w:type="dxa"/>
              <w:right w:w="20" w:type="dxa"/>
            </w:tcMar>
            <w:vAlign w:val="bottom"/>
          </w:tcPr>
          <w:p w14:paraId="64A8A282"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83" w14:textId="77777777" w:rsidR="008D6614" w:rsidRDefault="00866AF2">
            <w:pPr>
              <w:jc w:val="center"/>
              <w:textAlignment w:val="bottom"/>
            </w:pPr>
            <w:r>
              <w:rPr>
                <w:rFonts w:ascii="Arial" w:eastAsia="宋体" w:hAnsi="Arial" w:cs="Arial"/>
                <w:b/>
                <w:bCs/>
                <w:color w:val="000000"/>
                <w:sz w:val="14"/>
                <w:szCs w:val="14"/>
              </w:rPr>
              <w:t>As of</w:t>
            </w:r>
          </w:p>
        </w:tc>
        <w:tc>
          <w:tcPr>
            <w:tcW w:w="0" w:type="auto"/>
            <w:gridSpan w:val="3"/>
            <w:shd w:val="clear" w:color="auto" w:fill="auto"/>
            <w:tcMar>
              <w:left w:w="20" w:type="dxa"/>
              <w:right w:w="20" w:type="dxa"/>
            </w:tcMar>
            <w:vAlign w:val="bottom"/>
          </w:tcPr>
          <w:p w14:paraId="64A8A284"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85" w14:textId="77777777" w:rsidR="008D6614" w:rsidRDefault="00866AF2">
            <w:pPr>
              <w:jc w:val="center"/>
              <w:textAlignment w:val="bottom"/>
            </w:pPr>
            <w:r>
              <w:rPr>
                <w:rFonts w:ascii="Arial" w:eastAsia="宋体" w:hAnsi="Arial" w:cs="Arial"/>
                <w:b/>
                <w:bCs/>
                <w:color w:val="000000"/>
                <w:sz w:val="14"/>
                <w:szCs w:val="14"/>
              </w:rPr>
              <w:t>Effective</w:t>
            </w:r>
          </w:p>
        </w:tc>
      </w:tr>
      <w:tr w:rsidR="008D6614" w14:paraId="64A8A292" w14:textId="77777777">
        <w:trPr>
          <w:jc w:val="center"/>
        </w:trPr>
        <w:tc>
          <w:tcPr>
            <w:tcW w:w="0" w:type="auto"/>
            <w:gridSpan w:val="3"/>
            <w:shd w:val="clear" w:color="auto" w:fill="auto"/>
            <w:tcMar>
              <w:left w:w="20" w:type="dxa"/>
              <w:right w:w="20" w:type="dxa"/>
            </w:tcMar>
            <w:vAlign w:val="bottom"/>
          </w:tcPr>
          <w:p w14:paraId="64A8A287"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288"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89" w14:textId="77777777" w:rsidR="008D6614" w:rsidRDefault="00866AF2">
            <w:pPr>
              <w:jc w:val="center"/>
              <w:textAlignment w:val="bottom"/>
            </w:pPr>
            <w:r>
              <w:rPr>
                <w:rFonts w:ascii="Arial" w:eastAsia="宋体" w:hAnsi="Arial" w:cs="Arial"/>
                <w:b/>
                <w:bCs/>
                <w:color w:val="000000"/>
                <w:sz w:val="14"/>
                <w:szCs w:val="14"/>
              </w:rPr>
              <w:t> Rate</w:t>
            </w:r>
          </w:p>
        </w:tc>
        <w:tc>
          <w:tcPr>
            <w:tcW w:w="0" w:type="auto"/>
            <w:gridSpan w:val="3"/>
            <w:shd w:val="clear" w:color="auto" w:fill="auto"/>
            <w:tcMar>
              <w:left w:w="20" w:type="dxa"/>
              <w:right w:w="20" w:type="dxa"/>
            </w:tcMar>
            <w:vAlign w:val="bottom"/>
          </w:tcPr>
          <w:p w14:paraId="64A8A28A"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8B" w14:textId="77777777" w:rsidR="008D6614" w:rsidRDefault="00866AF2">
            <w:pPr>
              <w:jc w:val="center"/>
              <w:textAlignment w:val="bottom"/>
            </w:pPr>
            <w:r>
              <w:rPr>
                <w:rFonts w:ascii="Arial" w:eastAsia="宋体" w:hAnsi="Arial" w:cs="Arial"/>
                <w:b/>
                <w:bCs/>
                <w:color w:val="000000"/>
                <w:sz w:val="14"/>
                <w:szCs w:val="14"/>
              </w:rPr>
              <w:t>March 31, 2020</w:t>
            </w:r>
          </w:p>
        </w:tc>
        <w:tc>
          <w:tcPr>
            <w:tcW w:w="0" w:type="auto"/>
            <w:gridSpan w:val="3"/>
            <w:shd w:val="clear" w:color="auto" w:fill="auto"/>
            <w:tcMar>
              <w:left w:w="20" w:type="dxa"/>
              <w:right w:w="20" w:type="dxa"/>
            </w:tcMar>
            <w:vAlign w:val="bottom"/>
          </w:tcPr>
          <w:p w14:paraId="64A8A28C"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8D" w14:textId="77777777" w:rsidR="008D6614" w:rsidRDefault="00866AF2">
            <w:pPr>
              <w:jc w:val="center"/>
              <w:textAlignment w:val="bottom"/>
            </w:pPr>
            <w:r>
              <w:rPr>
                <w:rFonts w:ascii="Arial" w:eastAsia="宋体" w:hAnsi="Arial" w:cs="Arial"/>
                <w:b/>
                <w:bCs/>
                <w:color w:val="000000"/>
                <w:sz w:val="14"/>
                <w:szCs w:val="14"/>
              </w:rPr>
              <w:t> Interest Rate</w:t>
            </w:r>
          </w:p>
        </w:tc>
        <w:tc>
          <w:tcPr>
            <w:tcW w:w="0" w:type="auto"/>
            <w:gridSpan w:val="3"/>
            <w:shd w:val="clear" w:color="auto" w:fill="auto"/>
            <w:tcMar>
              <w:left w:w="20" w:type="dxa"/>
              <w:right w:w="20" w:type="dxa"/>
            </w:tcMar>
            <w:vAlign w:val="bottom"/>
          </w:tcPr>
          <w:p w14:paraId="64A8A28E"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8F" w14:textId="77777777" w:rsidR="008D6614" w:rsidRDefault="00866AF2">
            <w:pPr>
              <w:jc w:val="center"/>
              <w:textAlignment w:val="bottom"/>
            </w:pPr>
            <w:r>
              <w:rPr>
                <w:rFonts w:ascii="Arial" w:eastAsia="宋体" w:hAnsi="Arial" w:cs="Arial"/>
                <w:b/>
                <w:bCs/>
                <w:color w:val="000000"/>
                <w:sz w:val="14"/>
                <w:szCs w:val="14"/>
              </w:rPr>
              <w:t xml:space="preserve">December 31, </w:t>
            </w: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64A8A290"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291" w14:textId="77777777" w:rsidR="008D6614" w:rsidRDefault="00866AF2">
            <w:pPr>
              <w:jc w:val="center"/>
              <w:textAlignment w:val="bottom"/>
            </w:pPr>
            <w:r>
              <w:rPr>
                <w:rFonts w:ascii="Arial" w:eastAsia="宋体" w:hAnsi="Arial" w:cs="Arial"/>
                <w:b/>
                <w:bCs/>
                <w:color w:val="000000"/>
                <w:sz w:val="14"/>
                <w:szCs w:val="14"/>
              </w:rPr>
              <w:t> Interest Rate</w:t>
            </w:r>
          </w:p>
        </w:tc>
      </w:tr>
      <w:tr w:rsidR="008D6614" w14:paraId="64A8A29E"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4A8A293" w14:textId="77777777" w:rsidR="008D6614" w:rsidRDefault="00866AF2">
            <w:pPr>
              <w:textAlignment w:val="bottom"/>
            </w:pPr>
            <w:r>
              <w:rPr>
                <w:rFonts w:ascii="Arial" w:eastAsia="宋体" w:hAnsi="Arial" w:cs="Arial"/>
                <w:b/>
                <w:bCs/>
                <w:color w:val="000000"/>
                <w:sz w:val="16"/>
                <w:szCs w:val="16"/>
              </w:rPr>
              <w:t>Long-Term Debt</w:t>
            </w:r>
          </w:p>
        </w:tc>
        <w:tc>
          <w:tcPr>
            <w:tcW w:w="0" w:type="auto"/>
            <w:gridSpan w:val="3"/>
            <w:shd w:val="clear" w:color="auto" w:fill="FFFFFF"/>
            <w:tcMar>
              <w:left w:w="20" w:type="dxa"/>
              <w:right w:w="20" w:type="dxa"/>
            </w:tcMar>
            <w:vAlign w:val="bottom"/>
          </w:tcPr>
          <w:p w14:paraId="64A8A294"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A29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96"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A297"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A298"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A299"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9A"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A29B"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A29C"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A29D" w14:textId="77777777" w:rsidR="008D6614" w:rsidRDefault="008D6614">
            <w:pPr>
              <w:rPr>
                <w:rFonts w:ascii="宋体"/>
              </w:rPr>
            </w:pPr>
          </w:p>
        </w:tc>
      </w:tr>
      <w:tr w:rsidR="008D6614" w14:paraId="64A8A2AA" w14:textId="77777777">
        <w:trPr>
          <w:jc w:val="center"/>
        </w:trPr>
        <w:tc>
          <w:tcPr>
            <w:tcW w:w="0" w:type="auto"/>
            <w:gridSpan w:val="3"/>
            <w:shd w:val="clear" w:color="auto" w:fill="E2E2E2"/>
            <w:tcMar>
              <w:top w:w="40" w:type="dxa"/>
              <w:left w:w="20" w:type="dxa"/>
              <w:bottom w:w="40" w:type="dxa"/>
              <w:right w:w="20" w:type="dxa"/>
            </w:tcMar>
            <w:vAlign w:val="bottom"/>
          </w:tcPr>
          <w:p w14:paraId="64A8A29F" w14:textId="77777777" w:rsidR="008D6614" w:rsidRDefault="00866AF2">
            <w:pPr>
              <w:textAlignment w:val="bottom"/>
            </w:pPr>
            <w:r>
              <w:rPr>
                <w:rFonts w:ascii="Arial" w:eastAsia="宋体" w:hAnsi="Arial" w:cs="Arial"/>
                <w:color w:val="000000"/>
                <w:sz w:val="16"/>
                <w:szCs w:val="16"/>
              </w:rPr>
              <w:t>Floating Rate Notes:</w:t>
            </w:r>
          </w:p>
        </w:tc>
        <w:tc>
          <w:tcPr>
            <w:tcW w:w="0" w:type="auto"/>
            <w:gridSpan w:val="3"/>
            <w:shd w:val="clear" w:color="auto" w:fill="E2E2E2"/>
            <w:tcMar>
              <w:left w:w="20" w:type="dxa"/>
              <w:right w:w="20" w:type="dxa"/>
            </w:tcMar>
            <w:vAlign w:val="bottom"/>
          </w:tcPr>
          <w:p w14:paraId="64A8A2A0"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A1"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A2"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A3"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A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A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A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A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A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A9" w14:textId="77777777" w:rsidR="008D6614" w:rsidRDefault="008D6614">
            <w:pPr>
              <w:rPr>
                <w:rFonts w:ascii="宋体"/>
              </w:rPr>
            </w:pPr>
          </w:p>
        </w:tc>
      </w:tr>
      <w:tr w:rsidR="008D6614" w14:paraId="64A8A2B6" w14:textId="77777777">
        <w:trPr>
          <w:jc w:val="center"/>
          <w:hidden/>
        </w:trPr>
        <w:tc>
          <w:tcPr>
            <w:tcW w:w="0" w:type="auto"/>
            <w:gridSpan w:val="3"/>
            <w:shd w:val="clear" w:color="auto" w:fill="auto"/>
            <w:vAlign w:val="center"/>
          </w:tcPr>
          <w:p w14:paraId="64A8A2AB" w14:textId="77777777" w:rsidR="008D6614" w:rsidRDefault="008D6614">
            <w:pPr>
              <w:rPr>
                <w:rFonts w:ascii="宋体"/>
                <w:vanish/>
              </w:rPr>
            </w:pPr>
          </w:p>
        </w:tc>
        <w:tc>
          <w:tcPr>
            <w:tcW w:w="0" w:type="auto"/>
            <w:gridSpan w:val="3"/>
            <w:shd w:val="clear" w:color="auto" w:fill="auto"/>
            <w:vAlign w:val="center"/>
          </w:tcPr>
          <w:p w14:paraId="64A8A2AC" w14:textId="77777777" w:rsidR="008D6614" w:rsidRDefault="008D6614">
            <w:pPr>
              <w:rPr>
                <w:rFonts w:ascii="宋体"/>
                <w:vanish/>
              </w:rPr>
            </w:pPr>
          </w:p>
        </w:tc>
        <w:tc>
          <w:tcPr>
            <w:tcW w:w="0" w:type="auto"/>
            <w:gridSpan w:val="3"/>
            <w:shd w:val="clear" w:color="auto" w:fill="auto"/>
            <w:vAlign w:val="center"/>
          </w:tcPr>
          <w:p w14:paraId="64A8A2AD" w14:textId="77777777" w:rsidR="008D6614" w:rsidRDefault="008D6614">
            <w:pPr>
              <w:rPr>
                <w:rFonts w:ascii="宋体"/>
                <w:vanish/>
              </w:rPr>
            </w:pPr>
          </w:p>
        </w:tc>
        <w:tc>
          <w:tcPr>
            <w:tcW w:w="0" w:type="auto"/>
            <w:gridSpan w:val="3"/>
            <w:shd w:val="clear" w:color="auto" w:fill="auto"/>
            <w:vAlign w:val="center"/>
          </w:tcPr>
          <w:p w14:paraId="64A8A2AE" w14:textId="77777777" w:rsidR="008D6614" w:rsidRDefault="008D6614">
            <w:pPr>
              <w:rPr>
                <w:rFonts w:ascii="宋体"/>
                <w:vanish/>
              </w:rPr>
            </w:pPr>
          </w:p>
        </w:tc>
        <w:tc>
          <w:tcPr>
            <w:tcW w:w="0" w:type="auto"/>
            <w:gridSpan w:val="3"/>
            <w:shd w:val="clear" w:color="auto" w:fill="auto"/>
            <w:vAlign w:val="center"/>
          </w:tcPr>
          <w:p w14:paraId="64A8A2AF" w14:textId="77777777" w:rsidR="008D6614" w:rsidRDefault="008D6614">
            <w:pPr>
              <w:rPr>
                <w:rFonts w:ascii="宋体"/>
                <w:vanish/>
              </w:rPr>
            </w:pPr>
          </w:p>
        </w:tc>
        <w:tc>
          <w:tcPr>
            <w:tcW w:w="0" w:type="auto"/>
            <w:gridSpan w:val="3"/>
            <w:shd w:val="clear" w:color="auto" w:fill="auto"/>
            <w:vAlign w:val="center"/>
          </w:tcPr>
          <w:p w14:paraId="64A8A2B0" w14:textId="77777777" w:rsidR="008D6614" w:rsidRDefault="008D6614">
            <w:pPr>
              <w:rPr>
                <w:rFonts w:ascii="宋体"/>
                <w:vanish/>
              </w:rPr>
            </w:pPr>
          </w:p>
        </w:tc>
        <w:tc>
          <w:tcPr>
            <w:tcW w:w="0" w:type="auto"/>
            <w:gridSpan w:val="3"/>
            <w:shd w:val="clear" w:color="auto" w:fill="auto"/>
            <w:vAlign w:val="center"/>
          </w:tcPr>
          <w:p w14:paraId="64A8A2B1" w14:textId="77777777" w:rsidR="008D6614" w:rsidRDefault="008D6614">
            <w:pPr>
              <w:rPr>
                <w:rFonts w:ascii="宋体"/>
                <w:vanish/>
              </w:rPr>
            </w:pPr>
          </w:p>
        </w:tc>
        <w:tc>
          <w:tcPr>
            <w:tcW w:w="0" w:type="auto"/>
            <w:gridSpan w:val="3"/>
            <w:shd w:val="clear" w:color="auto" w:fill="auto"/>
            <w:vAlign w:val="center"/>
          </w:tcPr>
          <w:p w14:paraId="64A8A2B2" w14:textId="77777777" w:rsidR="008D6614" w:rsidRDefault="008D6614">
            <w:pPr>
              <w:rPr>
                <w:rFonts w:ascii="宋体"/>
                <w:vanish/>
              </w:rPr>
            </w:pPr>
          </w:p>
        </w:tc>
        <w:tc>
          <w:tcPr>
            <w:tcW w:w="0" w:type="auto"/>
            <w:gridSpan w:val="3"/>
            <w:shd w:val="clear" w:color="auto" w:fill="auto"/>
            <w:vAlign w:val="center"/>
          </w:tcPr>
          <w:p w14:paraId="64A8A2B3" w14:textId="77777777" w:rsidR="008D6614" w:rsidRDefault="008D6614">
            <w:pPr>
              <w:rPr>
                <w:rFonts w:ascii="宋体"/>
                <w:vanish/>
              </w:rPr>
            </w:pPr>
          </w:p>
        </w:tc>
        <w:tc>
          <w:tcPr>
            <w:tcW w:w="0" w:type="auto"/>
            <w:gridSpan w:val="3"/>
            <w:shd w:val="clear" w:color="auto" w:fill="auto"/>
            <w:vAlign w:val="center"/>
          </w:tcPr>
          <w:p w14:paraId="64A8A2B4" w14:textId="77777777" w:rsidR="008D6614" w:rsidRDefault="008D6614">
            <w:pPr>
              <w:rPr>
                <w:rFonts w:ascii="宋体"/>
                <w:vanish/>
              </w:rPr>
            </w:pPr>
          </w:p>
        </w:tc>
        <w:tc>
          <w:tcPr>
            <w:tcW w:w="0" w:type="auto"/>
            <w:gridSpan w:val="3"/>
            <w:shd w:val="clear" w:color="auto" w:fill="auto"/>
            <w:vAlign w:val="center"/>
          </w:tcPr>
          <w:p w14:paraId="64A8A2B5" w14:textId="77777777" w:rsidR="008D6614" w:rsidRDefault="008D6614">
            <w:pPr>
              <w:rPr>
                <w:rFonts w:ascii="宋体"/>
                <w:vanish/>
              </w:rPr>
            </w:pPr>
          </w:p>
        </w:tc>
      </w:tr>
      <w:tr w:rsidR="008D6614" w14:paraId="64A8A2C2" w14:textId="77777777">
        <w:trPr>
          <w:jc w:val="center"/>
          <w:hidden/>
        </w:trPr>
        <w:tc>
          <w:tcPr>
            <w:tcW w:w="0" w:type="auto"/>
            <w:gridSpan w:val="3"/>
            <w:shd w:val="clear" w:color="auto" w:fill="auto"/>
            <w:vAlign w:val="center"/>
          </w:tcPr>
          <w:p w14:paraId="64A8A2B7" w14:textId="77777777" w:rsidR="008D6614" w:rsidRDefault="008D6614">
            <w:pPr>
              <w:rPr>
                <w:rFonts w:ascii="宋体"/>
                <w:vanish/>
              </w:rPr>
            </w:pPr>
          </w:p>
        </w:tc>
        <w:tc>
          <w:tcPr>
            <w:tcW w:w="0" w:type="auto"/>
            <w:gridSpan w:val="3"/>
            <w:shd w:val="clear" w:color="auto" w:fill="auto"/>
            <w:vAlign w:val="center"/>
          </w:tcPr>
          <w:p w14:paraId="64A8A2B8" w14:textId="77777777" w:rsidR="008D6614" w:rsidRDefault="008D6614">
            <w:pPr>
              <w:rPr>
                <w:rFonts w:ascii="宋体"/>
                <w:vanish/>
              </w:rPr>
            </w:pPr>
          </w:p>
        </w:tc>
        <w:tc>
          <w:tcPr>
            <w:tcW w:w="0" w:type="auto"/>
            <w:gridSpan w:val="3"/>
            <w:shd w:val="clear" w:color="auto" w:fill="auto"/>
            <w:vAlign w:val="center"/>
          </w:tcPr>
          <w:p w14:paraId="64A8A2B9" w14:textId="77777777" w:rsidR="008D6614" w:rsidRDefault="008D6614">
            <w:pPr>
              <w:rPr>
                <w:rFonts w:ascii="宋体"/>
                <w:vanish/>
              </w:rPr>
            </w:pPr>
          </w:p>
        </w:tc>
        <w:tc>
          <w:tcPr>
            <w:tcW w:w="0" w:type="auto"/>
            <w:gridSpan w:val="3"/>
            <w:shd w:val="clear" w:color="auto" w:fill="auto"/>
            <w:vAlign w:val="center"/>
          </w:tcPr>
          <w:p w14:paraId="64A8A2BA" w14:textId="77777777" w:rsidR="008D6614" w:rsidRDefault="008D6614">
            <w:pPr>
              <w:rPr>
                <w:rFonts w:ascii="宋体"/>
                <w:vanish/>
              </w:rPr>
            </w:pPr>
          </w:p>
        </w:tc>
        <w:tc>
          <w:tcPr>
            <w:tcW w:w="0" w:type="auto"/>
            <w:gridSpan w:val="3"/>
            <w:shd w:val="clear" w:color="auto" w:fill="auto"/>
            <w:vAlign w:val="center"/>
          </w:tcPr>
          <w:p w14:paraId="64A8A2BB" w14:textId="77777777" w:rsidR="008D6614" w:rsidRDefault="008D6614">
            <w:pPr>
              <w:rPr>
                <w:rFonts w:ascii="宋体"/>
                <w:vanish/>
              </w:rPr>
            </w:pPr>
          </w:p>
        </w:tc>
        <w:tc>
          <w:tcPr>
            <w:tcW w:w="0" w:type="auto"/>
            <w:gridSpan w:val="3"/>
            <w:shd w:val="clear" w:color="auto" w:fill="auto"/>
            <w:vAlign w:val="center"/>
          </w:tcPr>
          <w:p w14:paraId="64A8A2BC" w14:textId="77777777" w:rsidR="008D6614" w:rsidRDefault="008D6614">
            <w:pPr>
              <w:rPr>
                <w:rFonts w:ascii="宋体"/>
                <w:vanish/>
              </w:rPr>
            </w:pPr>
          </w:p>
        </w:tc>
        <w:tc>
          <w:tcPr>
            <w:tcW w:w="0" w:type="auto"/>
            <w:gridSpan w:val="3"/>
            <w:shd w:val="clear" w:color="auto" w:fill="auto"/>
            <w:vAlign w:val="center"/>
          </w:tcPr>
          <w:p w14:paraId="64A8A2BD" w14:textId="77777777" w:rsidR="008D6614" w:rsidRDefault="008D6614">
            <w:pPr>
              <w:rPr>
                <w:rFonts w:ascii="宋体"/>
                <w:vanish/>
              </w:rPr>
            </w:pPr>
          </w:p>
        </w:tc>
        <w:tc>
          <w:tcPr>
            <w:tcW w:w="0" w:type="auto"/>
            <w:gridSpan w:val="3"/>
            <w:shd w:val="clear" w:color="auto" w:fill="auto"/>
            <w:vAlign w:val="center"/>
          </w:tcPr>
          <w:p w14:paraId="64A8A2BE" w14:textId="77777777" w:rsidR="008D6614" w:rsidRDefault="008D6614">
            <w:pPr>
              <w:rPr>
                <w:rFonts w:ascii="宋体"/>
                <w:vanish/>
              </w:rPr>
            </w:pPr>
          </w:p>
        </w:tc>
        <w:tc>
          <w:tcPr>
            <w:tcW w:w="0" w:type="auto"/>
            <w:gridSpan w:val="3"/>
            <w:shd w:val="clear" w:color="auto" w:fill="auto"/>
            <w:vAlign w:val="center"/>
          </w:tcPr>
          <w:p w14:paraId="64A8A2BF" w14:textId="77777777" w:rsidR="008D6614" w:rsidRDefault="008D6614">
            <w:pPr>
              <w:rPr>
                <w:rFonts w:ascii="宋体"/>
                <w:vanish/>
              </w:rPr>
            </w:pPr>
          </w:p>
        </w:tc>
        <w:tc>
          <w:tcPr>
            <w:tcW w:w="0" w:type="auto"/>
            <w:gridSpan w:val="3"/>
            <w:shd w:val="clear" w:color="auto" w:fill="auto"/>
            <w:vAlign w:val="center"/>
          </w:tcPr>
          <w:p w14:paraId="64A8A2C0" w14:textId="77777777" w:rsidR="008D6614" w:rsidRDefault="008D6614">
            <w:pPr>
              <w:rPr>
                <w:rFonts w:ascii="宋体"/>
                <w:vanish/>
              </w:rPr>
            </w:pPr>
          </w:p>
        </w:tc>
        <w:tc>
          <w:tcPr>
            <w:tcW w:w="0" w:type="auto"/>
            <w:gridSpan w:val="3"/>
            <w:shd w:val="clear" w:color="auto" w:fill="auto"/>
            <w:vAlign w:val="center"/>
          </w:tcPr>
          <w:p w14:paraId="64A8A2C1" w14:textId="77777777" w:rsidR="008D6614" w:rsidRDefault="008D6614">
            <w:pPr>
              <w:rPr>
                <w:rFonts w:ascii="宋体"/>
                <w:vanish/>
              </w:rPr>
            </w:pPr>
          </w:p>
        </w:tc>
      </w:tr>
      <w:tr w:rsidR="008D6614" w14:paraId="64A8A2D5" w14:textId="77777777">
        <w:trPr>
          <w:jc w:val="center"/>
        </w:trPr>
        <w:tc>
          <w:tcPr>
            <w:tcW w:w="0" w:type="auto"/>
            <w:gridSpan w:val="3"/>
            <w:shd w:val="clear" w:color="auto" w:fill="FFFFFF"/>
            <w:tcMar>
              <w:top w:w="40" w:type="dxa"/>
              <w:left w:w="135" w:type="dxa"/>
              <w:bottom w:w="40" w:type="dxa"/>
              <w:right w:w="20" w:type="dxa"/>
            </w:tcMar>
            <w:vAlign w:val="bottom"/>
          </w:tcPr>
          <w:p w14:paraId="64A8A2C3" w14:textId="77777777" w:rsidR="008D6614" w:rsidRDefault="00866AF2">
            <w:pPr>
              <w:textAlignment w:val="bottom"/>
            </w:pPr>
            <w:r>
              <w:rPr>
                <w:rFonts w:ascii="Arial" w:eastAsia="宋体" w:hAnsi="Arial" w:cs="Arial"/>
                <w:color w:val="000000"/>
                <w:sz w:val="16"/>
                <w:szCs w:val="16"/>
              </w:rPr>
              <w:t>Senior notes due 2023</w:t>
            </w:r>
          </w:p>
        </w:tc>
        <w:tc>
          <w:tcPr>
            <w:tcW w:w="0" w:type="auto"/>
            <w:gridSpan w:val="3"/>
            <w:shd w:val="clear" w:color="auto" w:fill="FFFFFF"/>
            <w:tcMar>
              <w:left w:w="20" w:type="dxa"/>
              <w:right w:w="20" w:type="dxa"/>
            </w:tcMar>
            <w:vAlign w:val="bottom"/>
          </w:tcPr>
          <w:p w14:paraId="64A8A2C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2C5" w14:textId="77777777" w:rsidR="008D6614" w:rsidRDefault="00866AF2">
            <w:pPr>
              <w:textAlignment w:val="bottom"/>
            </w:pPr>
            <w:r>
              <w:rPr>
                <w:rFonts w:ascii="Arial" w:eastAsia="宋体" w:hAnsi="Arial" w:cs="Arial"/>
                <w:color w:val="000000"/>
                <w:sz w:val="16"/>
                <w:szCs w:val="16"/>
              </w:rPr>
              <w:t>LIBOR plus 0.87% </w:t>
            </w:r>
          </w:p>
        </w:tc>
        <w:tc>
          <w:tcPr>
            <w:tcW w:w="0" w:type="auto"/>
            <w:shd w:val="clear" w:color="auto" w:fill="FFFFFF"/>
            <w:tcMar>
              <w:top w:w="40" w:type="dxa"/>
              <w:bottom w:w="40" w:type="dxa"/>
              <w:right w:w="20" w:type="dxa"/>
            </w:tcMar>
            <w:vAlign w:val="bottom"/>
          </w:tcPr>
          <w:p w14:paraId="64A8A2C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2C7"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A2C8"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A2C9" w14:textId="77777777" w:rsidR="008D6614" w:rsidRDefault="00866AF2">
            <w:pPr>
              <w:jc w:val="right"/>
              <w:textAlignment w:val="bottom"/>
            </w:pPr>
            <w:r>
              <w:rPr>
                <w:rFonts w:ascii="Arial" w:eastAsia="宋体" w:hAnsi="Arial" w:cs="Arial"/>
                <w:color w:val="000000"/>
                <w:sz w:val="16"/>
                <w:szCs w:val="16"/>
              </w:rPr>
              <w:t>400 </w:t>
            </w:r>
          </w:p>
        </w:tc>
        <w:tc>
          <w:tcPr>
            <w:tcW w:w="0" w:type="auto"/>
            <w:shd w:val="clear" w:color="auto" w:fill="FFFFFF"/>
            <w:tcMar>
              <w:top w:w="40" w:type="dxa"/>
              <w:bottom w:w="40" w:type="dxa"/>
              <w:right w:w="20" w:type="dxa"/>
            </w:tcMar>
            <w:vAlign w:val="bottom"/>
          </w:tcPr>
          <w:p w14:paraId="64A8A2CA"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2C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2CC" w14:textId="77777777" w:rsidR="008D6614" w:rsidRDefault="00866AF2">
            <w:pPr>
              <w:jc w:val="right"/>
              <w:textAlignment w:val="bottom"/>
            </w:pPr>
            <w:r>
              <w:rPr>
                <w:rFonts w:ascii="Arial" w:eastAsia="宋体" w:hAnsi="Arial" w:cs="Arial"/>
                <w:color w:val="000000"/>
                <w:sz w:val="16"/>
                <w:szCs w:val="16"/>
              </w:rPr>
              <w:t>2.746 </w:t>
            </w:r>
          </w:p>
        </w:tc>
        <w:tc>
          <w:tcPr>
            <w:tcW w:w="0" w:type="auto"/>
            <w:shd w:val="clear" w:color="auto" w:fill="FFFFFF"/>
            <w:tcMar>
              <w:top w:w="40" w:type="dxa"/>
              <w:bottom w:w="40" w:type="dxa"/>
              <w:right w:w="20" w:type="dxa"/>
            </w:tcMar>
            <w:vAlign w:val="bottom"/>
          </w:tcPr>
          <w:p w14:paraId="64A8A2CD"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A2CE"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A2CF"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A2D0" w14:textId="77777777" w:rsidR="008D6614" w:rsidRDefault="00866AF2">
            <w:pPr>
              <w:jc w:val="right"/>
              <w:textAlignment w:val="bottom"/>
            </w:pPr>
            <w:r>
              <w:rPr>
                <w:rFonts w:ascii="Arial" w:eastAsia="宋体" w:hAnsi="Arial" w:cs="Arial"/>
                <w:color w:val="000000"/>
                <w:sz w:val="16"/>
                <w:szCs w:val="16"/>
              </w:rPr>
              <w:t>400 </w:t>
            </w:r>
          </w:p>
        </w:tc>
        <w:tc>
          <w:tcPr>
            <w:tcW w:w="0" w:type="auto"/>
            <w:shd w:val="clear" w:color="auto" w:fill="FFFFFF"/>
            <w:tcMar>
              <w:top w:w="40" w:type="dxa"/>
              <w:bottom w:w="40" w:type="dxa"/>
              <w:right w:w="20" w:type="dxa"/>
            </w:tcMar>
            <w:vAlign w:val="bottom"/>
          </w:tcPr>
          <w:p w14:paraId="64A8A2D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2D2"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2D3" w14:textId="77777777" w:rsidR="008D6614" w:rsidRDefault="00866AF2">
            <w:pPr>
              <w:jc w:val="right"/>
              <w:textAlignment w:val="bottom"/>
            </w:pPr>
            <w:r>
              <w:rPr>
                <w:rFonts w:ascii="Arial" w:eastAsia="宋体" w:hAnsi="Arial" w:cs="Arial"/>
                <w:color w:val="000000"/>
                <w:sz w:val="16"/>
                <w:szCs w:val="16"/>
              </w:rPr>
              <w:t>2.913 </w:t>
            </w:r>
          </w:p>
        </w:tc>
        <w:tc>
          <w:tcPr>
            <w:tcW w:w="0" w:type="auto"/>
            <w:shd w:val="clear" w:color="auto" w:fill="FFFFFF"/>
            <w:tcMar>
              <w:top w:w="40" w:type="dxa"/>
              <w:bottom w:w="40" w:type="dxa"/>
              <w:right w:w="20" w:type="dxa"/>
            </w:tcMar>
            <w:vAlign w:val="bottom"/>
          </w:tcPr>
          <w:p w14:paraId="64A8A2D4" w14:textId="77777777" w:rsidR="008D6614" w:rsidRDefault="00866AF2">
            <w:pPr>
              <w:jc w:val="right"/>
              <w:textAlignment w:val="bottom"/>
            </w:pPr>
            <w:r>
              <w:rPr>
                <w:rFonts w:ascii="Arial" w:eastAsia="宋体" w:hAnsi="Arial" w:cs="Arial"/>
                <w:color w:val="000000"/>
                <w:sz w:val="16"/>
                <w:szCs w:val="16"/>
              </w:rPr>
              <w:t>%</w:t>
            </w:r>
          </w:p>
        </w:tc>
      </w:tr>
      <w:tr w:rsidR="008D6614" w14:paraId="64A8A2E1" w14:textId="77777777">
        <w:trPr>
          <w:trHeight w:val="280"/>
          <w:jc w:val="center"/>
        </w:trPr>
        <w:tc>
          <w:tcPr>
            <w:tcW w:w="0" w:type="auto"/>
            <w:gridSpan w:val="3"/>
            <w:shd w:val="clear" w:color="auto" w:fill="E2E2E2"/>
            <w:tcMar>
              <w:left w:w="20" w:type="dxa"/>
              <w:right w:w="20" w:type="dxa"/>
            </w:tcMar>
            <w:vAlign w:val="bottom"/>
          </w:tcPr>
          <w:p w14:paraId="64A8A2D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D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D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D9"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DA"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DB"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DC"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DD"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DE"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DF"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2E0" w14:textId="77777777" w:rsidR="008D6614" w:rsidRDefault="008D6614">
            <w:pPr>
              <w:rPr>
                <w:rFonts w:ascii="宋体"/>
              </w:rPr>
            </w:pPr>
          </w:p>
        </w:tc>
      </w:tr>
      <w:tr w:rsidR="008D6614" w14:paraId="64A8A2ED" w14:textId="77777777">
        <w:trPr>
          <w:jc w:val="center"/>
        </w:trPr>
        <w:tc>
          <w:tcPr>
            <w:tcW w:w="0" w:type="auto"/>
            <w:gridSpan w:val="3"/>
            <w:shd w:val="clear" w:color="auto" w:fill="FFFFFF"/>
            <w:tcMar>
              <w:top w:w="40" w:type="dxa"/>
              <w:left w:w="20" w:type="dxa"/>
              <w:bottom w:w="40" w:type="dxa"/>
              <w:right w:w="20" w:type="dxa"/>
            </w:tcMar>
            <w:vAlign w:val="bottom"/>
          </w:tcPr>
          <w:p w14:paraId="64A8A2E2" w14:textId="77777777" w:rsidR="008D6614" w:rsidRDefault="00866AF2">
            <w:pPr>
              <w:textAlignment w:val="bottom"/>
            </w:pPr>
            <w:r>
              <w:rPr>
                <w:rFonts w:ascii="Arial" w:eastAsia="宋体" w:hAnsi="Arial" w:cs="Arial"/>
                <w:color w:val="000000"/>
                <w:sz w:val="16"/>
                <w:szCs w:val="16"/>
              </w:rPr>
              <w:t>Fixed Rate Notes:</w:t>
            </w:r>
          </w:p>
        </w:tc>
        <w:tc>
          <w:tcPr>
            <w:tcW w:w="0" w:type="auto"/>
            <w:gridSpan w:val="3"/>
            <w:shd w:val="clear" w:color="auto" w:fill="FFFFFF"/>
            <w:tcMar>
              <w:left w:w="20" w:type="dxa"/>
              <w:right w:w="20" w:type="dxa"/>
            </w:tcMar>
            <w:vAlign w:val="bottom"/>
          </w:tcPr>
          <w:p w14:paraId="64A8A2E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E4"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E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E6"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E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E8"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E9"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EA"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E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2EC" w14:textId="77777777" w:rsidR="008D6614" w:rsidRDefault="008D6614">
            <w:pPr>
              <w:rPr>
                <w:rFonts w:ascii="宋体"/>
              </w:rPr>
            </w:pPr>
          </w:p>
        </w:tc>
      </w:tr>
      <w:tr w:rsidR="008D6614" w14:paraId="64A8A2F9" w14:textId="77777777">
        <w:trPr>
          <w:jc w:val="center"/>
          <w:hidden/>
        </w:trPr>
        <w:tc>
          <w:tcPr>
            <w:tcW w:w="0" w:type="auto"/>
            <w:gridSpan w:val="3"/>
            <w:shd w:val="clear" w:color="auto" w:fill="auto"/>
            <w:vAlign w:val="center"/>
          </w:tcPr>
          <w:p w14:paraId="64A8A2EE" w14:textId="77777777" w:rsidR="008D6614" w:rsidRDefault="008D6614">
            <w:pPr>
              <w:rPr>
                <w:rFonts w:ascii="宋体"/>
                <w:vanish/>
              </w:rPr>
            </w:pPr>
          </w:p>
        </w:tc>
        <w:tc>
          <w:tcPr>
            <w:tcW w:w="0" w:type="auto"/>
            <w:gridSpan w:val="3"/>
            <w:shd w:val="clear" w:color="auto" w:fill="auto"/>
            <w:vAlign w:val="center"/>
          </w:tcPr>
          <w:p w14:paraId="64A8A2EF" w14:textId="77777777" w:rsidR="008D6614" w:rsidRDefault="008D6614">
            <w:pPr>
              <w:rPr>
                <w:rFonts w:ascii="宋体"/>
                <w:vanish/>
              </w:rPr>
            </w:pPr>
          </w:p>
        </w:tc>
        <w:tc>
          <w:tcPr>
            <w:tcW w:w="0" w:type="auto"/>
            <w:gridSpan w:val="3"/>
            <w:shd w:val="clear" w:color="auto" w:fill="auto"/>
            <w:vAlign w:val="center"/>
          </w:tcPr>
          <w:p w14:paraId="64A8A2F0" w14:textId="77777777" w:rsidR="008D6614" w:rsidRDefault="008D6614">
            <w:pPr>
              <w:rPr>
                <w:rFonts w:ascii="宋体"/>
                <w:vanish/>
              </w:rPr>
            </w:pPr>
          </w:p>
        </w:tc>
        <w:tc>
          <w:tcPr>
            <w:tcW w:w="0" w:type="auto"/>
            <w:gridSpan w:val="3"/>
            <w:shd w:val="clear" w:color="auto" w:fill="auto"/>
            <w:vAlign w:val="center"/>
          </w:tcPr>
          <w:p w14:paraId="64A8A2F1" w14:textId="77777777" w:rsidR="008D6614" w:rsidRDefault="008D6614">
            <w:pPr>
              <w:rPr>
                <w:rFonts w:ascii="宋体"/>
                <w:vanish/>
              </w:rPr>
            </w:pPr>
          </w:p>
        </w:tc>
        <w:tc>
          <w:tcPr>
            <w:tcW w:w="0" w:type="auto"/>
            <w:gridSpan w:val="3"/>
            <w:shd w:val="clear" w:color="auto" w:fill="auto"/>
            <w:vAlign w:val="center"/>
          </w:tcPr>
          <w:p w14:paraId="64A8A2F2" w14:textId="77777777" w:rsidR="008D6614" w:rsidRDefault="008D6614">
            <w:pPr>
              <w:rPr>
                <w:rFonts w:ascii="宋体"/>
                <w:vanish/>
              </w:rPr>
            </w:pPr>
          </w:p>
        </w:tc>
        <w:tc>
          <w:tcPr>
            <w:tcW w:w="0" w:type="auto"/>
            <w:gridSpan w:val="3"/>
            <w:shd w:val="clear" w:color="auto" w:fill="auto"/>
            <w:vAlign w:val="center"/>
          </w:tcPr>
          <w:p w14:paraId="64A8A2F3" w14:textId="77777777" w:rsidR="008D6614" w:rsidRDefault="008D6614">
            <w:pPr>
              <w:rPr>
                <w:rFonts w:ascii="宋体"/>
                <w:vanish/>
              </w:rPr>
            </w:pPr>
          </w:p>
        </w:tc>
        <w:tc>
          <w:tcPr>
            <w:tcW w:w="0" w:type="auto"/>
            <w:gridSpan w:val="3"/>
            <w:shd w:val="clear" w:color="auto" w:fill="auto"/>
            <w:vAlign w:val="center"/>
          </w:tcPr>
          <w:p w14:paraId="64A8A2F4" w14:textId="77777777" w:rsidR="008D6614" w:rsidRDefault="008D6614">
            <w:pPr>
              <w:rPr>
                <w:rFonts w:ascii="宋体"/>
                <w:vanish/>
              </w:rPr>
            </w:pPr>
          </w:p>
        </w:tc>
        <w:tc>
          <w:tcPr>
            <w:tcW w:w="0" w:type="auto"/>
            <w:gridSpan w:val="3"/>
            <w:shd w:val="clear" w:color="auto" w:fill="auto"/>
            <w:vAlign w:val="center"/>
          </w:tcPr>
          <w:p w14:paraId="64A8A2F5" w14:textId="77777777" w:rsidR="008D6614" w:rsidRDefault="008D6614">
            <w:pPr>
              <w:rPr>
                <w:rFonts w:ascii="宋体"/>
                <w:vanish/>
              </w:rPr>
            </w:pPr>
          </w:p>
        </w:tc>
        <w:tc>
          <w:tcPr>
            <w:tcW w:w="0" w:type="auto"/>
            <w:gridSpan w:val="3"/>
            <w:shd w:val="clear" w:color="auto" w:fill="auto"/>
            <w:vAlign w:val="center"/>
          </w:tcPr>
          <w:p w14:paraId="64A8A2F6" w14:textId="77777777" w:rsidR="008D6614" w:rsidRDefault="008D6614">
            <w:pPr>
              <w:rPr>
                <w:rFonts w:ascii="宋体"/>
                <w:vanish/>
              </w:rPr>
            </w:pPr>
          </w:p>
        </w:tc>
        <w:tc>
          <w:tcPr>
            <w:tcW w:w="0" w:type="auto"/>
            <w:gridSpan w:val="3"/>
            <w:shd w:val="clear" w:color="auto" w:fill="auto"/>
            <w:vAlign w:val="center"/>
          </w:tcPr>
          <w:p w14:paraId="64A8A2F7" w14:textId="77777777" w:rsidR="008D6614" w:rsidRDefault="008D6614">
            <w:pPr>
              <w:rPr>
                <w:rFonts w:ascii="宋体"/>
                <w:vanish/>
              </w:rPr>
            </w:pPr>
          </w:p>
        </w:tc>
        <w:tc>
          <w:tcPr>
            <w:tcW w:w="0" w:type="auto"/>
            <w:gridSpan w:val="3"/>
            <w:shd w:val="clear" w:color="auto" w:fill="auto"/>
            <w:vAlign w:val="center"/>
          </w:tcPr>
          <w:p w14:paraId="64A8A2F8" w14:textId="77777777" w:rsidR="008D6614" w:rsidRDefault="008D6614">
            <w:pPr>
              <w:rPr>
                <w:rFonts w:ascii="宋体"/>
                <w:vanish/>
              </w:rPr>
            </w:pPr>
          </w:p>
        </w:tc>
      </w:tr>
      <w:tr w:rsidR="008D6614" w14:paraId="64A8A305" w14:textId="77777777">
        <w:trPr>
          <w:jc w:val="center"/>
          <w:hidden/>
        </w:trPr>
        <w:tc>
          <w:tcPr>
            <w:tcW w:w="0" w:type="auto"/>
            <w:gridSpan w:val="3"/>
            <w:shd w:val="clear" w:color="auto" w:fill="auto"/>
            <w:vAlign w:val="center"/>
          </w:tcPr>
          <w:p w14:paraId="64A8A2FA" w14:textId="77777777" w:rsidR="008D6614" w:rsidRDefault="008D6614">
            <w:pPr>
              <w:rPr>
                <w:rFonts w:ascii="宋体"/>
                <w:vanish/>
              </w:rPr>
            </w:pPr>
          </w:p>
        </w:tc>
        <w:tc>
          <w:tcPr>
            <w:tcW w:w="0" w:type="auto"/>
            <w:gridSpan w:val="3"/>
            <w:shd w:val="clear" w:color="auto" w:fill="auto"/>
            <w:vAlign w:val="center"/>
          </w:tcPr>
          <w:p w14:paraId="64A8A2FB" w14:textId="77777777" w:rsidR="008D6614" w:rsidRDefault="008D6614">
            <w:pPr>
              <w:rPr>
                <w:rFonts w:ascii="宋体"/>
                <w:vanish/>
              </w:rPr>
            </w:pPr>
          </w:p>
        </w:tc>
        <w:tc>
          <w:tcPr>
            <w:tcW w:w="0" w:type="auto"/>
            <w:gridSpan w:val="3"/>
            <w:shd w:val="clear" w:color="auto" w:fill="auto"/>
            <w:vAlign w:val="center"/>
          </w:tcPr>
          <w:p w14:paraId="64A8A2FC" w14:textId="77777777" w:rsidR="008D6614" w:rsidRDefault="008D6614">
            <w:pPr>
              <w:rPr>
                <w:rFonts w:ascii="宋体"/>
                <w:vanish/>
              </w:rPr>
            </w:pPr>
          </w:p>
        </w:tc>
        <w:tc>
          <w:tcPr>
            <w:tcW w:w="0" w:type="auto"/>
            <w:gridSpan w:val="3"/>
            <w:shd w:val="clear" w:color="auto" w:fill="auto"/>
            <w:vAlign w:val="center"/>
          </w:tcPr>
          <w:p w14:paraId="64A8A2FD" w14:textId="77777777" w:rsidR="008D6614" w:rsidRDefault="008D6614">
            <w:pPr>
              <w:rPr>
                <w:rFonts w:ascii="宋体"/>
                <w:vanish/>
              </w:rPr>
            </w:pPr>
          </w:p>
        </w:tc>
        <w:tc>
          <w:tcPr>
            <w:tcW w:w="0" w:type="auto"/>
            <w:gridSpan w:val="3"/>
            <w:shd w:val="clear" w:color="auto" w:fill="auto"/>
            <w:vAlign w:val="center"/>
          </w:tcPr>
          <w:p w14:paraId="64A8A2FE" w14:textId="77777777" w:rsidR="008D6614" w:rsidRDefault="008D6614">
            <w:pPr>
              <w:rPr>
                <w:rFonts w:ascii="宋体"/>
                <w:vanish/>
              </w:rPr>
            </w:pPr>
          </w:p>
        </w:tc>
        <w:tc>
          <w:tcPr>
            <w:tcW w:w="0" w:type="auto"/>
            <w:gridSpan w:val="3"/>
            <w:shd w:val="clear" w:color="auto" w:fill="auto"/>
            <w:vAlign w:val="center"/>
          </w:tcPr>
          <w:p w14:paraId="64A8A2FF" w14:textId="77777777" w:rsidR="008D6614" w:rsidRDefault="008D6614">
            <w:pPr>
              <w:rPr>
                <w:rFonts w:ascii="宋体"/>
                <w:vanish/>
              </w:rPr>
            </w:pPr>
          </w:p>
        </w:tc>
        <w:tc>
          <w:tcPr>
            <w:tcW w:w="0" w:type="auto"/>
            <w:gridSpan w:val="3"/>
            <w:shd w:val="clear" w:color="auto" w:fill="auto"/>
            <w:vAlign w:val="center"/>
          </w:tcPr>
          <w:p w14:paraId="64A8A300" w14:textId="77777777" w:rsidR="008D6614" w:rsidRDefault="008D6614">
            <w:pPr>
              <w:rPr>
                <w:rFonts w:ascii="宋体"/>
                <w:vanish/>
              </w:rPr>
            </w:pPr>
          </w:p>
        </w:tc>
        <w:tc>
          <w:tcPr>
            <w:tcW w:w="0" w:type="auto"/>
            <w:gridSpan w:val="3"/>
            <w:shd w:val="clear" w:color="auto" w:fill="auto"/>
            <w:vAlign w:val="center"/>
          </w:tcPr>
          <w:p w14:paraId="64A8A301" w14:textId="77777777" w:rsidR="008D6614" w:rsidRDefault="008D6614">
            <w:pPr>
              <w:rPr>
                <w:rFonts w:ascii="宋体"/>
                <w:vanish/>
              </w:rPr>
            </w:pPr>
          </w:p>
        </w:tc>
        <w:tc>
          <w:tcPr>
            <w:tcW w:w="0" w:type="auto"/>
            <w:gridSpan w:val="3"/>
            <w:shd w:val="clear" w:color="auto" w:fill="auto"/>
            <w:vAlign w:val="center"/>
          </w:tcPr>
          <w:p w14:paraId="64A8A302" w14:textId="77777777" w:rsidR="008D6614" w:rsidRDefault="008D6614">
            <w:pPr>
              <w:rPr>
                <w:rFonts w:ascii="宋体"/>
                <w:vanish/>
              </w:rPr>
            </w:pPr>
          </w:p>
        </w:tc>
        <w:tc>
          <w:tcPr>
            <w:tcW w:w="0" w:type="auto"/>
            <w:gridSpan w:val="3"/>
            <w:shd w:val="clear" w:color="auto" w:fill="auto"/>
            <w:vAlign w:val="center"/>
          </w:tcPr>
          <w:p w14:paraId="64A8A303" w14:textId="77777777" w:rsidR="008D6614" w:rsidRDefault="008D6614">
            <w:pPr>
              <w:rPr>
                <w:rFonts w:ascii="宋体"/>
                <w:vanish/>
              </w:rPr>
            </w:pPr>
          </w:p>
        </w:tc>
        <w:tc>
          <w:tcPr>
            <w:tcW w:w="0" w:type="auto"/>
            <w:gridSpan w:val="3"/>
            <w:shd w:val="clear" w:color="auto" w:fill="auto"/>
            <w:vAlign w:val="center"/>
          </w:tcPr>
          <w:p w14:paraId="64A8A304" w14:textId="77777777" w:rsidR="008D6614" w:rsidRDefault="008D6614">
            <w:pPr>
              <w:rPr>
                <w:rFonts w:ascii="宋体"/>
                <w:vanish/>
              </w:rPr>
            </w:pPr>
          </w:p>
        </w:tc>
      </w:tr>
      <w:tr w:rsidR="008D6614" w14:paraId="64A8A311" w14:textId="77777777">
        <w:trPr>
          <w:jc w:val="center"/>
          <w:hidden/>
        </w:trPr>
        <w:tc>
          <w:tcPr>
            <w:tcW w:w="0" w:type="auto"/>
            <w:gridSpan w:val="3"/>
            <w:shd w:val="clear" w:color="auto" w:fill="auto"/>
            <w:vAlign w:val="center"/>
          </w:tcPr>
          <w:p w14:paraId="64A8A306" w14:textId="77777777" w:rsidR="008D6614" w:rsidRDefault="008D6614">
            <w:pPr>
              <w:rPr>
                <w:rFonts w:ascii="宋体"/>
                <w:vanish/>
              </w:rPr>
            </w:pPr>
          </w:p>
        </w:tc>
        <w:tc>
          <w:tcPr>
            <w:tcW w:w="0" w:type="auto"/>
            <w:gridSpan w:val="3"/>
            <w:shd w:val="clear" w:color="auto" w:fill="auto"/>
            <w:vAlign w:val="center"/>
          </w:tcPr>
          <w:p w14:paraId="64A8A307" w14:textId="77777777" w:rsidR="008D6614" w:rsidRDefault="008D6614">
            <w:pPr>
              <w:rPr>
                <w:rFonts w:ascii="宋体"/>
                <w:vanish/>
              </w:rPr>
            </w:pPr>
          </w:p>
        </w:tc>
        <w:tc>
          <w:tcPr>
            <w:tcW w:w="0" w:type="auto"/>
            <w:gridSpan w:val="3"/>
            <w:shd w:val="clear" w:color="auto" w:fill="auto"/>
            <w:vAlign w:val="center"/>
          </w:tcPr>
          <w:p w14:paraId="64A8A308" w14:textId="77777777" w:rsidR="008D6614" w:rsidRDefault="008D6614">
            <w:pPr>
              <w:rPr>
                <w:rFonts w:ascii="宋体"/>
                <w:vanish/>
              </w:rPr>
            </w:pPr>
          </w:p>
        </w:tc>
        <w:tc>
          <w:tcPr>
            <w:tcW w:w="0" w:type="auto"/>
            <w:gridSpan w:val="3"/>
            <w:shd w:val="clear" w:color="auto" w:fill="auto"/>
            <w:vAlign w:val="center"/>
          </w:tcPr>
          <w:p w14:paraId="64A8A309" w14:textId="77777777" w:rsidR="008D6614" w:rsidRDefault="008D6614">
            <w:pPr>
              <w:rPr>
                <w:rFonts w:ascii="宋体"/>
                <w:vanish/>
              </w:rPr>
            </w:pPr>
          </w:p>
        </w:tc>
        <w:tc>
          <w:tcPr>
            <w:tcW w:w="0" w:type="auto"/>
            <w:gridSpan w:val="3"/>
            <w:shd w:val="clear" w:color="auto" w:fill="auto"/>
            <w:vAlign w:val="center"/>
          </w:tcPr>
          <w:p w14:paraId="64A8A30A" w14:textId="77777777" w:rsidR="008D6614" w:rsidRDefault="008D6614">
            <w:pPr>
              <w:rPr>
                <w:rFonts w:ascii="宋体"/>
                <w:vanish/>
              </w:rPr>
            </w:pPr>
          </w:p>
        </w:tc>
        <w:tc>
          <w:tcPr>
            <w:tcW w:w="0" w:type="auto"/>
            <w:gridSpan w:val="3"/>
            <w:shd w:val="clear" w:color="auto" w:fill="auto"/>
            <w:vAlign w:val="center"/>
          </w:tcPr>
          <w:p w14:paraId="64A8A30B" w14:textId="77777777" w:rsidR="008D6614" w:rsidRDefault="008D6614">
            <w:pPr>
              <w:rPr>
                <w:rFonts w:ascii="宋体"/>
                <w:vanish/>
              </w:rPr>
            </w:pPr>
          </w:p>
        </w:tc>
        <w:tc>
          <w:tcPr>
            <w:tcW w:w="0" w:type="auto"/>
            <w:gridSpan w:val="3"/>
            <w:shd w:val="clear" w:color="auto" w:fill="auto"/>
            <w:vAlign w:val="center"/>
          </w:tcPr>
          <w:p w14:paraId="64A8A30C" w14:textId="77777777" w:rsidR="008D6614" w:rsidRDefault="008D6614">
            <w:pPr>
              <w:rPr>
                <w:rFonts w:ascii="宋体"/>
                <w:vanish/>
              </w:rPr>
            </w:pPr>
          </w:p>
        </w:tc>
        <w:tc>
          <w:tcPr>
            <w:tcW w:w="0" w:type="auto"/>
            <w:gridSpan w:val="3"/>
            <w:shd w:val="clear" w:color="auto" w:fill="auto"/>
            <w:vAlign w:val="center"/>
          </w:tcPr>
          <w:p w14:paraId="64A8A30D" w14:textId="77777777" w:rsidR="008D6614" w:rsidRDefault="008D6614">
            <w:pPr>
              <w:rPr>
                <w:rFonts w:ascii="宋体"/>
                <w:vanish/>
              </w:rPr>
            </w:pPr>
          </w:p>
        </w:tc>
        <w:tc>
          <w:tcPr>
            <w:tcW w:w="0" w:type="auto"/>
            <w:gridSpan w:val="3"/>
            <w:shd w:val="clear" w:color="auto" w:fill="auto"/>
            <w:vAlign w:val="center"/>
          </w:tcPr>
          <w:p w14:paraId="64A8A30E" w14:textId="77777777" w:rsidR="008D6614" w:rsidRDefault="008D6614">
            <w:pPr>
              <w:rPr>
                <w:rFonts w:ascii="宋体"/>
                <w:vanish/>
              </w:rPr>
            </w:pPr>
          </w:p>
        </w:tc>
        <w:tc>
          <w:tcPr>
            <w:tcW w:w="0" w:type="auto"/>
            <w:gridSpan w:val="3"/>
            <w:shd w:val="clear" w:color="auto" w:fill="auto"/>
            <w:vAlign w:val="center"/>
          </w:tcPr>
          <w:p w14:paraId="64A8A30F" w14:textId="77777777" w:rsidR="008D6614" w:rsidRDefault="008D6614">
            <w:pPr>
              <w:rPr>
                <w:rFonts w:ascii="宋体"/>
                <w:vanish/>
              </w:rPr>
            </w:pPr>
          </w:p>
        </w:tc>
        <w:tc>
          <w:tcPr>
            <w:tcW w:w="0" w:type="auto"/>
            <w:gridSpan w:val="3"/>
            <w:shd w:val="clear" w:color="auto" w:fill="auto"/>
            <w:vAlign w:val="center"/>
          </w:tcPr>
          <w:p w14:paraId="64A8A310" w14:textId="77777777" w:rsidR="008D6614" w:rsidRDefault="008D6614">
            <w:pPr>
              <w:rPr>
                <w:rFonts w:ascii="宋体"/>
                <w:vanish/>
              </w:rPr>
            </w:pPr>
          </w:p>
        </w:tc>
      </w:tr>
      <w:tr w:rsidR="008D6614" w14:paraId="64A8A322" w14:textId="77777777">
        <w:trPr>
          <w:jc w:val="center"/>
        </w:trPr>
        <w:tc>
          <w:tcPr>
            <w:tcW w:w="0" w:type="auto"/>
            <w:gridSpan w:val="3"/>
            <w:shd w:val="clear" w:color="auto" w:fill="E2E2E2"/>
            <w:tcMar>
              <w:top w:w="40" w:type="dxa"/>
              <w:left w:w="135" w:type="dxa"/>
              <w:bottom w:w="40" w:type="dxa"/>
              <w:right w:w="20" w:type="dxa"/>
            </w:tcMar>
            <w:vAlign w:val="bottom"/>
          </w:tcPr>
          <w:p w14:paraId="64A8A312" w14:textId="77777777" w:rsidR="008D6614" w:rsidRDefault="00866AF2">
            <w:pPr>
              <w:textAlignment w:val="bottom"/>
            </w:pPr>
            <w:r>
              <w:rPr>
                <w:rFonts w:ascii="Arial" w:eastAsia="宋体" w:hAnsi="Arial" w:cs="Arial"/>
                <w:color w:val="000000"/>
                <w:sz w:val="16"/>
                <w:szCs w:val="16"/>
              </w:rPr>
              <w:t>Senior notes due 2020</w:t>
            </w:r>
          </w:p>
        </w:tc>
        <w:tc>
          <w:tcPr>
            <w:tcW w:w="0" w:type="auto"/>
            <w:gridSpan w:val="3"/>
            <w:shd w:val="clear" w:color="auto" w:fill="E2E2E2"/>
            <w:tcMar>
              <w:left w:w="20" w:type="dxa"/>
              <w:right w:w="20" w:type="dxa"/>
            </w:tcMar>
            <w:vAlign w:val="bottom"/>
          </w:tcPr>
          <w:p w14:paraId="64A8A31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14" w14:textId="77777777" w:rsidR="008D6614" w:rsidRDefault="00866AF2">
            <w:pPr>
              <w:textAlignment w:val="bottom"/>
            </w:pPr>
            <w:r>
              <w:rPr>
                <w:rFonts w:ascii="Arial" w:eastAsia="宋体" w:hAnsi="Arial" w:cs="Arial"/>
                <w:color w:val="000000"/>
                <w:sz w:val="16"/>
                <w:szCs w:val="16"/>
              </w:rPr>
              <w:t>3.250% </w:t>
            </w:r>
          </w:p>
        </w:tc>
        <w:tc>
          <w:tcPr>
            <w:tcW w:w="0" w:type="auto"/>
            <w:shd w:val="clear" w:color="auto" w:fill="E2E2E2"/>
            <w:tcMar>
              <w:top w:w="40" w:type="dxa"/>
              <w:bottom w:w="40" w:type="dxa"/>
              <w:right w:w="20" w:type="dxa"/>
            </w:tcMar>
            <w:vAlign w:val="bottom"/>
          </w:tcPr>
          <w:p w14:paraId="64A8A31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16"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17" w14:textId="77777777" w:rsidR="008D6614" w:rsidRDefault="00866AF2">
            <w:pPr>
              <w:jc w:val="right"/>
              <w:textAlignment w:val="bottom"/>
            </w:pPr>
            <w:r>
              <w:rPr>
                <w:rFonts w:ascii="Arial" w:eastAsia="宋体" w:hAnsi="Arial" w:cs="Arial"/>
                <w:color w:val="000000"/>
                <w:sz w:val="16"/>
                <w:szCs w:val="16"/>
              </w:rPr>
              <w:t>500 </w:t>
            </w:r>
          </w:p>
        </w:tc>
        <w:tc>
          <w:tcPr>
            <w:tcW w:w="0" w:type="auto"/>
            <w:shd w:val="clear" w:color="auto" w:fill="E2E2E2"/>
            <w:tcMar>
              <w:top w:w="40" w:type="dxa"/>
              <w:bottom w:w="40" w:type="dxa"/>
              <w:right w:w="20" w:type="dxa"/>
            </w:tcMar>
            <w:vAlign w:val="bottom"/>
          </w:tcPr>
          <w:p w14:paraId="64A8A31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1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1A" w14:textId="77777777" w:rsidR="008D6614" w:rsidRDefault="00866AF2">
            <w:pPr>
              <w:jc w:val="right"/>
              <w:textAlignment w:val="bottom"/>
            </w:pPr>
            <w:r>
              <w:rPr>
                <w:rFonts w:ascii="Arial" w:eastAsia="宋体" w:hAnsi="Arial" w:cs="Arial"/>
                <w:color w:val="000000"/>
                <w:sz w:val="16"/>
                <w:szCs w:val="16"/>
              </w:rPr>
              <w:t>3.389 </w:t>
            </w:r>
          </w:p>
        </w:tc>
        <w:tc>
          <w:tcPr>
            <w:tcW w:w="0" w:type="auto"/>
            <w:shd w:val="clear" w:color="auto" w:fill="E2E2E2"/>
            <w:tcMar>
              <w:top w:w="40" w:type="dxa"/>
              <w:bottom w:w="40" w:type="dxa"/>
              <w:right w:w="20" w:type="dxa"/>
            </w:tcMar>
            <w:vAlign w:val="bottom"/>
          </w:tcPr>
          <w:p w14:paraId="64A8A31B"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31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1D" w14:textId="77777777" w:rsidR="008D6614" w:rsidRDefault="00866AF2">
            <w:pPr>
              <w:jc w:val="right"/>
              <w:textAlignment w:val="bottom"/>
            </w:pPr>
            <w:r>
              <w:rPr>
                <w:rFonts w:ascii="Arial" w:eastAsia="宋体" w:hAnsi="Arial" w:cs="Arial"/>
                <w:color w:val="000000"/>
                <w:sz w:val="16"/>
                <w:szCs w:val="16"/>
              </w:rPr>
              <w:t>500 </w:t>
            </w:r>
          </w:p>
        </w:tc>
        <w:tc>
          <w:tcPr>
            <w:tcW w:w="0" w:type="auto"/>
            <w:shd w:val="clear" w:color="auto" w:fill="E2E2E2"/>
            <w:tcMar>
              <w:top w:w="40" w:type="dxa"/>
              <w:bottom w:w="40" w:type="dxa"/>
              <w:right w:w="20" w:type="dxa"/>
            </w:tcMar>
            <w:vAlign w:val="bottom"/>
          </w:tcPr>
          <w:p w14:paraId="64A8A31E"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1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20" w14:textId="77777777" w:rsidR="008D6614" w:rsidRDefault="00866AF2">
            <w:pPr>
              <w:jc w:val="right"/>
              <w:textAlignment w:val="bottom"/>
            </w:pPr>
            <w:r>
              <w:rPr>
                <w:rFonts w:ascii="Arial" w:eastAsia="宋体" w:hAnsi="Arial" w:cs="Arial"/>
                <w:color w:val="000000"/>
                <w:sz w:val="16"/>
                <w:szCs w:val="16"/>
              </w:rPr>
              <w:t>3.389 </w:t>
            </w:r>
          </w:p>
        </w:tc>
        <w:tc>
          <w:tcPr>
            <w:tcW w:w="0" w:type="auto"/>
            <w:shd w:val="clear" w:color="auto" w:fill="E2E2E2"/>
            <w:tcMar>
              <w:top w:w="40" w:type="dxa"/>
              <w:bottom w:w="40" w:type="dxa"/>
              <w:right w:w="20" w:type="dxa"/>
            </w:tcMar>
            <w:vAlign w:val="bottom"/>
          </w:tcPr>
          <w:p w14:paraId="64A8A321" w14:textId="77777777" w:rsidR="008D6614" w:rsidRDefault="00866AF2">
            <w:pPr>
              <w:jc w:val="right"/>
              <w:textAlignment w:val="bottom"/>
            </w:pPr>
            <w:r>
              <w:rPr>
                <w:rFonts w:ascii="Arial" w:eastAsia="宋体" w:hAnsi="Arial" w:cs="Arial"/>
                <w:color w:val="000000"/>
                <w:sz w:val="16"/>
                <w:szCs w:val="16"/>
              </w:rPr>
              <w:t>%</w:t>
            </w:r>
          </w:p>
        </w:tc>
      </w:tr>
      <w:tr w:rsidR="008D6614" w14:paraId="64A8A333" w14:textId="77777777">
        <w:trPr>
          <w:jc w:val="center"/>
        </w:trPr>
        <w:tc>
          <w:tcPr>
            <w:tcW w:w="0" w:type="auto"/>
            <w:gridSpan w:val="3"/>
            <w:shd w:val="clear" w:color="auto" w:fill="FFFFFF"/>
            <w:tcMar>
              <w:top w:w="40" w:type="dxa"/>
              <w:left w:w="135" w:type="dxa"/>
              <w:bottom w:w="40" w:type="dxa"/>
              <w:right w:w="20" w:type="dxa"/>
            </w:tcMar>
            <w:vAlign w:val="bottom"/>
          </w:tcPr>
          <w:p w14:paraId="64A8A323" w14:textId="77777777" w:rsidR="008D6614" w:rsidRDefault="00866AF2">
            <w:pPr>
              <w:textAlignment w:val="bottom"/>
            </w:pPr>
            <w:r>
              <w:rPr>
                <w:rFonts w:ascii="Arial" w:eastAsia="宋体" w:hAnsi="Arial" w:cs="Arial"/>
                <w:color w:val="000000"/>
                <w:sz w:val="16"/>
                <w:szCs w:val="16"/>
              </w:rPr>
              <w:t>Senior notes due 2020</w:t>
            </w:r>
          </w:p>
        </w:tc>
        <w:tc>
          <w:tcPr>
            <w:tcW w:w="0" w:type="auto"/>
            <w:gridSpan w:val="3"/>
            <w:shd w:val="clear" w:color="auto" w:fill="FFFFFF"/>
            <w:tcMar>
              <w:left w:w="20" w:type="dxa"/>
              <w:right w:w="20" w:type="dxa"/>
            </w:tcMar>
            <w:vAlign w:val="bottom"/>
          </w:tcPr>
          <w:p w14:paraId="64A8A32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25" w14:textId="77777777" w:rsidR="008D6614" w:rsidRDefault="00866AF2">
            <w:pPr>
              <w:textAlignment w:val="bottom"/>
            </w:pPr>
            <w:r>
              <w:rPr>
                <w:rFonts w:ascii="Arial" w:eastAsia="宋体" w:hAnsi="Arial" w:cs="Arial"/>
                <w:color w:val="000000"/>
                <w:sz w:val="16"/>
                <w:szCs w:val="16"/>
              </w:rPr>
              <w:t>2.150% </w:t>
            </w:r>
          </w:p>
        </w:tc>
        <w:tc>
          <w:tcPr>
            <w:tcW w:w="0" w:type="auto"/>
            <w:shd w:val="clear" w:color="auto" w:fill="FFFFFF"/>
            <w:tcMar>
              <w:top w:w="40" w:type="dxa"/>
              <w:bottom w:w="40" w:type="dxa"/>
              <w:right w:w="20" w:type="dxa"/>
            </w:tcMar>
            <w:vAlign w:val="bottom"/>
          </w:tcPr>
          <w:p w14:paraId="64A8A32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2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28" w14:textId="77777777" w:rsidR="008D6614" w:rsidRDefault="00866AF2">
            <w:pPr>
              <w:jc w:val="right"/>
              <w:textAlignment w:val="bottom"/>
            </w:pPr>
            <w:r>
              <w:rPr>
                <w:rFonts w:ascii="Arial" w:eastAsia="宋体" w:hAnsi="Arial" w:cs="Arial"/>
                <w:color w:val="000000"/>
                <w:sz w:val="16"/>
                <w:szCs w:val="16"/>
              </w:rPr>
              <w:t>500 </w:t>
            </w:r>
          </w:p>
        </w:tc>
        <w:tc>
          <w:tcPr>
            <w:tcW w:w="0" w:type="auto"/>
            <w:shd w:val="clear" w:color="auto" w:fill="FFFFFF"/>
            <w:tcMar>
              <w:top w:w="40" w:type="dxa"/>
              <w:bottom w:w="40" w:type="dxa"/>
              <w:right w:w="20" w:type="dxa"/>
            </w:tcMar>
            <w:vAlign w:val="bottom"/>
          </w:tcPr>
          <w:p w14:paraId="64A8A32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2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2B" w14:textId="77777777" w:rsidR="008D6614" w:rsidRDefault="00866AF2">
            <w:pPr>
              <w:jc w:val="right"/>
              <w:textAlignment w:val="bottom"/>
            </w:pPr>
            <w:r>
              <w:rPr>
                <w:rFonts w:ascii="Arial" w:eastAsia="宋体" w:hAnsi="Arial" w:cs="Arial"/>
                <w:color w:val="000000"/>
                <w:sz w:val="16"/>
                <w:szCs w:val="16"/>
              </w:rPr>
              <w:t>2.344 </w:t>
            </w:r>
          </w:p>
        </w:tc>
        <w:tc>
          <w:tcPr>
            <w:tcW w:w="0" w:type="auto"/>
            <w:shd w:val="clear" w:color="auto" w:fill="FFFFFF"/>
            <w:tcMar>
              <w:top w:w="40" w:type="dxa"/>
              <w:bottom w:w="40" w:type="dxa"/>
              <w:right w:w="20" w:type="dxa"/>
            </w:tcMar>
            <w:vAlign w:val="bottom"/>
          </w:tcPr>
          <w:p w14:paraId="64A8A32C"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A32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2E" w14:textId="77777777" w:rsidR="008D6614" w:rsidRDefault="00866AF2">
            <w:pPr>
              <w:jc w:val="right"/>
              <w:textAlignment w:val="bottom"/>
            </w:pPr>
            <w:r>
              <w:rPr>
                <w:rFonts w:ascii="Arial" w:eastAsia="宋体" w:hAnsi="Arial" w:cs="Arial"/>
                <w:color w:val="000000"/>
                <w:sz w:val="16"/>
                <w:szCs w:val="16"/>
              </w:rPr>
              <w:t>500 </w:t>
            </w:r>
          </w:p>
        </w:tc>
        <w:tc>
          <w:tcPr>
            <w:tcW w:w="0" w:type="auto"/>
            <w:shd w:val="clear" w:color="auto" w:fill="FFFFFF"/>
            <w:tcMar>
              <w:top w:w="40" w:type="dxa"/>
              <w:bottom w:w="40" w:type="dxa"/>
              <w:right w:w="20" w:type="dxa"/>
            </w:tcMar>
            <w:vAlign w:val="bottom"/>
          </w:tcPr>
          <w:p w14:paraId="64A8A32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3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31" w14:textId="77777777" w:rsidR="008D6614" w:rsidRDefault="00866AF2">
            <w:pPr>
              <w:jc w:val="right"/>
              <w:textAlignment w:val="bottom"/>
            </w:pPr>
            <w:r>
              <w:rPr>
                <w:rFonts w:ascii="Arial" w:eastAsia="宋体" w:hAnsi="Arial" w:cs="Arial"/>
                <w:color w:val="000000"/>
                <w:sz w:val="16"/>
                <w:szCs w:val="16"/>
              </w:rPr>
              <w:t>2.344 </w:t>
            </w:r>
          </w:p>
        </w:tc>
        <w:tc>
          <w:tcPr>
            <w:tcW w:w="0" w:type="auto"/>
            <w:shd w:val="clear" w:color="auto" w:fill="FFFFFF"/>
            <w:tcMar>
              <w:top w:w="40" w:type="dxa"/>
              <w:bottom w:w="40" w:type="dxa"/>
              <w:right w:w="20" w:type="dxa"/>
            </w:tcMar>
            <w:vAlign w:val="bottom"/>
          </w:tcPr>
          <w:p w14:paraId="64A8A332" w14:textId="77777777" w:rsidR="008D6614" w:rsidRDefault="00866AF2">
            <w:pPr>
              <w:jc w:val="right"/>
              <w:textAlignment w:val="bottom"/>
            </w:pPr>
            <w:r>
              <w:rPr>
                <w:rFonts w:ascii="Arial" w:eastAsia="宋体" w:hAnsi="Arial" w:cs="Arial"/>
                <w:color w:val="000000"/>
                <w:sz w:val="16"/>
                <w:szCs w:val="16"/>
              </w:rPr>
              <w:t>%</w:t>
            </w:r>
          </w:p>
        </w:tc>
      </w:tr>
      <w:tr w:rsidR="008D6614" w14:paraId="64A8A344" w14:textId="77777777">
        <w:trPr>
          <w:jc w:val="center"/>
        </w:trPr>
        <w:tc>
          <w:tcPr>
            <w:tcW w:w="0" w:type="auto"/>
            <w:gridSpan w:val="3"/>
            <w:shd w:val="clear" w:color="auto" w:fill="E2E2E2"/>
            <w:tcMar>
              <w:top w:w="40" w:type="dxa"/>
              <w:left w:w="135" w:type="dxa"/>
              <w:bottom w:w="40" w:type="dxa"/>
              <w:right w:w="20" w:type="dxa"/>
            </w:tcMar>
            <w:vAlign w:val="bottom"/>
          </w:tcPr>
          <w:p w14:paraId="64A8A334" w14:textId="77777777" w:rsidR="008D6614" w:rsidRDefault="00866AF2">
            <w:pPr>
              <w:textAlignment w:val="bottom"/>
            </w:pPr>
            <w:r>
              <w:rPr>
                <w:rFonts w:ascii="Arial" w:eastAsia="宋体" w:hAnsi="Arial" w:cs="Arial"/>
                <w:color w:val="000000"/>
                <w:sz w:val="16"/>
                <w:szCs w:val="16"/>
              </w:rPr>
              <w:t>Senior notes due 2021</w:t>
            </w:r>
          </w:p>
        </w:tc>
        <w:tc>
          <w:tcPr>
            <w:tcW w:w="0" w:type="auto"/>
            <w:gridSpan w:val="3"/>
            <w:shd w:val="clear" w:color="auto" w:fill="E2E2E2"/>
            <w:tcMar>
              <w:left w:w="20" w:type="dxa"/>
              <w:right w:w="20" w:type="dxa"/>
            </w:tcMar>
            <w:vAlign w:val="bottom"/>
          </w:tcPr>
          <w:p w14:paraId="64A8A33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36" w14:textId="77777777" w:rsidR="008D6614" w:rsidRDefault="00866AF2">
            <w:pPr>
              <w:textAlignment w:val="bottom"/>
            </w:pPr>
            <w:r>
              <w:rPr>
                <w:rFonts w:ascii="Arial" w:eastAsia="宋体" w:hAnsi="Arial" w:cs="Arial"/>
                <w:color w:val="000000"/>
                <w:sz w:val="16"/>
                <w:szCs w:val="16"/>
              </w:rPr>
              <w:t>2.875% </w:t>
            </w:r>
          </w:p>
        </w:tc>
        <w:tc>
          <w:tcPr>
            <w:tcW w:w="0" w:type="auto"/>
            <w:shd w:val="clear" w:color="auto" w:fill="E2E2E2"/>
            <w:tcMar>
              <w:top w:w="40" w:type="dxa"/>
              <w:bottom w:w="40" w:type="dxa"/>
              <w:right w:w="20" w:type="dxa"/>
            </w:tcMar>
            <w:vAlign w:val="bottom"/>
          </w:tcPr>
          <w:p w14:paraId="64A8A337"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38"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39"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64A8A33A"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3B"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3C" w14:textId="77777777" w:rsidR="008D6614" w:rsidRDefault="00866AF2">
            <w:pPr>
              <w:jc w:val="right"/>
              <w:textAlignment w:val="bottom"/>
            </w:pPr>
            <w:r>
              <w:rPr>
                <w:rFonts w:ascii="Arial" w:eastAsia="宋体" w:hAnsi="Arial" w:cs="Arial"/>
                <w:color w:val="000000"/>
                <w:sz w:val="16"/>
                <w:szCs w:val="16"/>
              </w:rPr>
              <w:t>2.993 </w:t>
            </w:r>
          </w:p>
        </w:tc>
        <w:tc>
          <w:tcPr>
            <w:tcW w:w="0" w:type="auto"/>
            <w:shd w:val="clear" w:color="auto" w:fill="E2E2E2"/>
            <w:tcMar>
              <w:top w:w="40" w:type="dxa"/>
              <w:bottom w:w="40" w:type="dxa"/>
              <w:right w:w="20" w:type="dxa"/>
            </w:tcMar>
            <w:vAlign w:val="bottom"/>
          </w:tcPr>
          <w:p w14:paraId="64A8A33D"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33E"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3F"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64A8A34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41"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42" w14:textId="77777777" w:rsidR="008D6614" w:rsidRDefault="00866AF2">
            <w:pPr>
              <w:jc w:val="right"/>
              <w:textAlignment w:val="bottom"/>
            </w:pPr>
            <w:r>
              <w:rPr>
                <w:rFonts w:ascii="Arial" w:eastAsia="宋体" w:hAnsi="Arial" w:cs="Arial"/>
                <w:color w:val="000000"/>
                <w:sz w:val="16"/>
                <w:szCs w:val="16"/>
              </w:rPr>
              <w:t>2.993 </w:t>
            </w:r>
          </w:p>
        </w:tc>
        <w:tc>
          <w:tcPr>
            <w:tcW w:w="0" w:type="auto"/>
            <w:shd w:val="clear" w:color="auto" w:fill="E2E2E2"/>
            <w:tcMar>
              <w:top w:w="40" w:type="dxa"/>
              <w:bottom w:w="40" w:type="dxa"/>
              <w:right w:w="20" w:type="dxa"/>
            </w:tcMar>
            <w:vAlign w:val="bottom"/>
          </w:tcPr>
          <w:p w14:paraId="64A8A343" w14:textId="77777777" w:rsidR="008D6614" w:rsidRDefault="00866AF2">
            <w:pPr>
              <w:jc w:val="right"/>
              <w:textAlignment w:val="bottom"/>
            </w:pPr>
            <w:r>
              <w:rPr>
                <w:rFonts w:ascii="Arial" w:eastAsia="宋体" w:hAnsi="Arial" w:cs="Arial"/>
                <w:color w:val="000000"/>
                <w:sz w:val="16"/>
                <w:szCs w:val="16"/>
              </w:rPr>
              <w:t>%</w:t>
            </w:r>
          </w:p>
        </w:tc>
      </w:tr>
      <w:tr w:rsidR="008D6614" w14:paraId="64A8A355" w14:textId="77777777">
        <w:trPr>
          <w:jc w:val="center"/>
        </w:trPr>
        <w:tc>
          <w:tcPr>
            <w:tcW w:w="0" w:type="auto"/>
            <w:gridSpan w:val="3"/>
            <w:shd w:val="clear" w:color="auto" w:fill="FFFFFF"/>
            <w:tcMar>
              <w:top w:w="40" w:type="dxa"/>
              <w:left w:w="135" w:type="dxa"/>
              <w:bottom w:w="40" w:type="dxa"/>
              <w:right w:w="20" w:type="dxa"/>
            </w:tcMar>
            <w:vAlign w:val="bottom"/>
          </w:tcPr>
          <w:p w14:paraId="64A8A345" w14:textId="77777777" w:rsidR="008D6614" w:rsidRDefault="00866AF2">
            <w:pPr>
              <w:textAlignment w:val="bottom"/>
            </w:pPr>
            <w:r>
              <w:rPr>
                <w:rFonts w:ascii="Arial" w:eastAsia="宋体" w:hAnsi="Arial" w:cs="Arial"/>
                <w:color w:val="000000"/>
                <w:sz w:val="16"/>
                <w:szCs w:val="16"/>
              </w:rPr>
              <w:t>Senior notes due 2022</w:t>
            </w:r>
          </w:p>
        </w:tc>
        <w:tc>
          <w:tcPr>
            <w:tcW w:w="0" w:type="auto"/>
            <w:gridSpan w:val="3"/>
            <w:shd w:val="clear" w:color="auto" w:fill="FFFFFF"/>
            <w:tcMar>
              <w:left w:w="20" w:type="dxa"/>
              <w:right w:w="20" w:type="dxa"/>
            </w:tcMar>
            <w:vAlign w:val="bottom"/>
          </w:tcPr>
          <w:p w14:paraId="64A8A34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47" w14:textId="77777777" w:rsidR="008D6614" w:rsidRDefault="00866AF2">
            <w:pPr>
              <w:textAlignment w:val="bottom"/>
            </w:pPr>
            <w:r>
              <w:rPr>
                <w:rFonts w:ascii="Arial" w:eastAsia="宋体" w:hAnsi="Arial" w:cs="Arial"/>
                <w:color w:val="000000"/>
                <w:sz w:val="16"/>
                <w:szCs w:val="16"/>
              </w:rPr>
              <w:t>3.800% </w:t>
            </w:r>
          </w:p>
        </w:tc>
        <w:tc>
          <w:tcPr>
            <w:tcW w:w="0" w:type="auto"/>
            <w:shd w:val="clear" w:color="auto" w:fill="FFFFFF"/>
            <w:tcMar>
              <w:top w:w="40" w:type="dxa"/>
              <w:bottom w:w="40" w:type="dxa"/>
              <w:right w:w="20" w:type="dxa"/>
            </w:tcMar>
            <w:vAlign w:val="bottom"/>
          </w:tcPr>
          <w:p w14:paraId="64A8A34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4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4A"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64A8A34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4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4D" w14:textId="77777777" w:rsidR="008D6614" w:rsidRDefault="00866AF2">
            <w:pPr>
              <w:jc w:val="right"/>
              <w:textAlignment w:val="bottom"/>
            </w:pPr>
            <w:r>
              <w:rPr>
                <w:rFonts w:ascii="Arial" w:eastAsia="宋体" w:hAnsi="Arial" w:cs="Arial"/>
                <w:color w:val="000000"/>
                <w:sz w:val="16"/>
                <w:szCs w:val="16"/>
              </w:rPr>
              <w:t>3.989 </w:t>
            </w:r>
          </w:p>
        </w:tc>
        <w:tc>
          <w:tcPr>
            <w:tcW w:w="0" w:type="auto"/>
            <w:shd w:val="clear" w:color="auto" w:fill="FFFFFF"/>
            <w:tcMar>
              <w:top w:w="40" w:type="dxa"/>
              <w:bottom w:w="40" w:type="dxa"/>
              <w:right w:w="20" w:type="dxa"/>
            </w:tcMar>
            <w:vAlign w:val="bottom"/>
          </w:tcPr>
          <w:p w14:paraId="64A8A34E"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A34F"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50"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64A8A35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52"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53" w14:textId="77777777" w:rsidR="008D6614" w:rsidRDefault="00866AF2">
            <w:pPr>
              <w:jc w:val="right"/>
              <w:textAlignment w:val="bottom"/>
            </w:pPr>
            <w:r>
              <w:rPr>
                <w:rFonts w:ascii="Arial" w:eastAsia="宋体" w:hAnsi="Arial" w:cs="Arial"/>
                <w:color w:val="000000"/>
                <w:sz w:val="16"/>
                <w:szCs w:val="16"/>
              </w:rPr>
              <w:t>3.989 </w:t>
            </w:r>
          </w:p>
        </w:tc>
        <w:tc>
          <w:tcPr>
            <w:tcW w:w="0" w:type="auto"/>
            <w:shd w:val="clear" w:color="auto" w:fill="FFFFFF"/>
            <w:tcMar>
              <w:top w:w="40" w:type="dxa"/>
              <w:bottom w:w="40" w:type="dxa"/>
              <w:right w:w="20" w:type="dxa"/>
            </w:tcMar>
            <w:vAlign w:val="bottom"/>
          </w:tcPr>
          <w:p w14:paraId="64A8A354" w14:textId="77777777" w:rsidR="008D6614" w:rsidRDefault="00866AF2">
            <w:pPr>
              <w:jc w:val="right"/>
              <w:textAlignment w:val="bottom"/>
            </w:pPr>
            <w:r>
              <w:rPr>
                <w:rFonts w:ascii="Arial" w:eastAsia="宋体" w:hAnsi="Arial" w:cs="Arial"/>
                <w:color w:val="000000"/>
                <w:sz w:val="16"/>
                <w:szCs w:val="16"/>
              </w:rPr>
              <w:t>%</w:t>
            </w:r>
          </w:p>
        </w:tc>
      </w:tr>
      <w:tr w:rsidR="008D6614" w14:paraId="64A8A366" w14:textId="77777777">
        <w:trPr>
          <w:jc w:val="center"/>
        </w:trPr>
        <w:tc>
          <w:tcPr>
            <w:tcW w:w="0" w:type="auto"/>
            <w:gridSpan w:val="3"/>
            <w:shd w:val="clear" w:color="auto" w:fill="E2E2E2"/>
            <w:tcMar>
              <w:top w:w="40" w:type="dxa"/>
              <w:left w:w="135" w:type="dxa"/>
              <w:bottom w:w="40" w:type="dxa"/>
              <w:right w:w="20" w:type="dxa"/>
            </w:tcMar>
            <w:vAlign w:val="bottom"/>
          </w:tcPr>
          <w:p w14:paraId="64A8A356" w14:textId="77777777" w:rsidR="008D6614" w:rsidRDefault="00866AF2">
            <w:pPr>
              <w:textAlignment w:val="bottom"/>
            </w:pPr>
            <w:r>
              <w:rPr>
                <w:rFonts w:ascii="Arial" w:eastAsia="宋体" w:hAnsi="Arial" w:cs="Arial"/>
                <w:color w:val="000000"/>
                <w:sz w:val="16"/>
                <w:szCs w:val="16"/>
              </w:rPr>
              <w:t>Senior notes due 2022</w:t>
            </w:r>
          </w:p>
        </w:tc>
        <w:tc>
          <w:tcPr>
            <w:tcW w:w="0" w:type="auto"/>
            <w:gridSpan w:val="3"/>
            <w:shd w:val="clear" w:color="auto" w:fill="E2E2E2"/>
            <w:tcMar>
              <w:left w:w="20" w:type="dxa"/>
              <w:right w:w="20" w:type="dxa"/>
            </w:tcMar>
            <w:vAlign w:val="bottom"/>
          </w:tcPr>
          <w:p w14:paraId="64A8A35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58" w14:textId="77777777" w:rsidR="008D6614" w:rsidRDefault="00866AF2">
            <w:pPr>
              <w:textAlignment w:val="bottom"/>
            </w:pPr>
            <w:r>
              <w:rPr>
                <w:rFonts w:ascii="Arial" w:eastAsia="宋体" w:hAnsi="Arial" w:cs="Arial"/>
                <w:color w:val="000000"/>
                <w:sz w:val="16"/>
                <w:szCs w:val="16"/>
              </w:rPr>
              <w:t>2.600% </w:t>
            </w:r>
          </w:p>
        </w:tc>
        <w:tc>
          <w:tcPr>
            <w:tcW w:w="0" w:type="auto"/>
            <w:shd w:val="clear" w:color="auto" w:fill="E2E2E2"/>
            <w:tcMar>
              <w:top w:w="40" w:type="dxa"/>
              <w:bottom w:w="40" w:type="dxa"/>
              <w:right w:w="20" w:type="dxa"/>
            </w:tcMar>
            <w:vAlign w:val="bottom"/>
          </w:tcPr>
          <w:p w14:paraId="64A8A35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5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5B" w14:textId="77777777" w:rsidR="008D6614" w:rsidRDefault="00866AF2">
            <w:pPr>
              <w:jc w:val="right"/>
              <w:textAlignment w:val="bottom"/>
            </w:pPr>
            <w:r>
              <w:rPr>
                <w:rFonts w:ascii="Arial" w:eastAsia="宋体" w:hAnsi="Arial" w:cs="Arial"/>
                <w:color w:val="000000"/>
                <w:sz w:val="16"/>
                <w:szCs w:val="16"/>
              </w:rPr>
              <w:t>1,000 </w:t>
            </w:r>
          </w:p>
        </w:tc>
        <w:tc>
          <w:tcPr>
            <w:tcW w:w="0" w:type="auto"/>
            <w:shd w:val="clear" w:color="auto" w:fill="E2E2E2"/>
            <w:tcMar>
              <w:top w:w="40" w:type="dxa"/>
              <w:bottom w:w="40" w:type="dxa"/>
              <w:right w:w="20" w:type="dxa"/>
            </w:tcMar>
            <w:vAlign w:val="bottom"/>
          </w:tcPr>
          <w:p w14:paraId="64A8A35C"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5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5E" w14:textId="77777777" w:rsidR="008D6614" w:rsidRDefault="00866AF2">
            <w:pPr>
              <w:jc w:val="right"/>
              <w:textAlignment w:val="bottom"/>
            </w:pPr>
            <w:r>
              <w:rPr>
                <w:rFonts w:ascii="Arial" w:eastAsia="宋体" w:hAnsi="Arial" w:cs="Arial"/>
                <w:color w:val="000000"/>
                <w:sz w:val="16"/>
                <w:szCs w:val="16"/>
              </w:rPr>
              <w:t>2.678 </w:t>
            </w:r>
          </w:p>
        </w:tc>
        <w:tc>
          <w:tcPr>
            <w:tcW w:w="0" w:type="auto"/>
            <w:shd w:val="clear" w:color="auto" w:fill="E2E2E2"/>
            <w:tcMar>
              <w:top w:w="40" w:type="dxa"/>
              <w:bottom w:w="40" w:type="dxa"/>
              <w:right w:w="20" w:type="dxa"/>
            </w:tcMar>
            <w:vAlign w:val="bottom"/>
          </w:tcPr>
          <w:p w14:paraId="64A8A35F"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36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61" w14:textId="77777777" w:rsidR="008D6614" w:rsidRDefault="00866AF2">
            <w:pPr>
              <w:jc w:val="right"/>
              <w:textAlignment w:val="bottom"/>
            </w:pPr>
            <w:r>
              <w:rPr>
                <w:rFonts w:ascii="Arial" w:eastAsia="宋体" w:hAnsi="Arial" w:cs="Arial"/>
                <w:color w:val="000000"/>
                <w:sz w:val="16"/>
                <w:szCs w:val="16"/>
              </w:rPr>
              <w:t>1,000 </w:t>
            </w:r>
          </w:p>
        </w:tc>
        <w:tc>
          <w:tcPr>
            <w:tcW w:w="0" w:type="auto"/>
            <w:shd w:val="clear" w:color="auto" w:fill="E2E2E2"/>
            <w:tcMar>
              <w:top w:w="40" w:type="dxa"/>
              <w:bottom w:w="40" w:type="dxa"/>
              <w:right w:w="20" w:type="dxa"/>
            </w:tcMar>
            <w:vAlign w:val="bottom"/>
          </w:tcPr>
          <w:p w14:paraId="64A8A362"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6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64" w14:textId="77777777" w:rsidR="008D6614" w:rsidRDefault="00866AF2">
            <w:pPr>
              <w:jc w:val="right"/>
              <w:textAlignment w:val="bottom"/>
            </w:pPr>
            <w:r>
              <w:rPr>
                <w:rFonts w:ascii="Arial" w:eastAsia="宋体" w:hAnsi="Arial" w:cs="Arial"/>
                <w:color w:val="000000"/>
                <w:sz w:val="16"/>
                <w:szCs w:val="16"/>
              </w:rPr>
              <w:t>2.678 </w:t>
            </w:r>
          </w:p>
        </w:tc>
        <w:tc>
          <w:tcPr>
            <w:tcW w:w="0" w:type="auto"/>
            <w:shd w:val="clear" w:color="auto" w:fill="E2E2E2"/>
            <w:tcMar>
              <w:top w:w="40" w:type="dxa"/>
              <w:bottom w:w="40" w:type="dxa"/>
              <w:right w:w="20" w:type="dxa"/>
            </w:tcMar>
            <w:vAlign w:val="bottom"/>
          </w:tcPr>
          <w:p w14:paraId="64A8A365" w14:textId="77777777" w:rsidR="008D6614" w:rsidRDefault="00866AF2">
            <w:pPr>
              <w:jc w:val="right"/>
              <w:textAlignment w:val="bottom"/>
            </w:pPr>
            <w:r>
              <w:rPr>
                <w:rFonts w:ascii="Arial" w:eastAsia="宋体" w:hAnsi="Arial" w:cs="Arial"/>
                <w:color w:val="000000"/>
                <w:sz w:val="16"/>
                <w:szCs w:val="16"/>
              </w:rPr>
              <w:t>%</w:t>
            </w:r>
          </w:p>
        </w:tc>
      </w:tr>
      <w:tr w:rsidR="008D6614" w14:paraId="64A8A377" w14:textId="77777777">
        <w:trPr>
          <w:jc w:val="center"/>
        </w:trPr>
        <w:tc>
          <w:tcPr>
            <w:tcW w:w="0" w:type="auto"/>
            <w:gridSpan w:val="3"/>
            <w:shd w:val="clear" w:color="auto" w:fill="FFFFFF"/>
            <w:tcMar>
              <w:top w:w="40" w:type="dxa"/>
              <w:left w:w="135" w:type="dxa"/>
              <w:bottom w:w="40" w:type="dxa"/>
              <w:right w:w="20" w:type="dxa"/>
            </w:tcMar>
            <w:vAlign w:val="bottom"/>
          </w:tcPr>
          <w:p w14:paraId="64A8A367" w14:textId="77777777" w:rsidR="008D6614" w:rsidRDefault="00866AF2">
            <w:pPr>
              <w:textAlignment w:val="bottom"/>
            </w:pPr>
            <w:r>
              <w:rPr>
                <w:rFonts w:ascii="Arial" w:eastAsia="宋体" w:hAnsi="Arial" w:cs="Arial"/>
                <w:color w:val="000000"/>
                <w:sz w:val="16"/>
                <w:szCs w:val="16"/>
              </w:rPr>
              <w:t>Senior notes due 2023</w:t>
            </w:r>
          </w:p>
        </w:tc>
        <w:tc>
          <w:tcPr>
            <w:tcW w:w="0" w:type="auto"/>
            <w:gridSpan w:val="3"/>
            <w:shd w:val="clear" w:color="auto" w:fill="FFFFFF"/>
            <w:tcMar>
              <w:left w:w="20" w:type="dxa"/>
              <w:right w:w="20" w:type="dxa"/>
            </w:tcMar>
            <w:vAlign w:val="bottom"/>
          </w:tcPr>
          <w:p w14:paraId="64A8A36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69" w14:textId="77777777" w:rsidR="008D6614" w:rsidRDefault="00866AF2">
            <w:pPr>
              <w:textAlignment w:val="bottom"/>
            </w:pPr>
            <w:r>
              <w:rPr>
                <w:rFonts w:ascii="Arial" w:eastAsia="宋体" w:hAnsi="Arial" w:cs="Arial"/>
                <w:color w:val="000000"/>
                <w:sz w:val="16"/>
                <w:szCs w:val="16"/>
              </w:rPr>
              <w:t>2.750% </w:t>
            </w:r>
          </w:p>
        </w:tc>
        <w:tc>
          <w:tcPr>
            <w:tcW w:w="0" w:type="auto"/>
            <w:shd w:val="clear" w:color="auto" w:fill="FFFFFF"/>
            <w:tcMar>
              <w:top w:w="40" w:type="dxa"/>
              <w:bottom w:w="40" w:type="dxa"/>
              <w:right w:w="20" w:type="dxa"/>
            </w:tcMar>
            <w:vAlign w:val="bottom"/>
          </w:tcPr>
          <w:p w14:paraId="64A8A36A"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6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6C"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64A8A36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6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6F" w14:textId="77777777" w:rsidR="008D6614" w:rsidRDefault="00866AF2">
            <w:pPr>
              <w:jc w:val="right"/>
              <w:textAlignment w:val="bottom"/>
            </w:pPr>
            <w:r>
              <w:rPr>
                <w:rFonts w:ascii="Arial" w:eastAsia="宋体" w:hAnsi="Arial" w:cs="Arial"/>
                <w:color w:val="000000"/>
                <w:sz w:val="16"/>
                <w:szCs w:val="16"/>
              </w:rPr>
              <w:t>2.866 </w:t>
            </w:r>
          </w:p>
        </w:tc>
        <w:tc>
          <w:tcPr>
            <w:tcW w:w="0" w:type="auto"/>
            <w:shd w:val="clear" w:color="auto" w:fill="FFFFFF"/>
            <w:tcMar>
              <w:top w:w="40" w:type="dxa"/>
              <w:bottom w:w="40" w:type="dxa"/>
              <w:right w:w="20" w:type="dxa"/>
            </w:tcMar>
            <w:vAlign w:val="bottom"/>
          </w:tcPr>
          <w:p w14:paraId="64A8A370"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A37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72"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64A8A37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7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75" w14:textId="77777777" w:rsidR="008D6614" w:rsidRDefault="00866AF2">
            <w:pPr>
              <w:jc w:val="right"/>
              <w:textAlignment w:val="bottom"/>
            </w:pPr>
            <w:r>
              <w:rPr>
                <w:rFonts w:ascii="Arial" w:eastAsia="宋体" w:hAnsi="Arial" w:cs="Arial"/>
                <w:color w:val="000000"/>
                <w:sz w:val="16"/>
                <w:szCs w:val="16"/>
              </w:rPr>
              <w:t>2.866 </w:t>
            </w:r>
          </w:p>
        </w:tc>
        <w:tc>
          <w:tcPr>
            <w:tcW w:w="0" w:type="auto"/>
            <w:shd w:val="clear" w:color="auto" w:fill="FFFFFF"/>
            <w:tcMar>
              <w:top w:w="40" w:type="dxa"/>
              <w:bottom w:w="40" w:type="dxa"/>
              <w:right w:w="20" w:type="dxa"/>
            </w:tcMar>
            <w:vAlign w:val="bottom"/>
          </w:tcPr>
          <w:p w14:paraId="64A8A376" w14:textId="77777777" w:rsidR="008D6614" w:rsidRDefault="00866AF2">
            <w:pPr>
              <w:jc w:val="right"/>
              <w:textAlignment w:val="bottom"/>
            </w:pPr>
            <w:r>
              <w:rPr>
                <w:rFonts w:ascii="Arial" w:eastAsia="宋体" w:hAnsi="Arial" w:cs="Arial"/>
                <w:color w:val="000000"/>
                <w:sz w:val="16"/>
                <w:szCs w:val="16"/>
              </w:rPr>
              <w:t>%</w:t>
            </w:r>
          </w:p>
        </w:tc>
      </w:tr>
      <w:tr w:rsidR="008D6614" w14:paraId="64A8A388" w14:textId="77777777">
        <w:trPr>
          <w:jc w:val="center"/>
        </w:trPr>
        <w:tc>
          <w:tcPr>
            <w:tcW w:w="0" w:type="auto"/>
            <w:gridSpan w:val="3"/>
            <w:shd w:val="clear" w:color="auto" w:fill="E2E2E2"/>
            <w:tcMar>
              <w:top w:w="40" w:type="dxa"/>
              <w:left w:w="135" w:type="dxa"/>
              <w:bottom w:w="40" w:type="dxa"/>
              <w:right w:w="20" w:type="dxa"/>
            </w:tcMar>
            <w:vAlign w:val="bottom"/>
          </w:tcPr>
          <w:p w14:paraId="64A8A378" w14:textId="77777777" w:rsidR="008D6614" w:rsidRDefault="00866AF2">
            <w:pPr>
              <w:textAlignment w:val="bottom"/>
            </w:pPr>
            <w:r>
              <w:rPr>
                <w:rFonts w:ascii="Arial" w:eastAsia="宋体" w:hAnsi="Arial" w:cs="Arial"/>
                <w:color w:val="000000"/>
                <w:sz w:val="16"/>
                <w:szCs w:val="16"/>
              </w:rPr>
              <w:t>Senior notes due 2024</w:t>
            </w:r>
          </w:p>
        </w:tc>
        <w:tc>
          <w:tcPr>
            <w:tcW w:w="0" w:type="auto"/>
            <w:gridSpan w:val="3"/>
            <w:shd w:val="clear" w:color="auto" w:fill="E2E2E2"/>
            <w:tcMar>
              <w:left w:w="20" w:type="dxa"/>
              <w:right w:w="20" w:type="dxa"/>
            </w:tcMar>
            <w:vAlign w:val="bottom"/>
          </w:tcPr>
          <w:p w14:paraId="64A8A37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7A" w14:textId="77777777" w:rsidR="008D6614" w:rsidRDefault="00866AF2">
            <w:pPr>
              <w:textAlignment w:val="bottom"/>
            </w:pPr>
            <w:r>
              <w:rPr>
                <w:rFonts w:ascii="Arial" w:eastAsia="宋体" w:hAnsi="Arial" w:cs="Arial"/>
                <w:color w:val="000000"/>
                <w:sz w:val="16"/>
                <w:szCs w:val="16"/>
              </w:rPr>
              <w:t>3.450% </w:t>
            </w:r>
          </w:p>
        </w:tc>
        <w:tc>
          <w:tcPr>
            <w:tcW w:w="0" w:type="auto"/>
            <w:shd w:val="clear" w:color="auto" w:fill="E2E2E2"/>
            <w:tcMar>
              <w:top w:w="40" w:type="dxa"/>
              <w:bottom w:w="40" w:type="dxa"/>
              <w:right w:w="20" w:type="dxa"/>
            </w:tcMar>
            <w:vAlign w:val="bottom"/>
          </w:tcPr>
          <w:p w14:paraId="64A8A37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7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7D"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64A8A37E"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7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80" w14:textId="77777777" w:rsidR="008D6614" w:rsidRDefault="00866AF2">
            <w:pPr>
              <w:jc w:val="right"/>
              <w:textAlignment w:val="bottom"/>
            </w:pPr>
            <w:r>
              <w:rPr>
                <w:rFonts w:ascii="Arial" w:eastAsia="宋体" w:hAnsi="Arial" w:cs="Arial"/>
                <w:color w:val="000000"/>
                <w:sz w:val="16"/>
                <w:szCs w:val="16"/>
              </w:rPr>
              <w:t>3.531 </w:t>
            </w:r>
          </w:p>
        </w:tc>
        <w:tc>
          <w:tcPr>
            <w:tcW w:w="0" w:type="auto"/>
            <w:shd w:val="clear" w:color="auto" w:fill="E2E2E2"/>
            <w:tcMar>
              <w:top w:w="40" w:type="dxa"/>
              <w:bottom w:w="40" w:type="dxa"/>
              <w:right w:w="20" w:type="dxa"/>
            </w:tcMar>
            <w:vAlign w:val="bottom"/>
          </w:tcPr>
          <w:p w14:paraId="64A8A381"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38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83"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64A8A38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8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86" w14:textId="77777777" w:rsidR="008D6614" w:rsidRDefault="00866AF2">
            <w:pPr>
              <w:jc w:val="right"/>
              <w:textAlignment w:val="bottom"/>
            </w:pPr>
            <w:r>
              <w:rPr>
                <w:rFonts w:ascii="Arial" w:eastAsia="宋体" w:hAnsi="Arial" w:cs="Arial"/>
                <w:color w:val="000000"/>
                <w:sz w:val="16"/>
                <w:szCs w:val="16"/>
              </w:rPr>
              <w:t>3.531 </w:t>
            </w:r>
          </w:p>
        </w:tc>
        <w:tc>
          <w:tcPr>
            <w:tcW w:w="0" w:type="auto"/>
            <w:shd w:val="clear" w:color="auto" w:fill="E2E2E2"/>
            <w:tcMar>
              <w:top w:w="40" w:type="dxa"/>
              <w:bottom w:w="40" w:type="dxa"/>
              <w:right w:w="20" w:type="dxa"/>
            </w:tcMar>
            <w:vAlign w:val="bottom"/>
          </w:tcPr>
          <w:p w14:paraId="64A8A387" w14:textId="77777777" w:rsidR="008D6614" w:rsidRDefault="00866AF2">
            <w:pPr>
              <w:jc w:val="right"/>
              <w:textAlignment w:val="bottom"/>
            </w:pPr>
            <w:r>
              <w:rPr>
                <w:rFonts w:ascii="Arial" w:eastAsia="宋体" w:hAnsi="Arial" w:cs="Arial"/>
                <w:color w:val="000000"/>
                <w:sz w:val="16"/>
                <w:szCs w:val="16"/>
              </w:rPr>
              <w:t>%</w:t>
            </w:r>
          </w:p>
        </w:tc>
      </w:tr>
      <w:tr w:rsidR="008D6614" w14:paraId="64A8A399" w14:textId="77777777">
        <w:trPr>
          <w:jc w:val="center"/>
        </w:trPr>
        <w:tc>
          <w:tcPr>
            <w:tcW w:w="0" w:type="auto"/>
            <w:gridSpan w:val="3"/>
            <w:shd w:val="clear" w:color="auto" w:fill="FFFFFF"/>
            <w:tcMar>
              <w:top w:w="40" w:type="dxa"/>
              <w:left w:w="135" w:type="dxa"/>
              <w:bottom w:w="40" w:type="dxa"/>
              <w:right w:w="20" w:type="dxa"/>
            </w:tcMar>
            <w:vAlign w:val="bottom"/>
          </w:tcPr>
          <w:p w14:paraId="64A8A389" w14:textId="77777777" w:rsidR="008D6614" w:rsidRDefault="00866AF2">
            <w:pPr>
              <w:textAlignment w:val="bottom"/>
            </w:pPr>
            <w:r>
              <w:rPr>
                <w:rFonts w:ascii="Arial" w:eastAsia="宋体" w:hAnsi="Arial" w:cs="Arial"/>
                <w:color w:val="000000"/>
                <w:sz w:val="16"/>
                <w:szCs w:val="16"/>
              </w:rPr>
              <w:t>Senior notes due 2025</w:t>
            </w:r>
          </w:p>
        </w:tc>
        <w:tc>
          <w:tcPr>
            <w:tcW w:w="0" w:type="auto"/>
            <w:gridSpan w:val="3"/>
            <w:shd w:val="clear" w:color="auto" w:fill="FFFFFF"/>
            <w:tcMar>
              <w:left w:w="20" w:type="dxa"/>
              <w:right w:w="20" w:type="dxa"/>
            </w:tcMar>
            <w:vAlign w:val="bottom"/>
          </w:tcPr>
          <w:p w14:paraId="64A8A38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8B" w14:textId="77777777" w:rsidR="008D6614" w:rsidRDefault="00866AF2">
            <w:pPr>
              <w:textAlignment w:val="bottom"/>
            </w:pPr>
            <w:r>
              <w:rPr>
                <w:rFonts w:ascii="Arial" w:eastAsia="宋体" w:hAnsi="Arial" w:cs="Arial"/>
                <w:color w:val="000000"/>
                <w:sz w:val="16"/>
                <w:szCs w:val="16"/>
              </w:rPr>
              <w:t>1.900% </w:t>
            </w:r>
          </w:p>
        </w:tc>
        <w:tc>
          <w:tcPr>
            <w:tcW w:w="0" w:type="auto"/>
            <w:shd w:val="clear" w:color="auto" w:fill="FFFFFF"/>
            <w:tcMar>
              <w:top w:w="40" w:type="dxa"/>
              <w:bottom w:w="40" w:type="dxa"/>
              <w:right w:w="20" w:type="dxa"/>
            </w:tcMar>
            <w:vAlign w:val="bottom"/>
          </w:tcPr>
          <w:p w14:paraId="64A8A38C"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8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8E" w14:textId="77777777" w:rsidR="008D6614" w:rsidRDefault="00866AF2">
            <w:pPr>
              <w:jc w:val="right"/>
              <w:textAlignment w:val="bottom"/>
            </w:pPr>
            <w:r>
              <w:rPr>
                <w:rFonts w:ascii="Arial" w:eastAsia="宋体" w:hAnsi="Arial" w:cs="Arial"/>
                <w:color w:val="000000"/>
                <w:sz w:val="16"/>
                <w:szCs w:val="16"/>
              </w:rPr>
              <w:t>500 </w:t>
            </w:r>
          </w:p>
        </w:tc>
        <w:tc>
          <w:tcPr>
            <w:tcW w:w="0" w:type="auto"/>
            <w:shd w:val="clear" w:color="auto" w:fill="FFFFFF"/>
            <w:tcMar>
              <w:top w:w="40" w:type="dxa"/>
              <w:bottom w:w="40" w:type="dxa"/>
              <w:right w:w="20" w:type="dxa"/>
            </w:tcMar>
            <w:vAlign w:val="bottom"/>
          </w:tcPr>
          <w:p w14:paraId="64A8A38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9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91" w14:textId="77777777" w:rsidR="008D6614" w:rsidRDefault="00866AF2">
            <w:pPr>
              <w:jc w:val="right"/>
              <w:textAlignment w:val="bottom"/>
            </w:pPr>
            <w:r>
              <w:rPr>
                <w:rFonts w:ascii="Arial" w:eastAsia="宋体" w:hAnsi="Arial" w:cs="Arial"/>
                <w:color w:val="000000"/>
                <w:sz w:val="16"/>
                <w:szCs w:val="16"/>
              </w:rPr>
              <w:t>2.082 </w:t>
            </w:r>
          </w:p>
        </w:tc>
        <w:tc>
          <w:tcPr>
            <w:tcW w:w="0" w:type="auto"/>
            <w:shd w:val="clear" w:color="auto" w:fill="FFFFFF"/>
            <w:tcMar>
              <w:top w:w="40" w:type="dxa"/>
              <w:bottom w:w="40" w:type="dxa"/>
              <w:right w:w="20" w:type="dxa"/>
            </w:tcMar>
            <w:vAlign w:val="bottom"/>
          </w:tcPr>
          <w:p w14:paraId="64A8A392"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A39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94"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64A8A39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9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97"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64A8A398" w14:textId="77777777" w:rsidR="008D6614" w:rsidRDefault="00866AF2">
            <w:pPr>
              <w:jc w:val="right"/>
              <w:textAlignment w:val="bottom"/>
            </w:pPr>
            <w:r>
              <w:rPr>
                <w:rFonts w:ascii="Arial" w:eastAsia="宋体" w:hAnsi="Arial" w:cs="Arial"/>
                <w:color w:val="000000"/>
                <w:sz w:val="16"/>
                <w:szCs w:val="16"/>
              </w:rPr>
              <w:t>%</w:t>
            </w:r>
          </w:p>
        </w:tc>
      </w:tr>
      <w:tr w:rsidR="008D6614" w14:paraId="64A8A3AA" w14:textId="77777777">
        <w:trPr>
          <w:jc w:val="center"/>
        </w:trPr>
        <w:tc>
          <w:tcPr>
            <w:tcW w:w="0" w:type="auto"/>
            <w:gridSpan w:val="3"/>
            <w:shd w:val="clear" w:color="auto" w:fill="E2E2E2"/>
            <w:tcMar>
              <w:top w:w="40" w:type="dxa"/>
              <w:left w:w="135" w:type="dxa"/>
              <w:bottom w:w="40" w:type="dxa"/>
              <w:right w:w="20" w:type="dxa"/>
            </w:tcMar>
            <w:vAlign w:val="bottom"/>
          </w:tcPr>
          <w:p w14:paraId="64A8A39A" w14:textId="77777777" w:rsidR="008D6614" w:rsidRDefault="00866AF2">
            <w:pPr>
              <w:textAlignment w:val="bottom"/>
            </w:pPr>
            <w:r>
              <w:rPr>
                <w:rFonts w:ascii="Arial" w:eastAsia="宋体" w:hAnsi="Arial" w:cs="Arial"/>
                <w:color w:val="000000"/>
                <w:sz w:val="16"/>
                <w:szCs w:val="16"/>
              </w:rPr>
              <w:t>Senior notes due 2027</w:t>
            </w:r>
          </w:p>
        </w:tc>
        <w:tc>
          <w:tcPr>
            <w:tcW w:w="0" w:type="auto"/>
            <w:gridSpan w:val="3"/>
            <w:shd w:val="clear" w:color="auto" w:fill="E2E2E2"/>
            <w:tcMar>
              <w:left w:w="20" w:type="dxa"/>
              <w:right w:w="20" w:type="dxa"/>
            </w:tcMar>
            <w:vAlign w:val="bottom"/>
          </w:tcPr>
          <w:p w14:paraId="64A8A39B"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9C" w14:textId="77777777" w:rsidR="008D6614" w:rsidRDefault="00866AF2">
            <w:pPr>
              <w:textAlignment w:val="bottom"/>
            </w:pPr>
            <w:r>
              <w:rPr>
                <w:rFonts w:ascii="Arial" w:eastAsia="宋体" w:hAnsi="Arial" w:cs="Arial"/>
                <w:color w:val="000000"/>
                <w:sz w:val="16"/>
                <w:szCs w:val="16"/>
              </w:rPr>
              <w:t>3.600% </w:t>
            </w:r>
          </w:p>
        </w:tc>
        <w:tc>
          <w:tcPr>
            <w:tcW w:w="0" w:type="auto"/>
            <w:shd w:val="clear" w:color="auto" w:fill="E2E2E2"/>
            <w:tcMar>
              <w:top w:w="40" w:type="dxa"/>
              <w:bottom w:w="40" w:type="dxa"/>
              <w:right w:w="20" w:type="dxa"/>
            </w:tcMar>
            <w:vAlign w:val="bottom"/>
          </w:tcPr>
          <w:p w14:paraId="64A8A39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9E"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9F" w14:textId="77777777" w:rsidR="008D6614" w:rsidRDefault="00866AF2">
            <w:pPr>
              <w:jc w:val="right"/>
              <w:textAlignment w:val="bottom"/>
            </w:pPr>
            <w:r>
              <w:rPr>
                <w:rFonts w:ascii="Arial" w:eastAsia="宋体" w:hAnsi="Arial" w:cs="Arial"/>
                <w:color w:val="000000"/>
                <w:sz w:val="16"/>
                <w:szCs w:val="16"/>
              </w:rPr>
              <w:t>850 </w:t>
            </w:r>
          </w:p>
        </w:tc>
        <w:tc>
          <w:tcPr>
            <w:tcW w:w="0" w:type="auto"/>
            <w:shd w:val="clear" w:color="auto" w:fill="E2E2E2"/>
            <w:tcMar>
              <w:top w:w="40" w:type="dxa"/>
              <w:bottom w:w="40" w:type="dxa"/>
              <w:right w:w="20" w:type="dxa"/>
            </w:tcMar>
            <w:vAlign w:val="bottom"/>
          </w:tcPr>
          <w:p w14:paraId="64A8A3A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A1"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A2" w14:textId="77777777" w:rsidR="008D6614" w:rsidRDefault="00866AF2">
            <w:pPr>
              <w:jc w:val="right"/>
              <w:textAlignment w:val="bottom"/>
            </w:pPr>
            <w:r>
              <w:rPr>
                <w:rFonts w:ascii="Arial" w:eastAsia="宋体" w:hAnsi="Arial" w:cs="Arial"/>
                <w:color w:val="000000"/>
                <w:sz w:val="16"/>
                <w:szCs w:val="16"/>
              </w:rPr>
              <w:t>3.689 </w:t>
            </w:r>
          </w:p>
        </w:tc>
        <w:tc>
          <w:tcPr>
            <w:tcW w:w="0" w:type="auto"/>
            <w:shd w:val="clear" w:color="auto" w:fill="E2E2E2"/>
            <w:tcMar>
              <w:top w:w="40" w:type="dxa"/>
              <w:bottom w:w="40" w:type="dxa"/>
              <w:right w:w="20" w:type="dxa"/>
            </w:tcMar>
            <w:vAlign w:val="bottom"/>
          </w:tcPr>
          <w:p w14:paraId="64A8A3A3"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3A4"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A5" w14:textId="77777777" w:rsidR="008D6614" w:rsidRDefault="00866AF2">
            <w:pPr>
              <w:jc w:val="right"/>
              <w:textAlignment w:val="bottom"/>
            </w:pPr>
            <w:r>
              <w:rPr>
                <w:rFonts w:ascii="Arial" w:eastAsia="宋体" w:hAnsi="Arial" w:cs="Arial"/>
                <w:color w:val="000000"/>
                <w:sz w:val="16"/>
                <w:szCs w:val="16"/>
              </w:rPr>
              <w:t>850 </w:t>
            </w:r>
          </w:p>
        </w:tc>
        <w:tc>
          <w:tcPr>
            <w:tcW w:w="0" w:type="auto"/>
            <w:shd w:val="clear" w:color="auto" w:fill="E2E2E2"/>
            <w:tcMar>
              <w:top w:w="40" w:type="dxa"/>
              <w:bottom w:w="40" w:type="dxa"/>
              <w:right w:w="20" w:type="dxa"/>
            </w:tcMar>
            <w:vAlign w:val="bottom"/>
          </w:tcPr>
          <w:p w14:paraId="64A8A3A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A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A8" w14:textId="77777777" w:rsidR="008D6614" w:rsidRDefault="00866AF2">
            <w:pPr>
              <w:jc w:val="right"/>
              <w:textAlignment w:val="bottom"/>
            </w:pPr>
            <w:r>
              <w:rPr>
                <w:rFonts w:ascii="Arial" w:eastAsia="宋体" w:hAnsi="Arial" w:cs="Arial"/>
                <w:color w:val="000000"/>
                <w:sz w:val="16"/>
                <w:szCs w:val="16"/>
              </w:rPr>
              <w:t>3.689 </w:t>
            </w:r>
          </w:p>
        </w:tc>
        <w:tc>
          <w:tcPr>
            <w:tcW w:w="0" w:type="auto"/>
            <w:shd w:val="clear" w:color="auto" w:fill="E2E2E2"/>
            <w:tcMar>
              <w:top w:w="40" w:type="dxa"/>
              <w:bottom w:w="40" w:type="dxa"/>
              <w:right w:w="20" w:type="dxa"/>
            </w:tcMar>
            <w:vAlign w:val="bottom"/>
          </w:tcPr>
          <w:p w14:paraId="64A8A3A9" w14:textId="77777777" w:rsidR="008D6614" w:rsidRDefault="00866AF2">
            <w:pPr>
              <w:jc w:val="right"/>
              <w:textAlignment w:val="bottom"/>
            </w:pPr>
            <w:r>
              <w:rPr>
                <w:rFonts w:ascii="Arial" w:eastAsia="宋体" w:hAnsi="Arial" w:cs="Arial"/>
                <w:color w:val="000000"/>
                <w:sz w:val="16"/>
                <w:szCs w:val="16"/>
              </w:rPr>
              <w:t>%</w:t>
            </w:r>
          </w:p>
        </w:tc>
      </w:tr>
      <w:tr w:rsidR="008D6614" w14:paraId="64A8A3BB" w14:textId="77777777">
        <w:trPr>
          <w:jc w:val="center"/>
        </w:trPr>
        <w:tc>
          <w:tcPr>
            <w:tcW w:w="0" w:type="auto"/>
            <w:gridSpan w:val="3"/>
            <w:shd w:val="clear" w:color="auto" w:fill="FFFFFF"/>
            <w:tcMar>
              <w:top w:w="40" w:type="dxa"/>
              <w:left w:w="135" w:type="dxa"/>
              <w:bottom w:w="40" w:type="dxa"/>
              <w:right w:w="20" w:type="dxa"/>
            </w:tcMar>
            <w:vAlign w:val="bottom"/>
          </w:tcPr>
          <w:p w14:paraId="64A8A3AB" w14:textId="77777777" w:rsidR="008D6614" w:rsidRDefault="00866AF2">
            <w:pPr>
              <w:textAlignment w:val="bottom"/>
            </w:pPr>
            <w:r>
              <w:rPr>
                <w:rFonts w:ascii="Arial" w:eastAsia="宋体" w:hAnsi="Arial" w:cs="Arial"/>
                <w:color w:val="000000"/>
                <w:sz w:val="16"/>
                <w:szCs w:val="16"/>
              </w:rPr>
              <w:t>Senior notes due 2030</w:t>
            </w:r>
          </w:p>
        </w:tc>
        <w:tc>
          <w:tcPr>
            <w:tcW w:w="0" w:type="auto"/>
            <w:gridSpan w:val="3"/>
            <w:shd w:val="clear" w:color="auto" w:fill="FFFFFF"/>
            <w:tcMar>
              <w:left w:w="20" w:type="dxa"/>
              <w:right w:w="20" w:type="dxa"/>
            </w:tcMar>
            <w:vAlign w:val="bottom"/>
          </w:tcPr>
          <w:p w14:paraId="64A8A3A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AD" w14:textId="77777777" w:rsidR="008D6614" w:rsidRDefault="00866AF2">
            <w:pPr>
              <w:textAlignment w:val="bottom"/>
            </w:pPr>
            <w:r>
              <w:rPr>
                <w:rFonts w:ascii="Arial" w:eastAsia="宋体" w:hAnsi="Arial" w:cs="Arial"/>
                <w:color w:val="000000"/>
                <w:sz w:val="16"/>
                <w:szCs w:val="16"/>
              </w:rPr>
              <w:t>2.700% </w:t>
            </w:r>
          </w:p>
        </w:tc>
        <w:tc>
          <w:tcPr>
            <w:tcW w:w="0" w:type="auto"/>
            <w:shd w:val="clear" w:color="auto" w:fill="FFFFFF"/>
            <w:tcMar>
              <w:top w:w="40" w:type="dxa"/>
              <w:bottom w:w="40" w:type="dxa"/>
              <w:right w:w="20" w:type="dxa"/>
            </w:tcMar>
            <w:vAlign w:val="bottom"/>
          </w:tcPr>
          <w:p w14:paraId="64A8A3AE"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AF"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B0" w14:textId="77777777" w:rsidR="008D6614" w:rsidRDefault="00866AF2">
            <w:pPr>
              <w:jc w:val="right"/>
              <w:textAlignment w:val="bottom"/>
            </w:pPr>
            <w:r>
              <w:rPr>
                <w:rFonts w:ascii="Arial" w:eastAsia="宋体" w:hAnsi="Arial" w:cs="Arial"/>
                <w:color w:val="000000"/>
                <w:sz w:val="16"/>
                <w:szCs w:val="16"/>
              </w:rPr>
              <w:t>500 </w:t>
            </w:r>
          </w:p>
        </w:tc>
        <w:tc>
          <w:tcPr>
            <w:tcW w:w="0" w:type="auto"/>
            <w:shd w:val="clear" w:color="auto" w:fill="FFFFFF"/>
            <w:tcMar>
              <w:top w:w="40" w:type="dxa"/>
              <w:bottom w:w="40" w:type="dxa"/>
              <w:right w:w="20" w:type="dxa"/>
            </w:tcMar>
            <w:vAlign w:val="bottom"/>
          </w:tcPr>
          <w:p w14:paraId="64A8A3B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B2"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B3" w14:textId="77777777" w:rsidR="008D6614" w:rsidRDefault="00866AF2">
            <w:pPr>
              <w:jc w:val="right"/>
              <w:textAlignment w:val="bottom"/>
            </w:pPr>
            <w:r>
              <w:rPr>
                <w:rFonts w:ascii="Arial" w:eastAsia="宋体" w:hAnsi="Arial" w:cs="Arial"/>
                <w:color w:val="000000"/>
                <w:sz w:val="16"/>
                <w:szCs w:val="16"/>
              </w:rPr>
              <w:t>2.788 </w:t>
            </w:r>
          </w:p>
        </w:tc>
        <w:tc>
          <w:tcPr>
            <w:tcW w:w="0" w:type="auto"/>
            <w:shd w:val="clear" w:color="auto" w:fill="FFFFFF"/>
            <w:tcMar>
              <w:top w:w="40" w:type="dxa"/>
              <w:bottom w:w="40" w:type="dxa"/>
              <w:right w:w="20" w:type="dxa"/>
            </w:tcMar>
            <w:vAlign w:val="bottom"/>
          </w:tcPr>
          <w:p w14:paraId="64A8A3B4"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A3B5"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B6"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64A8A3B7"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B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B9"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64A8A3BA" w14:textId="77777777" w:rsidR="008D6614" w:rsidRDefault="00866AF2">
            <w:pPr>
              <w:jc w:val="right"/>
              <w:textAlignment w:val="bottom"/>
            </w:pPr>
            <w:r>
              <w:rPr>
                <w:rFonts w:ascii="Arial" w:eastAsia="宋体" w:hAnsi="Arial" w:cs="Arial"/>
                <w:color w:val="000000"/>
                <w:sz w:val="16"/>
                <w:szCs w:val="16"/>
              </w:rPr>
              <w:t>%</w:t>
            </w:r>
          </w:p>
        </w:tc>
      </w:tr>
      <w:tr w:rsidR="008D6614" w14:paraId="64A8A3CC" w14:textId="77777777">
        <w:trPr>
          <w:jc w:val="center"/>
        </w:trPr>
        <w:tc>
          <w:tcPr>
            <w:tcW w:w="0" w:type="auto"/>
            <w:gridSpan w:val="3"/>
            <w:shd w:val="clear" w:color="auto" w:fill="E2E2E2"/>
            <w:tcMar>
              <w:top w:w="40" w:type="dxa"/>
              <w:left w:w="135" w:type="dxa"/>
              <w:bottom w:w="40" w:type="dxa"/>
              <w:right w:w="20" w:type="dxa"/>
            </w:tcMar>
            <w:vAlign w:val="bottom"/>
          </w:tcPr>
          <w:p w14:paraId="64A8A3BC" w14:textId="77777777" w:rsidR="008D6614" w:rsidRDefault="00866AF2">
            <w:pPr>
              <w:textAlignment w:val="bottom"/>
            </w:pPr>
            <w:r>
              <w:rPr>
                <w:rFonts w:ascii="Arial" w:eastAsia="宋体" w:hAnsi="Arial" w:cs="Arial"/>
                <w:color w:val="000000"/>
                <w:sz w:val="16"/>
                <w:szCs w:val="16"/>
              </w:rPr>
              <w:t>Senior notes due 2042</w:t>
            </w:r>
          </w:p>
        </w:tc>
        <w:tc>
          <w:tcPr>
            <w:tcW w:w="0" w:type="auto"/>
            <w:gridSpan w:val="3"/>
            <w:shd w:val="clear" w:color="auto" w:fill="E2E2E2"/>
            <w:tcMar>
              <w:left w:w="20" w:type="dxa"/>
              <w:right w:w="20" w:type="dxa"/>
            </w:tcMar>
            <w:vAlign w:val="bottom"/>
          </w:tcPr>
          <w:p w14:paraId="64A8A3B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BE" w14:textId="77777777" w:rsidR="008D6614" w:rsidRDefault="00866AF2">
            <w:pPr>
              <w:textAlignment w:val="bottom"/>
            </w:pPr>
            <w:r>
              <w:rPr>
                <w:rFonts w:ascii="Arial" w:eastAsia="宋体" w:hAnsi="Arial" w:cs="Arial"/>
                <w:color w:val="000000"/>
                <w:sz w:val="16"/>
                <w:szCs w:val="16"/>
              </w:rPr>
              <w:t>4.000% </w:t>
            </w:r>
          </w:p>
        </w:tc>
        <w:tc>
          <w:tcPr>
            <w:tcW w:w="0" w:type="auto"/>
            <w:shd w:val="clear" w:color="auto" w:fill="E2E2E2"/>
            <w:tcMar>
              <w:top w:w="40" w:type="dxa"/>
              <w:bottom w:w="40" w:type="dxa"/>
              <w:right w:w="20" w:type="dxa"/>
            </w:tcMar>
            <w:vAlign w:val="bottom"/>
          </w:tcPr>
          <w:p w14:paraId="64A8A3B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C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C1"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64A8A3C2"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C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C4" w14:textId="77777777" w:rsidR="008D6614" w:rsidRDefault="00866AF2">
            <w:pPr>
              <w:jc w:val="right"/>
              <w:textAlignment w:val="bottom"/>
            </w:pPr>
            <w:r>
              <w:rPr>
                <w:rFonts w:ascii="Arial" w:eastAsia="宋体" w:hAnsi="Arial" w:cs="Arial"/>
                <w:color w:val="000000"/>
                <w:sz w:val="16"/>
                <w:szCs w:val="16"/>
              </w:rPr>
              <w:t>4.114 </w:t>
            </w:r>
          </w:p>
        </w:tc>
        <w:tc>
          <w:tcPr>
            <w:tcW w:w="0" w:type="auto"/>
            <w:shd w:val="clear" w:color="auto" w:fill="E2E2E2"/>
            <w:tcMar>
              <w:top w:w="40" w:type="dxa"/>
              <w:bottom w:w="40" w:type="dxa"/>
              <w:right w:w="20" w:type="dxa"/>
            </w:tcMar>
            <w:vAlign w:val="bottom"/>
          </w:tcPr>
          <w:p w14:paraId="64A8A3C5"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3C6"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C7"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E2E2E2"/>
            <w:tcMar>
              <w:top w:w="40" w:type="dxa"/>
              <w:bottom w:w="40" w:type="dxa"/>
              <w:right w:w="20" w:type="dxa"/>
            </w:tcMar>
            <w:vAlign w:val="bottom"/>
          </w:tcPr>
          <w:p w14:paraId="64A8A3C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C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CA" w14:textId="77777777" w:rsidR="008D6614" w:rsidRDefault="00866AF2">
            <w:pPr>
              <w:jc w:val="right"/>
              <w:textAlignment w:val="bottom"/>
            </w:pPr>
            <w:r>
              <w:rPr>
                <w:rFonts w:ascii="Arial" w:eastAsia="宋体" w:hAnsi="Arial" w:cs="Arial"/>
                <w:color w:val="000000"/>
                <w:sz w:val="16"/>
                <w:szCs w:val="16"/>
              </w:rPr>
              <w:t>4.114 </w:t>
            </w:r>
          </w:p>
        </w:tc>
        <w:tc>
          <w:tcPr>
            <w:tcW w:w="0" w:type="auto"/>
            <w:shd w:val="clear" w:color="auto" w:fill="E2E2E2"/>
            <w:tcMar>
              <w:top w:w="40" w:type="dxa"/>
              <w:bottom w:w="40" w:type="dxa"/>
              <w:right w:w="20" w:type="dxa"/>
            </w:tcMar>
            <w:vAlign w:val="bottom"/>
          </w:tcPr>
          <w:p w14:paraId="64A8A3CB" w14:textId="77777777" w:rsidR="008D6614" w:rsidRDefault="00866AF2">
            <w:pPr>
              <w:jc w:val="right"/>
              <w:textAlignment w:val="bottom"/>
            </w:pPr>
            <w:r>
              <w:rPr>
                <w:rFonts w:ascii="Arial" w:eastAsia="宋体" w:hAnsi="Arial" w:cs="Arial"/>
                <w:color w:val="000000"/>
                <w:sz w:val="16"/>
                <w:szCs w:val="16"/>
              </w:rPr>
              <w:t>%</w:t>
            </w:r>
          </w:p>
        </w:tc>
      </w:tr>
      <w:tr w:rsidR="008D6614" w14:paraId="64A8A3DD" w14:textId="77777777">
        <w:trPr>
          <w:jc w:val="center"/>
        </w:trPr>
        <w:tc>
          <w:tcPr>
            <w:tcW w:w="0" w:type="auto"/>
            <w:gridSpan w:val="3"/>
            <w:shd w:val="clear" w:color="auto" w:fill="FFFFFF"/>
            <w:tcMar>
              <w:top w:w="40" w:type="dxa"/>
              <w:left w:w="135" w:type="dxa"/>
              <w:bottom w:w="40" w:type="dxa"/>
              <w:right w:w="20" w:type="dxa"/>
            </w:tcMar>
            <w:vAlign w:val="bottom"/>
          </w:tcPr>
          <w:p w14:paraId="64A8A3CD" w14:textId="77777777" w:rsidR="008D6614" w:rsidRDefault="00866AF2">
            <w:pPr>
              <w:textAlignment w:val="bottom"/>
            </w:pPr>
            <w:r>
              <w:rPr>
                <w:rFonts w:ascii="Arial" w:eastAsia="宋体" w:hAnsi="Arial" w:cs="Arial"/>
                <w:color w:val="000000"/>
                <w:sz w:val="16"/>
                <w:szCs w:val="16"/>
              </w:rPr>
              <w:t>Senior notes due 2056</w:t>
            </w:r>
          </w:p>
        </w:tc>
        <w:tc>
          <w:tcPr>
            <w:tcW w:w="0" w:type="auto"/>
            <w:gridSpan w:val="3"/>
            <w:shd w:val="clear" w:color="auto" w:fill="FFFFFF"/>
            <w:tcMar>
              <w:left w:w="20" w:type="dxa"/>
              <w:right w:w="20" w:type="dxa"/>
            </w:tcMar>
            <w:vAlign w:val="bottom"/>
          </w:tcPr>
          <w:p w14:paraId="64A8A3C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CF" w14:textId="77777777" w:rsidR="008D6614" w:rsidRDefault="00866AF2">
            <w:pPr>
              <w:textAlignment w:val="bottom"/>
            </w:pPr>
            <w:r>
              <w:rPr>
                <w:rFonts w:ascii="Arial" w:eastAsia="宋体" w:hAnsi="Arial" w:cs="Arial"/>
                <w:color w:val="000000"/>
                <w:sz w:val="16"/>
                <w:szCs w:val="16"/>
              </w:rPr>
              <w:t>6.000% </w:t>
            </w:r>
          </w:p>
        </w:tc>
        <w:tc>
          <w:tcPr>
            <w:tcW w:w="0" w:type="auto"/>
            <w:shd w:val="clear" w:color="auto" w:fill="FFFFFF"/>
            <w:tcMar>
              <w:top w:w="40" w:type="dxa"/>
              <w:bottom w:w="40" w:type="dxa"/>
              <w:right w:w="20" w:type="dxa"/>
            </w:tcMar>
            <w:vAlign w:val="bottom"/>
          </w:tcPr>
          <w:p w14:paraId="64A8A3D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D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D2"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64A8A3D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D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D5" w14:textId="77777777" w:rsidR="008D6614" w:rsidRDefault="00866AF2">
            <w:pPr>
              <w:jc w:val="right"/>
              <w:textAlignment w:val="bottom"/>
            </w:pPr>
            <w:r>
              <w:rPr>
                <w:rFonts w:ascii="Arial" w:eastAsia="宋体" w:hAnsi="Arial" w:cs="Arial"/>
                <w:color w:val="000000"/>
                <w:sz w:val="16"/>
                <w:szCs w:val="16"/>
              </w:rPr>
              <w:t>6.547 </w:t>
            </w:r>
          </w:p>
        </w:tc>
        <w:tc>
          <w:tcPr>
            <w:tcW w:w="0" w:type="auto"/>
            <w:shd w:val="clear" w:color="auto" w:fill="FFFFFF"/>
            <w:tcMar>
              <w:top w:w="40" w:type="dxa"/>
              <w:bottom w:w="40" w:type="dxa"/>
              <w:right w:w="20" w:type="dxa"/>
            </w:tcMar>
            <w:vAlign w:val="bottom"/>
          </w:tcPr>
          <w:p w14:paraId="64A8A3D6"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A3D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D8" w14:textId="77777777" w:rsidR="008D6614" w:rsidRDefault="00866AF2">
            <w:pPr>
              <w:jc w:val="right"/>
              <w:textAlignment w:val="bottom"/>
            </w:pPr>
            <w:r>
              <w:rPr>
                <w:rFonts w:ascii="Arial" w:eastAsia="宋体" w:hAnsi="Arial" w:cs="Arial"/>
                <w:color w:val="000000"/>
                <w:sz w:val="16"/>
                <w:szCs w:val="16"/>
              </w:rPr>
              <w:t>750 </w:t>
            </w:r>
          </w:p>
        </w:tc>
        <w:tc>
          <w:tcPr>
            <w:tcW w:w="0" w:type="auto"/>
            <w:shd w:val="clear" w:color="auto" w:fill="FFFFFF"/>
            <w:tcMar>
              <w:top w:w="40" w:type="dxa"/>
              <w:bottom w:w="40" w:type="dxa"/>
              <w:right w:w="20" w:type="dxa"/>
            </w:tcMar>
            <w:vAlign w:val="bottom"/>
          </w:tcPr>
          <w:p w14:paraId="64A8A3D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D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DB" w14:textId="77777777" w:rsidR="008D6614" w:rsidRDefault="00866AF2">
            <w:pPr>
              <w:jc w:val="right"/>
              <w:textAlignment w:val="bottom"/>
            </w:pPr>
            <w:r>
              <w:rPr>
                <w:rFonts w:ascii="Arial" w:eastAsia="宋体" w:hAnsi="Arial" w:cs="Arial"/>
                <w:color w:val="000000"/>
                <w:sz w:val="16"/>
                <w:szCs w:val="16"/>
              </w:rPr>
              <w:t>6.547 </w:t>
            </w:r>
          </w:p>
        </w:tc>
        <w:tc>
          <w:tcPr>
            <w:tcW w:w="0" w:type="auto"/>
            <w:shd w:val="clear" w:color="auto" w:fill="FFFFFF"/>
            <w:tcMar>
              <w:top w:w="40" w:type="dxa"/>
              <w:bottom w:w="40" w:type="dxa"/>
              <w:right w:w="20" w:type="dxa"/>
            </w:tcMar>
            <w:vAlign w:val="bottom"/>
          </w:tcPr>
          <w:p w14:paraId="64A8A3DC" w14:textId="77777777" w:rsidR="008D6614" w:rsidRDefault="00866AF2">
            <w:pPr>
              <w:jc w:val="right"/>
              <w:textAlignment w:val="bottom"/>
            </w:pPr>
            <w:r>
              <w:rPr>
                <w:rFonts w:ascii="Arial" w:eastAsia="宋体" w:hAnsi="Arial" w:cs="Arial"/>
                <w:color w:val="000000"/>
                <w:sz w:val="16"/>
                <w:szCs w:val="16"/>
              </w:rPr>
              <w:t>%</w:t>
            </w:r>
          </w:p>
        </w:tc>
      </w:tr>
      <w:tr w:rsidR="008D6614" w14:paraId="64A8A3EB" w14:textId="77777777">
        <w:trPr>
          <w:jc w:val="center"/>
        </w:trPr>
        <w:tc>
          <w:tcPr>
            <w:tcW w:w="0" w:type="auto"/>
            <w:gridSpan w:val="3"/>
            <w:shd w:val="clear" w:color="auto" w:fill="E2E2E2"/>
            <w:tcMar>
              <w:top w:w="40" w:type="dxa"/>
              <w:left w:w="360" w:type="dxa"/>
              <w:bottom w:w="40" w:type="dxa"/>
              <w:right w:w="20" w:type="dxa"/>
            </w:tcMar>
            <w:vAlign w:val="bottom"/>
          </w:tcPr>
          <w:p w14:paraId="64A8A3DE" w14:textId="77777777" w:rsidR="008D6614" w:rsidRDefault="00866AF2">
            <w:pPr>
              <w:textAlignment w:val="bottom"/>
            </w:pPr>
            <w:r>
              <w:rPr>
                <w:rFonts w:ascii="Arial" w:eastAsia="宋体" w:hAnsi="Arial" w:cs="Arial"/>
                <w:color w:val="000000"/>
                <w:sz w:val="16"/>
                <w:szCs w:val="16"/>
              </w:rPr>
              <w:t>Total senior notes</w:t>
            </w:r>
          </w:p>
        </w:tc>
        <w:tc>
          <w:tcPr>
            <w:tcW w:w="0" w:type="auto"/>
            <w:gridSpan w:val="3"/>
            <w:shd w:val="clear" w:color="auto" w:fill="E2E2E2"/>
            <w:tcMar>
              <w:left w:w="20" w:type="dxa"/>
              <w:right w:w="20" w:type="dxa"/>
            </w:tcMar>
            <w:vAlign w:val="bottom"/>
          </w:tcPr>
          <w:p w14:paraId="64A8A3DF"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3E0"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3E1"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3E2" w14:textId="77777777" w:rsidR="008D6614" w:rsidRDefault="00866AF2">
            <w:pPr>
              <w:jc w:val="right"/>
              <w:textAlignment w:val="bottom"/>
            </w:pPr>
            <w:r>
              <w:rPr>
                <w:rFonts w:ascii="Arial" w:eastAsia="宋体" w:hAnsi="Arial" w:cs="Arial"/>
                <w:color w:val="000000"/>
                <w:sz w:val="16"/>
                <w:szCs w:val="16"/>
              </w:rPr>
              <w:t>8,750 </w:t>
            </w:r>
          </w:p>
        </w:tc>
        <w:tc>
          <w:tcPr>
            <w:tcW w:w="0" w:type="auto"/>
            <w:tcBorders>
              <w:top w:val="single" w:sz="8" w:space="0" w:color="000000"/>
            </w:tcBorders>
            <w:shd w:val="clear" w:color="auto" w:fill="E2E2E2"/>
            <w:tcMar>
              <w:top w:w="40" w:type="dxa"/>
              <w:bottom w:w="40" w:type="dxa"/>
              <w:right w:w="20" w:type="dxa"/>
            </w:tcMar>
            <w:vAlign w:val="bottom"/>
          </w:tcPr>
          <w:p w14:paraId="64A8A3E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E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3E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3E6"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3E7" w14:textId="77777777" w:rsidR="008D6614" w:rsidRDefault="00866AF2">
            <w:pPr>
              <w:jc w:val="right"/>
              <w:textAlignment w:val="bottom"/>
            </w:pPr>
            <w:r>
              <w:rPr>
                <w:rFonts w:ascii="Arial" w:eastAsia="宋体" w:hAnsi="Arial" w:cs="Arial"/>
                <w:color w:val="000000"/>
                <w:sz w:val="16"/>
                <w:szCs w:val="16"/>
              </w:rPr>
              <w:t>7,750 </w:t>
            </w:r>
          </w:p>
        </w:tc>
        <w:tc>
          <w:tcPr>
            <w:tcW w:w="0" w:type="auto"/>
            <w:tcBorders>
              <w:top w:val="single" w:sz="8" w:space="0" w:color="000000"/>
            </w:tcBorders>
            <w:shd w:val="clear" w:color="auto" w:fill="E2E2E2"/>
            <w:tcMar>
              <w:top w:w="40" w:type="dxa"/>
              <w:bottom w:w="40" w:type="dxa"/>
              <w:right w:w="20" w:type="dxa"/>
            </w:tcMar>
            <w:vAlign w:val="bottom"/>
          </w:tcPr>
          <w:p w14:paraId="64A8A3E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3E9"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3EA" w14:textId="77777777" w:rsidR="008D6614" w:rsidRDefault="008D6614">
            <w:pPr>
              <w:rPr>
                <w:rFonts w:ascii="宋体"/>
              </w:rPr>
            </w:pPr>
          </w:p>
        </w:tc>
      </w:tr>
      <w:tr w:rsidR="008D6614" w14:paraId="64A8A3F9" w14:textId="77777777">
        <w:trPr>
          <w:jc w:val="center"/>
        </w:trPr>
        <w:tc>
          <w:tcPr>
            <w:tcW w:w="0" w:type="auto"/>
            <w:gridSpan w:val="3"/>
            <w:shd w:val="clear" w:color="auto" w:fill="FFFFFF"/>
            <w:tcMar>
              <w:top w:w="40" w:type="dxa"/>
              <w:left w:w="20" w:type="dxa"/>
              <w:bottom w:w="40" w:type="dxa"/>
              <w:right w:w="20" w:type="dxa"/>
            </w:tcMar>
            <w:vAlign w:val="bottom"/>
          </w:tcPr>
          <w:p w14:paraId="64A8A3EC" w14:textId="77777777" w:rsidR="008D6614" w:rsidRDefault="00866AF2">
            <w:pPr>
              <w:textAlignment w:val="bottom"/>
            </w:pPr>
            <w:r>
              <w:rPr>
                <w:rFonts w:ascii="Arial" w:eastAsia="宋体" w:hAnsi="Arial" w:cs="Arial"/>
                <w:color w:val="000000"/>
                <w:sz w:val="16"/>
                <w:szCs w:val="16"/>
              </w:rPr>
              <w:t xml:space="preserve">Hedge accounting fair value adjustments </w:t>
            </w:r>
            <w:r>
              <w:rPr>
                <w:rFonts w:ascii="Arial" w:eastAsia="宋体" w:hAnsi="Arial" w:cs="Arial"/>
                <w:color w:val="000000"/>
                <w:sz w:val="10"/>
                <w:szCs w:val="10"/>
              </w:rPr>
              <w:t>(1)</w:t>
            </w:r>
          </w:p>
        </w:tc>
        <w:tc>
          <w:tcPr>
            <w:tcW w:w="0" w:type="auto"/>
            <w:gridSpan w:val="3"/>
            <w:shd w:val="clear" w:color="auto" w:fill="FFFFFF"/>
            <w:tcMar>
              <w:left w:w="20" w:type="dxa"/>
              <w:right w:w="20" w:type="dxa"/>
            </w:tcMar>
            <w:vAlign w:val="bottom"/>
          </w:tcPr>
          <w:p w14:paraId="64A8A3E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3EE"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3EF"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F0" w14:textId="77777777" w:rsidR="008D6614" w:rsidRDefault="00866AF2">
            <w:pPr>
              <w:jc w:val="right"/>
              <w:textAlignment w:val="bottom"/>
            </w:pPr>
            <w:r>
              <w:rPr>
                <w:rFonts w:ascii="Arial" w:eastAsia="宋体" w:hAnsi="Arial" w:cs="Arial"/>
                <w:color w:val="000000"/>
                <w:sz w:val="16"/>
                <w:szCs w:val="16"/>
              </w:rPr>
              <w:t>14 </w:t>
            </w:r>
          </w:p>
        </w:tc>
        <w:tc>
          <w:tcPr>
            <w:tcW w:w="0" w:type="auto"/>
            <w:shd w:val="clear" w:color="auto" w:fill="FFFFFF"/>
            <w:tcMar>
              <w:top w:w="40" w:type="dxa"/>
              <w:bottom w:w="40" w:type="dxa"/>
              <w:right w:w="20" w:type="dxa"/>
            </w:tcMar>
            <w:vAlign w:val="bottom"/>
          </w:tcPr>
          <w:p w14:paraId="64A8A3F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F2"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3F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3F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3F5" w14:textId="77777777" w:rsidR="008D6614" w:rsidRDefault="00866AF2">
            <w:pPr>
              <w:jc w:val="right"/>
              <w:textAlignment w:val="bottom"/>
            </w:pPr>
            <w:r>
              <w:rPr>
                <w:rFonts w:ascii="Arial" w:eastAsia="宋体" w:hAnsi="Arial" w:cs="Arial"/>
                <w:color w:val="000000"/>
                <w:sz w:val="16"/>
                <w:szCs w:val="16"/>
              </w:rPr>
              <w:t>15 </w:t>
            </w:r>
          </w:p>
        </w:tc>
        <w:tc>
          <w:tcPr>
            <w:tcW w:w="0" w:type="auto"/>
            <w:shd w:val="clear" w:color="auto" w:fill="FFFFFF"/>
            <w:tcMar>
              <w:top w:w="40" w:type="dxa"/>
              <w:bottom w:w="40" w:type="dxa"/>
              <w:right w:w="20" w:type="dxa"/>
            </w:tcMar>
            <w:vAlign w:val="bottom"/>
          </w:tcPr>
          <w:p w14:paraId="64A8A3F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3F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3F8" w14:textId="77777777" w:rsidR="008D6614" w:rsidRDefault="008D6614">
            <w:pPr>
              <w:rPr>
                <w:rFonts w:ascii="宋体"/>
              </w:rPr>
            </w:pPr>
          </w:p>
        </w:tc>
      </w:tr>
      <w:tr w:rsidR="008D6614" w14:paraId="64A8A407" w14:textId="77777777">
        <w:trPr>
          <w:jc w:val="center"/>
        </w:trPr>
        <w:tc>
          <w:tcPr>
            <w:tcW w:w="0" w:type="auto"/>
            <w:gridSpan w:val="3"/>
            <w:shd w:val="clear" w:color="auto" w:fill="E2E2E2"/>
            <w:tcMar>
              <w:top w:w="40" w:type="dxa"/>
              <w:left w:w="20" w:type="dxa"/>
              <w:bottom w:w="40" w:type="dxa"/>
              <w:right w:w="20" w:type="dxa"/>
            </w:tcMar>
            <w:vAlign w:val="bottom"/>
          </w:tcPr>
          <w:p w14:paraId="64A8A3FA" w14:textId="77777777" w:rsidR="008D6614" w:rsidRDefault="00866AF2">
            <w:pPr>
              <w:textAlignment w:val="bottom"/>
            </w:pPr>
            <w:r>
              <w:rPr>
                <w:rFonts w:ascii="Arial" w:eastAsia="宋体" w:hAnsi="Arial" w:cs="Arial"/>
                <w:color w:val="000000"/>
                <w:sz w:val="16"/>
                <w:szCs w:val="16"/>
              </w:rPr>
              <w:t>Unamortized discount and debt issuance costs</w:t>
            </w:r>
          </w:p>
        </w:tc>
        <w:tc>
          <w:tcPr>
            <w:tcW w:w="0" w:type="auto"/>
            <w:gridSpan w:val="3"/>
            <w:shd w:val="clear" w:color="auto" w:fill="E2E2E2"/>
            <w:tcMar>
              <w:left w:w="20" w:type="dxa"/>
              <w:right w:w="20" w:type="dxa"/>
            </w:tcMar>
            <w:vAlign w:val="bottom"/>
          </w:tcPr>
          <w:p w14:paraId="64A8A3FB"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3FC"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3F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3FE" w14:textId="77777777" w:rsidR="008D6614" w:rsidRDefault="00866AF2">
            <w:pPr>
              <w:jc w:val="right"/>
              <w:textAlignment w:val="bottom"/>
            </w:pPr>
            <w:r>
              <w:rPr>
                <w:rFonts w:ascii="Arial" w:eastAsia="宋体" w:hAnsi="Arial" w:cs="Arial"/>
                <w:color w:val="000000"/>
                <w:sz w:val="16"/>
                <w:szCs w:val="16"/>
              </w:rPr>
              <w:t>(53)</w:t>
            </w:r>
          </w:p>
        </w:tc>
        <w:tc>
          <w:tcPr>
            <w:tcW w:w="0" w:type="auto"/>
            <w:shd w:val="clear" w:color="auto" w:fill="E2E2E2"/>
            <w:tcMar>
              <w:top w:w="40" w:type="dxa"/>
              <w:bottom w:w="40" w:type="dxa"/>
              <w:right w:w="20" w:type="dxa"/>
            </w:tcMar>
            <w:vAlign w:val="bottom"/>
          </w:tcPr>
          <w:p w14:paraId="64A8A3F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400"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01"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0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403" w14:textId="77777777" w:rsidR="008D6614" w:rsidRDefault="00866AF2">
            <w:pPr>
              <w:jc w:val="right"/>
              <w:textAlignment w:val="bottom"/>
            </w:pPr>
            <w:r>
              <w:rPr>
                <w:rFonts w:ascii="Arial" w:eastAsia="宋体" w:hAnsi="Arial" w:cs="Arial"/>
                <w:color w:val="000000"/>
                <w:sz w:val="16"/>
                <w:szCs w:val="16"/>
              </w:rPr>
              <w:t>(44)</w:t>
            </w:r>
          </w:p>
        </w:tc>
        <w:tc>
          <w:tcPr>
            <w:tcW w:w="0" w:type="auto"/>
            <w:shd w:val="clear" w:color="auto" w:fill="E2E2E2"/>
            <w:tcMar>
              <w:top w:w="40" w:type="dxa"/>
              <w:bottom w:w="40" w:type="dxa"/>
              <w:right w:w="20" w:type="dxa"/>
            </w:tcMar>
            <w:vAlign w:val="bottom"/>
          </w:tcPr>
          <w:p w14:paraId="64A8A40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40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06" w14:textId="77777777" w:rsidR="008D6614" w:rsidRDefault="008D6614">
            <w:pPr>
              <w:rPr>
                <w:rFonts w:ascii="宋体"/>
              </w:rPr>
            </w:pPr>
          </w:p>
        </w:tc>
      </w:tr>
      <w:tr w:rsidR="008D6614" w14:paraId="64A8A415" w14:textId="77777777">
        <w:trPr>
          <w:jc w:val="center"/>
        </w:trPr>
        <w:tc>
          <w:tcPr>
            <w:tcW w:w="0" w:type="auto"/>
            <w:gridSpan w:val="3"/>
            <w:shd w:val="clear" w:color="auto" w:fill="FFFFFF"/>
            <w:tcMar>
              <w:top w:w="40" w:type="dxa"/>
              <w:left w:w="20" w:type="dxa"/>
              <w:bottom w:w="40" w:type="dxa"/>
              <w:right w:w="20" w:type="dxa"/>
            </w:tcMar>
            <w:vAlign w:val="bottom"/>
          </w:tcPr>
          <w:p w14:paraId="64A8A408" w14:textId="77777777" w:rsidR="008D6614" w:rsidRDefault="00866AF2">
            <w:pPr>
              <w:textAlignment w:val="bottom"/>
            </w:pPr>
            <w:r>
              <w:rPr>
                <w:rFonts w:ascii="Arial" w:eastAsia="宋体" w:hAnsi="Arial" w:cs="Arial"/>
                <w:color w:val="000000"/>
                <w:sz w:val="16"/>
                <w:szCs w:val="16"/>
              </w:rPr>
              <w:t xml:space="preserve">Other </w:t>
            </w:r>
            <w:r>
              <w:rPr>
                <w:rFonts w:ascii="Arial" w:eastAsia="宋体" w:hAnsi="Arial" w:cs="Arial"/>
                <w:color w:val="000000"/>
                <w:sz w:val="16"/>
                <w:szCs w:val="16"/>
              </w:rPr>
              <w:t>long-term borrowings</w:t>
            </w:r>
          </w:p>
        </w:tc>
        <w:tc>
          <w:tcPr>
            <w:tcW w:w="0" w:type="auto"/>
            <w:gridSpan w:val="3"/>
            <w:shd w:val="clear" w:color="auto" w:fill="FFFFFF"/>
            <w:tcMar>
              <w:left w:w="20" w:type="dxa"/>
              <w:right w:w="20" w:type="dxa"/>
            </w:tcMar>
            <w:vAlign w:val="bottom"/>
          </w:tcPr>
          <w:p w14:paraId="64A8A409"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0A"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0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40C" w14:textId="77777777" w:rsidR="008D6614" w:rsidRDefault="00866AF2">
            <w:pPr>
              <w:jc w:val="right"/>
              <w:textAlignment w:val="bottom"/>
            </w:pPr>
            <w:r>
              <w:rPr>
                <w:rFonts w:ascii="Arial" w:eastAsia="宋体" w:hAnsi="Arial" w:cs="Arial"/>
                <w:color w:val="000000"/>
                <w:sz w:val="16"/>
                <w:szCs w:val="16"/>
              </w:rPr>
              <w:t>13 </w:t>
            </w:r>
          </w:p>
        </w:tc>
        <w:tc>
          <w:tcPr>
            <w:tcW w:w="0" w:type="auto"/>
            <w:shd w:val="clear" w:color="auto" w:fill="FFFFFF"/>
            <w:tcMar>
              <w:top w:w="40" w:type="dxa"/>
              <w:bottom w:w="40" w:type="dxa"/>
              <w:right w:w="20" w:type="dxa"/>
            </w:tcMar>
            <w:vAlign w:val="bottom"/>
          </w:tcPr>
          <w:p w14:paraId="64A8A40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40E"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0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10" w14:textId="77777777" w:rsidR="008D6614" w:rsidRDefault="008D6614">
            <w:pPr>
              <w:rPr>
                <w:rFonts w:ascii="宋体"/>
              </w:rPr>
            </w:pPr>
          </w:p>
        </w:tc>
        <w:tc>
          <w:tcPr>
            <w:tcW w:w="0" w:type="auto"/>
            <w:gridSpan w:val="2"/>
            <w:shd w:val="clear" w:color="auto" w:fill="auto"/>
            <w:tcMar>
              <w:top w:w="40" w:type="dxa"/>
              <w:left w:w="20" w:type="dxa"/>
              <w:bottom w:w="40" w:type="dxa"/>
              <w:right w:w="0" w:type="dxa"/>
            </w:tcMar>
            <w:vAlign w:val="bottom"/>
          </w:tcPr>
          <w:p w14:paraId="64A8A411" w14:textId="77777777" w:rsidR="008D6614" w:rsidRDefault="00866AF2">
            <w:pPr>
              <w:jc w:val="right"/>
              <w:textAlignment w:val="bottom"/>
            </w:pPr>
            <w:r>
              <w:rPr>
                <w:rFonts w:ascii="Arial" w:eastAsia="宋体" w:hAnsi="Arial" w:cs="Arial"/>
                <w:color w:val="000000"/>
                <w:sz w:val="18"/>
                <w:szCs w:val="18"/>
              </w:rPr>
              <w:t>17 </w:t>
            </w:r>
          </w:p>
        </w:tc>
        <w:tc>
          <w:tcPr>
            <w:tcW w:w="0" w:type="auto"/>
            <w:shd w:val="clear" w:color="auto" w:fill="auto"/>
            <w:tcMar>
              <w:top w:w="40" w:type="dxa"/>
              <w:bottom w:w="40" w:type="dxa"/>
              <w:right w:w="20" w:type="dxa"/>
            </w:tcMar>
            <w:vAlign w:val="bottom"/>
          </w:tcPr>
          <w:p w14:paraId="64A8A41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41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14" w14:textId="77777777" w:rsidR="008D6614" w:rsidRDefault="008D6614">
            <w:pPr>
              <w:rPr>
                <w:rFonts w:ascii="宋体"/>
              </w:rPr>
            </w:pPr>
          </w:p>
        </w:tc>
      </w:tr>
      <w:tr w:rsidR="008D6614" w14:paraId="64A8A423" w14:textId="77777777">
        <w:trPr>
          <w:jc w:val="center"/>
        </w:trPr>
        <w:tc>
          <w:tcPr>
            <w:tcW w:w="0" w:type="auto"/>
            <w:gridSpan w:val="3"/>
            <w:shd w:val="clear" w:color="auto" w:fill="E2E2E2"/>
            <w:tcMar>
              <w:top w:w="40" w:type="dxa"/>
              <w:left w:w="20" w:type="dxa"/>
              <w:bottom w:w="40" w:type="dxa"/>
              <w:right w:w="20" w:type="dxa"/>
            </w:tcMar>
            <w:vAlign w:val="bottom"/>
          </w:tcPr>
          <w:p w14:paraId="64A8A416" w14:textId="77777777" w:rsidR="008D6614" w:rsidRDefault="00866AF2">
            <w:pPr>
              <w:textAlignment w:val="bottom"/>
            </w:pPr>
            <w:r>
              <w:rPr>
                <w:rFonts w:ascii="Arial" w:eastAsia="宋体" w:hAnsi="Arial" w:cs="Arial"/>
                <w:color w:val="000000"/>
                <w:sz w:val="16"/>
                <w:szCs w:val="16"/>
              </w:rPr>
              <w:t>Less: Current portion of long-term debt</w:t>
            </w:r>
          </w:p>
        </w:tc>
        <w:tc>
          <w:tcPr>
            <w:tcW w:w="0" w:type="auto"/>
            <w:gridSpan w:val="3"/>
            <w:shd w:val="clear" w:color="auto" w:fill="E2E2E2"/>
            <w:tcMar>
              <w:left w:w="20" w:type="dxa"/>
              <w:right w:w="20" w:type="dxa"/>
            </w:tcMar>
            <w:vAlign w:val="bottom"/>
          </w:tcPr>
          <w:p w14:paraId="64A8A41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1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1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41A" w14:textId="77777777" w:rsidR="008D6614" w:rsidRDefault="00866AF2">
            <w:pPr>
              <w:jc w:val="right"/>
              <w:textAlignment w:val="bottom"/>
            </w:pPr>
            <w:r>
              <w:rPr>
                <w:rFonts w:ascii="Arial" w:eastAsia="宋体" w:hAnsi="Arial" w:cs="Arial"/>
                <w:color w:val="000000"/>
                <w:sz w:val="16"/>
                <w:szCs w:val="16"/>
              </w:rPr>
              <w:t>(1,000)</w:t>
            </w:r>
          </w:p>
        </w:tc>
        <w:tc>
          <w:tcPr>
            <w:tcW w:w="0" w:type="auto"/>
            <w:shd w:val="clear" w:color="auto" w:fill="E2E2E2"/>
            <w:tcMar>
              <w:top w:w="40" w:type="dxa"/>
              <w:bottom w:w="40" w:type="dxa"/>
              <w:right w:w="20" w:type="dxa"/>
            </w:tcMar>
            <w:vAlign w:val="bottom"/>
          </w:tcPr>
          <w:p w14:paraId="64A8A41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41C"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1D"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1E"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41F" w14:textId="77777777" w:rsidR="008D6614" w:rsidRDefault="00866AF2">
            <w:pPr>
              <w:jc w:val="right"/>
              <w:textAlignment w:val="bottom"/>
            </w:pPr>
            <w:r>
              <w:rPr>
                <w:rFonts w:ascii="Arial" w:eastAsia="宋体" w:hAnsi="Arial" w:cs="Arial"/>
                <w:color w:val="000000"/>
                <w:sz w:val="16"/>
                <w:szCs w:val="16"/>
              </w:rPr>
              <w:t>(1,000)</w:t>
            </w:r>
          </w:p>
        </w:tc>
        <w:tc>
          <w:tcPr>
            <w:tcW w:w="0" w:type="auto"/>
            <w:shd w:val="clear" w:color="auto" w:fill="E2E2E2"/>
            <w:tcMar>
              <w:top w:w="40" w:type="dxa"/>
              <w:bottom w:w="40" w:type="dxa"/>
              <w:right w:w="20" w:type="dxa"/>
            </w:tcMar>
            <w:vAlign w:val="bottom"/>
          </w:tcPr>
          <w:p w14:paraId="64A8A42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421"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22" w14:textId="77777777" w:rsidR="008D6614" w:rsidRDefault="008D6614">
            <w:pPr>
              <w:rPr>
                <w:rFonts w:ascii="宋体"/>
              </w:rPr>
            </w:pPr>
          </w:p>
        </w:tc>
      </w:tr>
      <w:tr w:rsidR="008D6614" w14:paraId="64A8A431" w14:textId="77777777">
        <w:trPr>
          <w:jc w:val="center"/>
        </w:trPr>
        <w:tc>
          <w:tcPr>
            <w:tcW w:w="0" w:type="auto"/>
            <w:gridSpan w:val="3"/>
            <w:shd w:val="clear" w:color="auto" w:fill="FFFFFF"/>
            <w:tcMar>
              <w:top w:w="40" w:type="dxa"/>
              <w:left w:w="360" w:type="dxa"/>
              <w:bottom w:w="40" w:type="dxa"/>
              <w:right w:w="20" w:type="dxa"/>
            </w:tcMar>
            <w:vAlign w:val="bottom"/>
          </w:tcPr>
          <w:p w14:paraId="64A8A424" w14:textId="77777777" w:rsidR="008D6614" w:rsidRDefault="00866AF2">
            <w:pPr>
              <w:textAlignment w:val="bottom"/>
            </w:pPr>
            <w:r>
              <w:rPr>
                <w:rFonts w:ascii="Arial" w:eastAsia="宋体" w:hAnsi="Arial" w:cs="Arial"/>
                <w:color w:val="000000"/>
                <w:sz w:val="16"/>
                <w:szCs w:val="16"/>
              </w:rPr>
              <w:t>Total long-term debt</w:t>
            </w:r>
          </w:p>
        </w:tc>
        <w:tc>
          <w:tcPr>
            <w:tcW w:w="0" w:type="auto"/>
            <w:gridSpan w:val="3"/>
            <w:shd w:val="clear" w:color="auto" w:fill="FFFFFF"/>
            <w:tcMar>
              <w:left w:w="20" w:type="dxa"/>
              <w:right w:w="20" w:type="dxa"/>
            </w:tcMar>
            <w:vAlign w:val="bottom"/>
          </w:tcPr>
          <w:p w14:paraId="64A8A42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26"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27"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428" w14:textId="77777777" w:rsidR="008D6614" w:rsidRDefault="00866AF2">
            <w:pPr>
              <w:jc w:val="right"/>
              <w:textAlignment w:val="bottom"/>
            </w:pPr>
            <w:r>
              <w:rPr>
                <w:rFonts w:ascii="Arial" w:eastAsia="宋体" w:hAnsi="Arial" w:cs="Arial"/>
                <w:color w:val="000000"/>
                <w:sz w:val="16"/>
                <w:szCs w:val="16"/>
              </w:rPr>
              <w:t>7,724 </w:t>
            </w:r>
          </w:p>
        </w:tc>
        <w:tc>
          <w:tcPr>
            <w:tcW w:w="0" w:type="auto"/>
            <w:tcBorders>
              <w:top w:val="single" w:sz="8" w:space="0" w:color="000000"/>
            </w:tcBorders>
            <w:shd w:val="clear" w:color="auto" w:fill="FFFFFF"/>
            <w:tcMar>
              <w:top w:w="40" w:type="dxa"/>
              <w:bottom w:w="40" w:type="dxa"/>
              <w:right w:w="20" w:type="dxa"/>
            </w:tcMar>
            <w:vAlign w:val="bottom"/>
          </w:tcPr>
          <w:p w14:paraId="64A8A42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42A"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2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2C"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42D" w14:textId="77777777" w:rsidR="008D6614" w:rsidRDefault="00866AF2">
            <w:pPr>
              <w:jc w:val="right"/>
              <w:textAlignment w:val="bottom"/>
            </w:pPr>
            <w:r>
              <w:rPr>
                <w:rFonts w:ascii="Arial" w:eastAsia="宋体" w:hAnsi="Arial" w:cs="Arial"/>
                <w:color w:val="000000"/>
                <w:sz w:val="16"/>
                <w:szCs w:val="16"/>
              </w:rPr>
              <w:t>6,738 </w:t>
            </w:r>
          </w:p>
        </w:tc>
        <w:tc>
          <w:tcPr>
            <w:tcW w:w="0" w:type="auto"/>
            <w:tcBorders>
              <w:top w:val="single" w:sz="8" w:space="0" w:color="000000"/>
            </w:tcBorders>
            <w:shd w:val="clear" w:color="auto" w:fill="FFFFFF"/>
            <w:tcMar>
              <w:top w:w="40" w:type="dxa"/>
              <w:bottom w:w="40" w:type="dxa"/>
              <w:right w:w="20" w:type="dxa"/>
            </w:tcMar>
            <w:vAlign w:val="bottom"/>
          </w:tcPr>
          <w:p w14:paraId="64A8A42E"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42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30" w14:textId="77777777" w:rsidR="008D6614" w:rsidRDefault="008D6614">
            <w:pPr>
              <w:rPr>
                <w:rFonts w:ascii="宋体"/>
              </w:rPr>
            </w:pPr>
          </w:p>
        </w:tc>
      </w:tr>
      <w:tr w:rsidR="008D6614" w14:paraId="64A8A43D" w14:textId="77777777">
        <w:trPr>
          <w:trHeight w:val="280"/>
          <w:jc w:val="center"/>
        </w:trPr>
        <w:tc>
          <w:tcPr>
            <w:tcW w:w="0" w:type="auto"/>
            <w:gridSpan w:val="3"/>
            <w:shd w:val="clear" w:color="auto" w:fill="E2E2E2"/>
            <w:tcMar>
              <w:left w:w="20" w:type="dxa"/>
              <w:right w:w="20" w:type="dxa"/>
            </w:tcMar>
            <w:vAlign w:val="bottom"/>
          </w:tcPr>
          <w:p w14:paraId="64A8A432"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33"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3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35"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43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3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3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39"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43A"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3B"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3C" w14:textId="77777777" w:rsidR="008D6614" w:rsidRDefault="008D6614">
            <w:pPr>
              <w:rPr>
                <w:rFonts w:ascii="宋体"/>
              </w:rPr>
            </w:pPr>
          </w:p>
        </w:tc>
      </w:tr>
      <w:tr w:rsidR="008D6614" w14:paraId="64A8A449" w14:textId="77777777">
        <w:trPr>
          <w:jc w:val="center"/>
        </w:trPr>
        <w:tc>
          <w:tcPr>
            <w:tcW w:w="0" w:type="auto"/>
            <w:gridSpan w:val="3"/>
            <w:shd w:val="clear" w:color="auto" w:fill="FFFFFF"/>
            <w:tcMar>
              <w:top w:w="40" w:type="dxa"/>
              <w:left w:w="20" w:type="dxa"/>
              <w:bottom w:w="40" w:type="dxa"/>
              <w:right w:w="20" w:type="dxa"/>
            </w:tcMar>
            <w:vAlign w:val="bottom"/>
          </w:tcPr>
          <w:p w14:paraId="64A8A43E" w14:textId="77777777" w:rsidR="008D6614" w:rsidRDefault="00866AF2">
            <w:pPr>
              <w:textAlignment w:val="bottom"/>
            </w:pPr>
            <w:r>
              <w:rPr>
                <w:rFonts w:ascii="Arial" w:eastAsia="宋体" w:hAnsi="Arial" w:cs="Arial"/>
                <w:b/>
                <w:bCs/>
                <w:color w:val="000000"/>
                <w:sz w:val="16"/>
                <w:szCs w:val="16"/>
              </w:rPr>
              <w:t>Short-Term Debt</w:t>
            </w:r>
          </w:p>
        </w:tc>
        <w:tc>
          <w:tcPr>
            <w:tcW w:w="0" w:type="auto"/>
            <w:gridSpan w:val="3"/>
            <w:shd w:val="clear" w:color="auto" w:fill="FFFFFF"/>
            <w:tcMar>
              <w:left w:w="20" w:type="dxa"/>
              <w:right w:w="20" w:type="dxa"/>
            </w:tcMar>
            <w:vAlign w:val="bottom"/>
          </w:tcPr>
          <w:p w14:paraId="64A8A43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40"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41"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42"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4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44"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4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46"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4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48" w14:textId="77777777" w:rsidR="008D6614" w:rsidRDefault="008D6614">
            <w:pPr>
              <w:rPr>
                <w:rFonts w:ascii="宋体"/>
              </w:rPr>
            </w:pPr>
          </w:p>
        </w:tc>
      </w:tr>
      <w:tr w:rsidR="008D6614" w14:paraId="64A8A457" w14:textId="77777777">
        <w:trPr>
          <w:jc w:val="center"/>
        </w:trPr>
        <w:tc>
          <w:tcPr>
            <w:tcW w:w="0" w:type="auto"/>
            <w:gridSpan w:val="3"/>
            <w:shd w:val="clear" w:color="auto" w:fill="E2E2E2"/>
            <w:tcMar>
              <w:top w:w="40" w:type="dxa"/>
              <w:left w:w="135" w:type="dxa"/>
              <w:bottom w:w="40" w:type="dxa"/>
              <w:right w:w="20" w:type="dxa"/>
            </w:tcMar>
            <w:vAlign w:val="bottom"/>
          </w:tcPr>
          <w:p w14:paraId="64A8A44A" w14:textId="77777777" w:rsidR="008D6614" w:rsidRDefault="00866AF2">
            <w:pPr>
              <w:textAlignment w:val="bottom"/>
            </w:pPr>
            <w:r>
              <w:rPr>
                <w:rFonts w:ascii="Arial" w:eastAsia="宋体" w:hAnsi="Arial" w:cs="Arial"/>
                <w:color w:val="000000"/>
                <w:sz w:val="16"/>
                <w:szCs w:val="16"/>
              </w:rPr>
              <w:t>Current portion of long-term debt</w:t>
            </w:r>
          </w:p>
        </w:tc>
        <w:tc>
          <w:tcPr>
            <w:tcW w:w="0" w:type="auto"/>
            <w:gridSpan w:val="3"/>
            <w:shd w:val="clear" w:color="auto" w:fill="E2E2E2"/>
            <w:tcMar>
              <w:left w:w="20" w:type="dxa"/>
              <w:right w:w="20" w:type="dxa"/>
            </w:tcMar>
            <w:vAlign w:val="bottom"/>
          </w:tcPr>
          <w:p w14:paraId="64A8A44B"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4C"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4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44E" w14:textId="77777777" w:rsidR="008D6614" w:rsidRDefault="00866AF2">
            <w:pPr>
              <w:jc w:val="right"/>
              <w:textAlignment w:val="bottom"/>
            </w:pPr>
            <w:r>
              <w:rPr>
                <w:rFonts w:ascii="Arial" w:eastAsia="宋体" w:hAnsi="Arial" w:cs="Arial"/>
                <w:color w:val="000000"/>
                <w:sz w:val="16"/>
                <w:szCs w:val="16"/>
              </w:rPr>
              <w:t>1,000 </w:t>
            </w:r>
          </w:p>
        </w:tc>
        <w:tc>
          <w:tcPr>
            <w:tcW w:w="0" w:type="auto"/>
            <w:shd w:val="clear" w:color="auto" w:fill="E2E2E2"/>
            <w:tcMar>
              <w:top w:w="40" w:type="dxa"/>
              <w:bottom w:w="40" w:type="dxa"/>
              <w:right w:w="20" w:type="dxa"/>
            </w:tcMar>
            <w:vAlign w:val="bottom"/>
          </w:tcPr>
          <w:p w14:paraId="64A8A44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450"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51"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5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453" w14:textId="77777777" w:rsidR="008D6614" w:rsidRDefault="00866AF2">
            <w:pPr>
              <w:jc w:val="right"/>
              <w:textAlignment w:val="bottom"/>
            </w:pPr>
            <w:r>
              <w:rPr>
                <w:rFonts w:ascii="Arial" w:eastAsia="宋体" w:hAnsi="Arial" w:cs="Arial"/>
                <w:color w:val="000000"/>
                <w:sz w:val="16"/>
                <w:szCs w:val="16"/>
              </w:rPr>
              <w:t>1,000 </w:t>
            </w:r>
          </w:p>
        </w:tc>
        <w:tc>
          <w:tcPr>
            <w:tcW w:w="0" w:type="auto"/>
            <w:shd w:val="clear" w:color="auto" w:fill="E2E2E2"/>
            <w:tcMar>
              <w:top w:w="40" w:type="dxa"/>
              <w:bottom w:w="40" w:type="dxa"/>
              <w:right w:w="20" w:type="dxa"/>
            </w:tcMar>
            <w:vAlign w:val="bottom"/>
          </w:tcPr>
          <w:p w14:paraId="64A8A45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45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56" w14:textId="77777777" w:rsidR="008D6614" w:rsidRDefault="008D6614">
            <w:pPr>
              <w:rPr>
                <w:rFonts w:ascii="宋体"/>
              </w:rPr>
            </w:pPr>
          </w:p>
        </w:tc>
      </w:tr>
      <w:tr w:rsidR="008D6614" w14:paraId="64A8A463" w14:textId="77777777">
        <w:trPr>
          <w:jc w:val="center"/>
          <w:hidden/>
        </w:trPr>
        <w:tc>
          <w:tcPr>
            <w:tcW w:w="0" w:type="auto"/>
            <w:gridSpan w:val="3"/>
            <w:shd w:val="clear" w:color="auto" w:fill="auto"/>
            <w:vAlign w:val="center"/>
          </w:tcPr>
          <w:p w14:paraId="64A8A458" w14:textId="77777777" w:rsidR="008D6614" w:rsidRDefault="008D6614">
            <w:pPr>
              <w:rPr>
                <w:rFonts w:ascii="宋体"/>
                <w:vanish/>
              </w:rPr>
            </w:pPr>
          </w:p>
        </w:tc>
        <w:tc>
          <w:tcPr>
            <w:tcW w:w="0" w:type="auto"/>
            <w:gridSpan w:val="3"/>
            <w:shd w:val="clear" w:color="auto" w:fill="auto"/>
            <w:vAlign w:val="center"/>
          </w:tcPr>
          <w:p w14:paraId="64A8A459" w14:textId="77777777" w:rsidR="008D6614" w:rsidRDefault="008D6614">
            <w:pPr>
              <w:rPr>
                <w:rFonts w:ascii="宋体"/>
                <w:vanish/>
              </w:rPr>
            </w:pPr>
          </w:p>
        </w:tc>
        <w:tc>
          <w:tcPr>
            <w:tcW w:w="0" w:type="auto"/>
            <w:gridSpan w:val="3"/>
            <w:shd w:val="clear" w:color="auto" w:fill="auto"/>
            <w:vAlign w:val="center"/>
          </w:tcPr>
          <w:p w14:paraId="64A8A45A" w14:textId="77777777" w:rsidR="008D6614" w:rsidRDefault="008D6614">
            <w:pPr>
              <w:rPr>
                <w:rFonts w:ascii="宋体"/>
                <w:vanish/>
              </w:rPr>
            </w:pPr>
          </w:p>
        </w:tc>
        <w:tc>
          <w:tcPr>
            <w:tcW w:w="0" w:type="auto"/>
            <w:gridSpan w:val="3"/>
            <w:shd w:val="clear" w:color="auto" w:fill="auto"/>
            <w:vAlign w:val="center"/>
          </w:tcPr>
          <w:p w14:paraId="64A8A45B" w14:textId="77777777" w:rsidR="008D6614" w:rsidRDefault="008D6614">
            <w:pPr>
              <w:rPr>
                <w:rFonts w:ascii="宋体"/>
                <w:vanish/>
              </w:rPr>
            </w:pPr>
          </w:p>
        </w:tc>
        <w:tc>
          <w:tcPr>
            <w:tcW w:w="0" w:type="auto"/>
            <w:gridSpan w:val="3"/>
            <w:shd w:val="clear" w:color="auto" w:fill="auto"/>
            <w:vAlign w:val="center"/>
          </w:tcPr>
          <w:p w14:paraId="64A8A45C" w14:textId="77777777" w:rsidR="008D6614" w:rsidRDefault="008D6614">
            <w:pPr>
              <w:rPr>
                <w:rFonts w:ascii="宋体"/>
                <w:vanish/>
              </w:rPr>
            </w:pPr>
          </w:p>
        </w:tc>
        <w:tc>
          <w:tcPr>
            <w:tcW w:w="0" w:type="auto"/>
            <w:gridSpan w:val="3"/>
            <w:shd w:val="clear" w:color="auto" w:fill="auto"/>
            <w:vAlign w:val="center"/>
          </w:tcPr>
          <w:p w14:paraId="64A8A45D" w14:textId="77777777" w:rsidR="008D6614" w:rsidRDefault="008D6614">
            <w:pPr>
              <w:rPr>
                <w:rFonts w:ascii="宋体"/>
                <w:vanish/>
              </w:rPr>
            </w:pPr>
          </w:p>
        </w:tc>
        <w:tc>
          <w:tcPr>
            <w:tcW w:w="0" w:type="auto"/>
            <w:gridSpan w:val="3"/>
            <w:shd w:val="clear" w:color="auto" w:fill="auto"/>
            <w:vAlign w:val="center"/>
          </w:tcPr>
          <w:p w14:paraId="64A8A45E" w14:textId="77777777" w:rsidR="008D6614" w:rsidRDefault="008D6614">
            <w:pPr>
              <w:rPr>
                <w:rFonts w:ascii="宋体"/>
                <w:vanish/>
              </w:rPr>
            </w:pPr>
          </w:p>
        </w:tc>
        <w:tc>
          <w:tcPr>
            <w:tcW w:w="0" w:type="auto"/>
            <w:gridSpan w:val="3"/>
            <w:shd w:val="clear" w:color="auto" w:fill="auto"/>
            <w:vAlign w:val="center"/>
          </w:tcPr>
          <w:p w14:paraId="64A8A45F" w14:textId="77777777" w:rsidR="008D6614" w:rsidRDefault="008D6614">
            <w:pPr>
              <w:rPr>
                <w:rFonts w:ascii="宋体"/>
                <w:vanish/>
              </w:rPr>
            </w:pPr>
          </w:p>
        </w:tc>
        <w:tc>
          <w:tcPr>
            <w:tcW w:w="0" w:type="auto"/>
            <w:gridSpan w:val="3"/>
            <w:shd w:val="clear" w:color="auto" w:fill="auto"/>
            <w:vAlign w:val="center"/>
          </w:tcPr>
          <w:p w14:paraId="64A8A460" w14:textId="77777777" w:rsidR="008D6614" w:rsidRDefault="008D6614">
            <w:pPr>
              <w:rPr>
                <w:rFonts w:ascii="宋体"/>
                <w:vanish/>
              </w:rPr>
            </w:pPr>
          </w:p>
        </w:tc>
        <w:tc>
          <w:tcPr>
            <w:tcW w:w="0" w:type="auto"/>
            <w:gridSpan w:val="3"/>
            <w:shd w:val="clear" w:color="auto" w:fill="auto"/>
            <w:vAlign w:val="center"/>
          </w:tcPr>
          <w:p w14:paraId="64A8A461" w14:textId="77777777" w:rsidR="008D6614" w:rsidRDefault="008D6614">
            <w:pPr>
              <w:rPr>
                <w:rFonts w:ascii="宋体"/>
                <w:vanish/>
              </w:rPr>
            </w:pPr>
          </w:p>
        </w:tc>
        <w:tc>
          <w:tcPr>
            <w:tcW w:w="0" w:type="auto"/>
            <w:gridSpan w:val="3"/>
            <w:shd w:val="clear" w:color="auto" w:fill="auto"/>
            <w:vAlign w:val="center"/>
          </w:tcPr>
          <w:p w14:paraId="64A8A462" w14:textId="77777777" w:rsidR="008D6614" w:rsidRDefault="008D6614">
            <w:pPr>
              <w:rPr>
                <w:rFonts w:ascii="宋体"/>
                <w:vanish/>
              </w:rPr>
            </w:pPr>
          </w:p>
        </w:tc>
      </w:tr>
      <w:tr w:rsidR="008D6614" w14:paraId="64A8A471" w14:textId="77777777">
        <w:trPr>
          <w:jc w:val="center"/>
        </w:trPr>
        <w:tc>
          <w:tcPr>
            <w:tcW w:w="0" w:type="auto"/>
            <w:gridSpan w:val="3"/>
            <w:shd w:val="clear" w:color="auto" w:fill="FFFFFF"/>
            <w:tcMar>
              <w:top w:w="40" w:type="dxa"/>
              <w:left w:w="135" w:type="dxa"/>
              <w:bottom w:w="40" w:type="dxa"/>
              <w:right w:w="20" w:type="dxa"/>
            </w:tcMar>
            <w:vAlign w:val="bottom"/>
          </w:tcPr>
          <w:p w14:paraId="64A8A464" w14:textId="77777777" w:rsidR="008D6614" w:rsidRDefault="00866AF2">
            <w:pPr>
              <w:textAlignment w:val="bottom"/>
            </w:pPr>
            <w:r>
              <w:rPr>
                <w:rFonts w:ascii="Arial" w:eastAsia="宋体" w:hAnsi="Arial" w:cs="Arial"/>
                <w:color w:val="000000"/>
                <w:sz w:val="16"/>
                <w:szCs w:val="16"/>
              </w:rPr>
              <w:t>Unamortized discount and debt issuance costs</w:t>
            </w:r>
          </w:p>
        </w:tc>
        <w:tc>
          <w:tcPr>
            <w:tcW w:w="0" w:type="auto"/>
            <w:gridSpan w:val="3"/>
            <w:shd w:val="clear" w:color="auto" w:fill="FFFFFF"/>
            <w:tcMar>
              <w:left w:w="20" w:type="dxa"/>
              <w:right w:w="20" w:type="dxa"/>
            </w:tcMar>
            <w:vAlign w:val="bottom"/>
          </w:tcPr>
          <w:p w14:paraId="64A8A46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66"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6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468"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64A8A46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46A"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6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6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46D" w14:textId="77777777" w:rsidR="008D6614" w:rsidRDefault="00866AF2">
            <w:pPr>
              <w:jc w:val="right"/>
              <w:textAlignment w:val="bottom"/>
            </w:pPr>
            <w:r>
              <w:rPr>
                <w:rFonts w:ascii="Arial" w:eastAsia="宋体" w:hAnsi="Arial" w:cs="Arial"/>
                <w:color w:val="000000"/>
                <w:sz w:val="16"/>
                <w:szCs w:val="16"/>
              </w:rPr>
              <w:t>(1)</w:t>
            </w:r>
          </w:p>
        </w:tc>
        <w:tc>
          <w:tcPr>
            <w:tcW w:w="0" w:type="auto"/>
            <w:shd w:val="clear" w:color="auto" w:fill="FFFFFF"/>
            <w:tcMar>
              <w:top w:w="40" w:type="dxa"/>
              <w:bottom w:w="40" w:type="dxa"/>
              <w:right w:w="20" w:type="dxa"/>
            </w:tcMar>
            <w:vAlign w:val="bottom"/>
          </w:tcPr>
          <w:p w14:paraId="64A8A46E"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46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70" w14:textId="77777777" w:rsidR="008D6614" w:rsidRDefault="008D6614">
            <w:pPr>
              <w:rPr>
                <w:rFonts w:ascii="宋体"/>
              </w:rPr>
            </w:pPr>
          </w:p>
        </w:tc>
      </w:tr>
      <w:tr w:rsidR="008D6614" w14:paraId="64A8A47F" w14:textId="77777777">
        <w:trPr>
          <w:jc w:val="center"/>
        </w:trPr>
        <w:tc>
          <w:tcPr>
            <w:tcW w:w="0" w:type="auto"/>
            <w:gridSpan w:val="3"/>
            <w:shd w:val="clear" w:color="auto" w:fill="E2E2E2"/>
            <w:tcMar>
              <w:top w:w="40" w:type="dxa"/>
              <w:left w:w="135" w:type="dxa"/>
              <w:bottom w:w="40" w:type="dxa"/>
              <w:right w:w="20" w:type="dxa"/>
            </w:tcMar>
            <w:vAlign w:val="bottom"/>
          </w:tcPr>
          <w:p w14:paraId="64A8A472" w14:textId="77777777" w:rsidR="008D6614" w:rsidRDefault="00866AF2">
            <w:pPr>
              <w:textAlignment w:val="bottom"/>
            </w:pPr>
            <w:r>
              <w:rPr>
                <w:rFonts w:ascii="Arial" w:eastAsia="宋体" w:hAnsi="Arial" w:cs="Arial"/>
                <w:color w:val="000000"/>
                <w:sz w:val="16"/>
                <w:szCs w:val="16"/>
              </w:rPr>
              <w:t>Other short-term borrowings</w:t>
            </w:r>
          </w:p>
        </w:tc>
        <w:tc>
          <w:tcPr>
            <w:tcW w:w="0" w:type="auto"/>
            <w:gridSpan w:val="3"/>
            <w:shd w:val="clear" w:color="auto" w:fill="E2E2E2"/>
            <w:tcMar>
              <w:left w:w="20" w:type="dxa"/>
              <w:right w:w="20" w:type="dxa"/>
            </w:tcMar>
            <w:vAlign w:val="bottom"/>
          </w:tcPr>
          <w:p w14:paraId="64A8A473"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7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7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476" w14:textId="77777777" w:rsidR="008D6614" w:rsidRDefault="00866AF2">
            <w:pPr>
              <w:jc w:val="right"/>
              <w:textAlignment w:val="bottom"/>
            </w:pPr>
            <w:r>
              <w:rPr>
                <w:rFonts w:ascii="Arial" w:eastAsia="宋体" w:hAnsi="Arial" w:cs="Arial"/>
                <w:color w:val="000000"/>
                <w:sz w:val="16"/>
                <w:szCs w:val="16"/>
              </w:rPr>
              <w:t>15 </w:t>
            </w:r>
          </w:p>
        </w:tc>
        <w:tc>
          <w:tcPr>
            <w:tcW w:w="0" w:type="auto"/>
            <w:shd w:val="clear" w:color="auto" w:fill="E2E2E2"/>
            <w:tcMar>
              <w:top w:w="40" w:type="dxa"/>
              <w:bottom w:w="40" w:type="dxa"/>
              <w:right w:w="20" w:type="dxa"/>
            </w:tcMar>
            <w:vAlign w:val="bottom"/>
          </w:tcPr>
          <w:p w14:paraId="64A8A477"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47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79"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7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47B" w14:textId="77777777" w:rsidR="008D6614" w:rsidRDefault="00866AF2">
            <w:pPr>
              <w:jc w:val="right"/>
              <w:textAlignment w:val="bottom"/>
            </w:pPr>
            <w:r>
              <w:rPr>
                <w:rFonts w:ascii="Arial" w:eastAsia="宋体" w:hAnsi="Arial" w:cs="Arial"/>
                <w:color w:val="000000"/>
                <w:sz w:val="16"/>
                <w:szCs w:val="16"/>
              </w:rPr>
              <w:t>23 </w:t>
            </w:r>
          </w:p>
        </w:tc>
        <w:tc>
          <w:tcPr>
            <w:tcW w:w="0" w:type="auto"/>
            <w:shd w:val="clear" w:color="auto" w:fill="E2E2E2"/>
            <w:tcMar>
              <w:top w:w="40" w:type="dxa"/>
              <w:bottom w:w="40" w:type="dxa"/>
              <w:right w:w="20" w:type="dxa"/>
            </w:tcMar>
            <w:vAlign w:val="bottom"/>
          </w:tcPr>
          <w:p w14:paraId="64A8A47C"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47D"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7E" w14:textId="77777777" w:rsidR="008D6614" w:rsidRDefault="008D6614">
            <w:pPr>
              <w:rPr>
                <w:rFonts w:ascii="宋体"/>
              </w:rPr>
            </w:pPr>
          </w:p>
        </w:tc>
      </w:tr>
      <w:tr w:rsidR="008D6614" w14:paraId="64A8A48D" w14:textId="77777777">
        <w:trPr>
          <w:jc w:val="center"/>
        </w:trPr>
        <w:tc>
          <w:tcPr>
            <w:tcW w:w="0" w:type="auto"/>
            <w:gridSpan w:val="3"/>
            <w:shd w:val="clear" w:color="auto" w:fill="FFFFFF"/>
            <w:tcMar>
              <w:top w:w="40" w:type="dxa"/>
              <w:left w:w="360" w:type="dxa"/>
              <w:bottom w:w="40" w:type="dxa"/>
              <w:right w:w="20" w:type="dxa"/>
            </w:tcMar>
            <w:vAlign w:val="bottom"/>
          </w:tcPr>
          <w:p w14:paraId="64A8A480" w14:textId="77777777" w:rsidR="008D6614" w:rsidRDefault="00866AF2">
            <w:pPr>
              <w:textAlignment w:val="bottom"/>
            </w:pPr>
            <w:r>
              <w:rPr>
                <w:rFonts w:ascii="Arial" w:eastAsia="宋体" w:hAnsi="Arial" w:cs="Arial"/>
                <w:color w:val="000000"/>
                <w:sz w:val="16"/>
                <w:szCs w:val="16"/>
              </w:rPr>
              <w:t>Total short-term debt</w:t>
            </w:r>
          </w:p>
        </w:tc>
        <w:tc>
          <w:tcPr>
            <w:tcW w:w="0" w:type="auto"/>
            <w:gridSpan w:val="3"/>
            <w:shd w:val="clear" w:color="auto" w:fill="FFFFFF"/>
            <w:tcMar>
              <w:left w:w="20" w:type="dxa"/>
              <w:right w:w="20" w:type="dxa"/>
            </w:tcMar>
            <w:vAlign w:val="bottom"/>
          </w:tcPr>
          <w:p w14:paraId="64A8A481"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82"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83"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484" w14:textId="77777777" w:rsidR="008D6614" w:rsidRDefault="00866AF2">
            <w:pPr>
              <w:jc w:val="right"/>
              <w:textAlignment w:val="bottom"/>
            </w:pPr>
            <w:r>
              <w:rPr>
                <w:rFonts w:ascii="Arial" w:eastAsia="宋体" w:hAnsi="Arial" w:cs="Arial"/>
                <w:color w:val="000000"/>
                <w:sz w:val="16"/>
                <w:szCs w:val="16"/>
              </w:rPr>
              <w:t>1,015 </w:t>
            </w:r>
          </w:p>
        </w:tc>
        <w:tc>
          <w:tcPr>
            <w:tcW w:w="0" w:type="auto"/>
            <w:tcBorders>
              <w:top w:val="single" w:sz="8" w:space="0" w:color="000000"/>
            </w:tcBorders>
            <w:shd w:val="clear" w:color="auto" w:fill="FFFFFF"/>
            <w:tcMar>
              <w:top w:w="40" w:type="dxa"/>
              <w:bottom w:w="40" w:type="dxa"/>
              <w:right w:w="20" w:type="dxa"/>
            </w:tcMar>
            <w:vAlign w:val="bottom"/>
          </w:tcPr>
          <w:p w14:paraId="64A8A48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486"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8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88"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489" w14:textId="77777777" w:rsidR="008D6614" w:rsidRDefault="00866AF2">
            <w:pPr>
              <w:jc w:val="right"/>
              <w:textAlignment w:val="bottom"/>
            </w:pPr>
            <w:r>
              <w:rPr>
                <w:rFonts w:ascii="Arial" w:eastAsia="宋体" w:hAnsi="Arial" w:cs="Arial"/>
                <w:color w:val="000000"/>
                <w:sz w:val="16"/>
                <w:szCs w:val="16"/>
              </w:rPr>
              <w:t>1,022 </w:t>
            </w:r>
          </w:p>
        </w:tc>
        <w:tc>
          <w:tcPr>
            <w:tcW w:w="0" w:type="auto"/>
            <w:tcBorders>
              <w:top w:val="single" w:sz="8" w:space="0" w:color="000000"/>
            </w:tcBorders>
            <w:shd w:val="clear" w:color="auto" w:fill="FFFFFF"/>
            <w:tcMar>
              <w:top w:w="40" w:type="dxa"/>
              <w:bottom w:w="40" w:type="dxa"/>
              <w:right w:w="20" w:type="dxa"/>
            </w:tcMar>
            <w:vAlign w:val="bottom"/>
          </w:tcPr>
          <w:p w14:paraId="64A8A48A"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48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48C" w14:textId="77777777" w:rsidR="008D6614" w:rsidRDefault="008D6614">
            <w:pPr>
              <w:rPr>
                <w:rFonts w:ascii="宋体"/>
              </w:rPr>
            </w:pPr>
          </w:p>
        </w:tc>
      </w:tr>
      <w:tr w:rsidR="008D6614" w14:paraId="64A8A49D" w14:textId="77777777">
        <w:trPr>
          <w:jc w:val="center"/>
        </w:trPr>
        <w:tc>
          <w:tcPr>
            <w:tcW w:w="0" w:type="auto"/>
            <w:gridSpan w:val="3"/>
            <w:shd w:val="clear" w:color="auto" w:fill="E2E2E2"/>
            <w:tcMar>
              <w:top w:w="40" w:type="dxa"/>
              <w:left w:w="135" w:type="dxa"/>
              <w:bottom w:w="40" w:type="dxa"/>
              <w:right w:w="20" w:type="dxa"/>
            </w:tcMar>
            <w:vAlign w:val="bottom"/>
          </w:tcPr>
          <w:p w14:paraId="64A8A48E" w14:textId="77777777" w:rsidR="008D6614" w:rsidRDefault="00866AF2">
            <w:pPr>
              <w:textAlignment w:val="bottom"/>
            </w:pPr>
            <w:r>
              <w:rPr>
                <w:rFonts w:ascii="Arial" w:eastAsia="宋体" w:hAnsi="Arial" w:cs="Arial"/>
                <w:b/>
                <w:bCs/>
                <w:color w:val="000000"/>
                <w:sz w:val="16"/>
                <w:szCs w:val="16"/>
              </w:rPr>
              <w:t>Total Debt</w:t>
            </w:r>
          </w:p>
        </w:tc>
        <w:tc>
          <w:tcPr>
            <w:tcW w:w="0" w:type="auto"/>
            <w:gridSpan w:val="3"/>
            <w:shd w:val="clear" w:color="auto" w:fill="E2E2E2"/>
            <w:tcMar>
              <w:left w:w="20" w:type="dxa"/>
              <w:right w:w="20" w:type="dxa"/>
            </w:tcMar>
            <w:vAlign w:val="bottom"/>
          </w:tcPr>
          <w:p w14:paraId="64A8A48F"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90"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91"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492"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493" w14:textId="77777777" w:rsidR="008D6614" w:rsidRDefault="00866AF2">
            <w:pPr>
              <w:jc w:val="right"/>
              <w:textAlignment w:val="bottom"/>
            </w:pPr>
            <w:r>
              <w:rPr>
                <w:rFonts w:ascii="Arial" w:eastAsia="宋体" w:hAnsi="Arial" w:cs="Arial"/>
                <w:color w:val="000000"/>
                <w:sz w:val="16"/>
                <w:szCs w:val="16"/>
              </w:rPr>
              <w:t>8,739 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49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49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9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97"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498"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499" w14:textId="77777777" w:rsidR="008D6614" w:rsidRDefault="00866AF2">
            <w:pPr>
              <w:jc w:val="right"/>
              <w:textAlignment w:val="bottom"/>
            </w:pPr>
            <w:r>
              <w:rPr>
                <w:rFonts w:ascii="Arial" w:eastAsia="宋体" w:hAnsi="Arial" w:cs="Arial"/>
                <w:color w:val="000000"/>
                <w:sz w:val="16"/>
                <w:szCs w:val="16"/>
              </w:rPr>
              <w:t>7,760 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49A"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49B"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49C" w14:textId="77777777" w:rsidR="008D6614" w:rsidRDefault="008D6614">
            <w:pPr>
              <w:rPr>
                <w:rFonts w:ascii="宋体"/>
              </w:rPr>
            </w:pPr>
          </w:p>
        </w:tc>
      </w:tr>
    </w:tbl>
    <w:p w14:paraId="64A8A49E" w14:textId="77777777" w:rsidR="008D6614" w:rsidRDefault="00866AF2">
      <w:pPr>
        <w:spacing w:before="80"/>
        <w:ind w:hanging="270"/>
      </w:pPr>
      <w:r>
        <w:rPr>
          <w:rFonts w:ascii="Arial" w:eastAsia="宋体" w:hAnsi="Arial" w:cs="Arial"/>
          <w:color w:val="000000"/>
          <w:sz w:val="16"/>
          <w:szCs w:val="16"/>
        </w:rPr>
        <w:t>(1) Includes the fair value adjustments to debt associated with terminated interest rate swaps which are being recorded as a reduction to interest expense over the remaining term of the related notes.</w:t>
      </w:r>
    </w:p>
    <w:p w14:paraId="64A8A49F" w14:textId="77777777" w:rsidR="008D6614" w:rsidRDefault="008D6614">
      <w:pPr>
        <w:ind w:hanging="270"/>
      </w:pPr>
    </w:p>
    <w:p w14:paraId="64A8A4A0" w14:textId="77777777" w:rsidR="008D6614" w:rsidRDefault="008D6614">
      <w:pPr>
        <w:jc w:val="center"/>
      </w:pPr>
    </w:p>
    <w:p w14:paraId="64A8A4A1" w14:textId="77777777" w:rsidR="008D6614" w:rsidRDefault="00866AF2">
      <w:pPr>
        <w:jc w:val="center"/>
      </w:pPr>
      <w:r>
        <w:rPr>
          <w:rFonts w:ascii="Arial" w:eastAsia="宋体" w:hAnsi="Arial" w:cs="Arial"/>
          <w:color w:val="000000"/>
          <w:sz w:val="20"/>
          <w:szCs w:val="20"/>
        </w:rPr>
        <w:t>24</w:t>
      </w:r>
    </w:p>
    <w:p w14:paraId="64A8A4A2" w14:textId="77777777" w:rsidR="008D6614" w:rsidRDefault="00866AF2">
      <w:r>
        <w:pict w14:anchorId="64A8B9F5">
          <v:rect id="_x0000_i1048" style="width:415.3pt;height:1.5pt" o:hralign="center" o:hrstd="t" o:hr="t" fillcolor="#a0a0a0" stroked="f"/>
        </w:pict>
      </w:r>
    </w:p>
    <w:p w14:paraId="64A8A4A3" w14:textId="77777777" w:rsidR="008D6614" w:rsidRDefault="008D6614">
      <w:pPr>
        <w:jc w:val="center"/>
      </w:pPr>
    </w:p>
    <w:p w14:paraId="64A8A4A4" w14:textId="77777777" w:rsidR="008D6614" w:rsidRDefault="00866AF2">
      <w:pPr>
        <w:jc w:val="center"/>
      </w:pPr>
      <w:r>
        <w:rPr>
          <w:rFonts w:ascii="Arial" w:eastAsia="宋体" w:hAnsi="Arial" w:cs="Arial"/>
          <w:b/>
          <w:bCs/>
          <w:color w:val="000000"/>
          <w:sz w:val="20"/>
          <w:szCs w:val="20"/>
        </w:rPr>
        <w:t>eBay Inc.</w:t>
      </w:r>
    </w:p>
    <w:p w14:paraId="64A8A4A5" w14:textId="77777777" w:rsidR="008D6614" w:rsidRDefault="00866AF2">
      <w:pPr>
        <w:spacing w:after="24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CONDENSED CONSOLIDATED FINANCIAL STATEMENTS—(Continued)</w:t>
      </w:r>
    </w:p>
    <w:p w14:paraId="64A8A4A6" w14:textId="77777777" w:rsidR="008D6614" w:rsidRDefault="00866AF2">
      <w:pPr>
        <w:ind w:firstLine="270"/>
      </w:pPr>
      <w:r>
        <w:rPr>
          <w:rFonts w:ascii="Arial" w:eastAsia="宋体" w:hAnsi="Arial" w:cs="Arial"/>
          <w:b/>
          <w:bCs/>
          <w:i/>
          <w:iCs/>
          <w:color w:val="000000"/>
          <w:sz w:val="20"/>
          <w:szCs w:val="20"/>
        </w:rPr>
        <w:t xml:space="preserve">Senior Notes </w:t>
      </w:r>
    </w:p>
    <w:p w14:paraId="64A8A4A7" w14:textId="77777777" w:rsidR="008D6614" w:rsidRDefault="008D6614">
      <w:pPr>
        <w:ind w:firstLine="270"/>
      </w:pPr>
    </w:p>
    <w:p w14:paraId="64A8A4A8" w14:textId="77777777" w:rsidR="008D6614" w:rsidRDefault="00866AF2">
      <w:pPr>
        <w:ind w:firstLine="540"/>
        <w:jc w:val="both"/>
      </w:pPr>
      <w:r>
        <w:rPr>
          <w:rFonts w:ascii="Arial" w:eastAsia="宋体" w:hAnsi="Arial" w:cs="Arial"/>
          <w:color w:val="000000"/>
          <w:sz w:val="20"/>
          <w:szCs w:val="20"/>
        </w:rPr>
        <w:t xml:space="preserve">In March 2020, we issued senior unsecured notes, or senior notes, in an aggregate principal amount of $1 billion. The issuance consisted of $500 million of 1.900% fixed rate notes </w:t>
      </w:r>
      <w:r>
        <w:rPr>
          <w:rFonts w:ascii="Arial" w:eastAsia="宋体" w:hAnsi="Arial" w:cs="Arial"/>
          <w:color w:val="000000"/>
          <w:sz w:val="20"/>
          <w:szCs w:val="20"/>
        </w:rPr>
        <w:t>due 2025 and $500 million of 2.700% fixed rate notes due 2030.</w:t>
      </w:r>
    </w:p>
    <w:p w14:paraId="64A8A4A9" w14:textId="77777777" w:rsidR="008D6614" w:rsidRDefault="008D6614"/>
    <w:p w14:paraId="64A8A4AA" w14:textId="77777777" w:rsidR="008D6614" w:rsidRDefault="00866AF2">
      <w:pPr>
        <w:ind w:firstLine="540"/>
        <w:jc w:val="both"/>
      </w:pPr>
      <w:r>
        <w:rPr>
          <w:rFonts w:ascii="Arial" w:eastAsia="宋体" w:hAnsi="Arial" w:cs="Arial"/>
          <w:color w:val="000000"/>
          <w:sz w:val="20"/>
          <w:szCs w:val="20"/>
        </w:rPr>
        <w:t>None of the floating rate notes are redeemable prior to maturity. On and after March 1, 2021, we may redeem some or all of the 6.000% fixed rate notes due 2056 at any time and from time to tim</w:t>
      </w:r>
      <w:r>
        <w:rPr>
          <w:rFonts w:ascii="Arial" w:eastAsia="宋体" w:hAnsi="Arial" w:cs="Arial"/>
          <w:color w:val="000000"/>
          <w:sz w:val="20"/>
          <w:szCs w:val="20"/>
        </w:rPr>
        <w:t>e prior to their maturity at a redemption price equal to 100% of the principal amount of the notes to be redeemed, plus accrued and unpaid interest. We may redeem some or all of the other fixed rate notes of each series at any time and from time to time pr</w:t>
      </w:r>
      <w:r>
        <w:rPr>
          <w:rFonts w:ascii="Arial" w:eastAsia="宋体" w:hAnsi="Arial" w:cs="Arial"/>
          <w:color w:val="000000"/>
          <w:sz w:val="20"/>
          <w:szCs w:val="20"/>
        </w:rPr>
        <w:t xml:space="preserve">ior to their maturity, generally at a make-whole redemption price, plus accrued and unpaid interest. </w:t>
      </w:r>
    </w:p>
    <w:p w14:paraId="64A8A4AB" w14:textId="77777777" w:rsidR="008D6614" w:rsidRDefault="008D6614">
      <w:pPr>
        <w:ind w:firstLine="540"/>
        <w:jc w:val="both"/>
      </w:pPr>
    </w:p>
    <w:p w14:paraId="64A8A4AC" w14:textId="77777777" w:rsidR="008D6614" w:rsidRDefault="00866AF2">
      <w:pPr>
        <w:ind w:firstLine="540"/>
        <w:jc w:val="both"/>
      </w:pPr>
      <w:r>
        <w:rPr>
          <w:rFonts w:ascii="Arial" w:eastAsia="宋体" w:hAnsi="Arial" w:cs="Arial"/>
          <w:color w:val="000000"/>
          <w:sz w:val="20"/>
          <w:szCs w:val="20"/>
        </w:rPr>
        <w:t>If a change of control triggering event (as defined in the applicable senior notes) occurs with respect to the 2.150% fixed rate notes due 2020, the 3.80</w:t>
      </w:r>
      <w:r>
        <w:rPr>
          <w:rFonts w:ascii="Arial" w:eastAsia="宋体" w:hAnsi="Arial" w:cs="Arial"/>
          <w:color w:val="000000"/>
          <w:sz w:val="20"/>
          <w:szCs w:val="20"/>
        </w:rPr>
        <w:t xml:space="preserve">0% fixed rate notes due 2022, the floating rate notes due 2023, the 2.750% fixed rate notes due 2023, the 1.900% fixed rate notes due 2025, the 3.600% fixed rate notes due 2027, the 2.700% fixed rate notes due 2030 or the 6.000% fixed rate notes due 2056, </w:t>
      </w:r>
      <w:r>
        <w:rPr>
          <w:rFonts w:ascii="Arial" w:eastAsia="宋体" w:hAnsi="Arial" w:cs="Arial"/>
          <w:color w:val="000000"/>
          <w:sz w:val="20"/>
          <w:szCs w:val="20"/>
        </w:rPr>
        <w:t>we must, subject to certain exceptions, offer to repurchase all of the notes of the applicable series at a price equal to 101% of the principal amount, plus accrued and unpaid interest.</w:t>
      </w:r>
    </w:p>
    <w:p w14:paraId="64A8A4AD" w14:textId="77777777" w:rsidR="008D6614" w:rsidRDefault="008D6614">
      <w:pPr>
        <w:ind w:firstLine="540"/>
        <w:jc w:val="both"/>
      </w:pPr>
    </w:p>
    <w:p w14:paraId="64A8A4AE" w14:textId="77777777" w:rsidR="008D6614" w:rsidRDefault="00866AF2">
      <w:pPr>
        <w:ind w:firstLine="540"/>
        <w:jc w:val="both"/>
      </w:pPr>
      <w:r>
        <w:rPr>
          <w:rFonts w:ascii="Arial" w:eastAsia="宋体" w:hAnsi="Arial" w:cs="Arial"/>
          <w:color w:val="000000"/>
          <w:sz w:val="20"/>
          <w:szCs w:val="20"/>
        </w:rPr>
        <w:t>The indenture pursuant to which the senior notes were issued includes</w:t>
      </w:r>
      <w:r>
        <w:rPr>
          <w:rFonts w:ascii="Arial" w:eastAsia="宋体" w:hAnsi="Arial" w:cs="Arial"/>
          <w:color w:val="000000"/>
          <w:sz w:val="20"/>
          <w:szCs w:val="20"/>
        </w:rPr>
        <w:t xml:space="preserve"> customary covenants that, among other things and subject to exceptions, limit our ability to incur, assume or guarantee debt secured by liens on specified assets or enter into sale and lease-back transactions with respect to specified properties, and also</w:t>
      </w:r>
      <w:r>
        <w:rPr>
          <w:rFonts w:ascii="Arial" w:eastAsia="宋体" w:hAnsi="Arial" w:cs="Arial"/>
          <w:color w:val="000000"/>
          <w:sz w:val="20"/>
          <w:szCs w:val="20"/>
        </w:rPr>
        <w:t xml:space="preserve"> includes customary events of default with customary grace periods in certain circumstances, including payment defaults and bankruptcy-related defaults. </w:t>
      </w:r>
    </w:p>
    <w:p w14:paraId="64A8A4AF" w14:textId="77777777" w:rsidR="008D6614" w:rsidRDefault="008D6614">
      <w:pPr>
        <w:ind w:firstLine="540"/>
        <w:jc w:val="both"/>
      </w:pPr>
    </w:p>
    <w:p w14:paraId="64A8A4B0" w14:textId="77777777" w:rsidR="008D6614" w:rsidRDefault="00866AF2">
      <w:pPr>
        <w:ind w:firstLine="540"/>
        <w:jc w:val="both"/>
      </w:pPr>
      <w:r>
        <w:rPr>
          <w:rFonts w:ascii="Arial" w:eastAsia="宋体" w:hAnsi="Arial" w:cs="Arial"/>
          <w:color w:val="000000"/>
          <w:sz w:val="20"/>
          <w:szCs w:val="20"/>
        </w:rPr>
        <w:t>To help achieve our interest rate risk management objectives, in connection with the previous issuanc</w:t>
      </w:r>
      <w:r>
        <w:rPr>
          <w:rFonts w:ascii="Arial" w:eastAsia="宋体" w:hAnsi="Arial" w:cs="Arial"/>
          <w:color w:val="000000"/>
          <w:sz w:val="20"/>
          <w:szCs w:val="20"/>
        </w:rPr>
        <w:t>e of certain senior notes, we entered into interest rate swap agreements that effectively converted $2.4 billion of our fixed rate notes to floating rate debt based on LIBOR plus a spread. These swaps were designated as fair value hedges against changes in</w:t>
      </w:r>
      <w:r>
        <w:rPr>
          <w:rFonts w:ascii="Arial" w:eastAsia="宋体" w:hAnsi="Arial" w:cs="Arial"/>
          <w:color w:val="000000"/>
          <w:sz w:val="20"/>
          <w:szCs w:val="20"/>
        </w:rPr>
        <w:t xml:space="preserve"> the fair value of certain fixed rate senior notes resulting from changes in interest rates. The gains and losses related to changes in the fair value of interest rate swaps substantially offset changes in the fair value of the hedged portion of the underl</w:t>
      </w:r>
      <w:r>
        <w:rPr>
          <w:rFonts w:ascii="Arial" w:eastAsia="宋体" w:hAnsi="Arial" w:cs="Arial"/>
          <w:color w:val="000000"/>
          <w:sz w:val="20"/>
          <w:szCs w:val="20"/>
        </w:rPr>
        <w:t>ying debt that are attributable to changes in market interest rates. In 2019, $1.15 billion related to our 2.200% senior notes of the $2.4 billion aggregate notional amount matured. In addition, during 2019, we terminated the interest rate swaps related to</w:t>
      </w:r>
      <w:r>
        <w:rPr>
          <w:rFonts w:ascii="Arial" w:eastAsia="宋体" w:hAnsi="Arial" w:cs="Arial"/>
          <w:color w:val="000000"/>
          <w:sz w:val="20"/>
          <w:szCs w:val="20"/>
        </w:rPr>
        <w:t xml:space="preserve"> $750 million of our 2.875% senior notes due July 2021 and $500 million of our 3.450% senior notes due July 2024. As a result of the early termination, hedge accounting was discontinued prospectively and the gain on termination was recorded as an increase </w:t>
      </w:r>
      <w:r>
        <w:rPr>
          <w:rFonts w:ascii="Arial" w:eastAsia="宋体" w:hAnsi="Arial" w:cs="Arial"/>
          <w:color w:val="000000"/>
          <w:sz w:val="20"/>
          <w:szCs w:val="20"/>
        </w:rPr>
        <w:t>to the long-term debt balance and is being recognized over the remaining life of the underlying debt as a reduction to interest expense. The gain recognized during the three months ended March 31, 2020 was immaterial</w:t>
      </w:r>
      <w:r>
        <w:rPr>
          <w:rFonts w:ascii="Times New Roman" w:eastAsia="宋体" w:hAnsi="Times New Roman"/>
          <w:color w:val="000000"/>
          <w:sz w:val="20"/>
          <w:szCs w:val="20"/>
        </w:rPr>
        <w:t>.</w:t>
      </w:r>
    </w:p>
    <w:p w14:paraId="64A8A4B1" w14:textId="77777777" w:rsidR="008D6614" w:rsidRDefault="008D6614">
      <w:pPr>
        <w:ind w:firstLine="540"/>
        <w:jc w:val="both"/>
      </w:pPr>
    </w:p>
    <w:p w14:paraId="64A8A4B2" w14:textId="77777777" w:rsidR="008D6614" w:rsidRDefault="00866AF2">
      <w:pPr>
        <w:ind w:firstLine="540"/>
        <w:jc w:val="both"/>
      </w:pPr>
      <w:r>
        <w:rPr>
          <w:rFonts w:ascii="Arial" w:eastAsia="宋体" w:hAnsi="Arial" w:cs="Arial"/>
          <w:color w:val="000000"/>
          <w:sz w:val="20"/>
          <w:szCs w:val="20"/>
        </w:rPr>
        <w:t xml:space="preserve">The effective interest rates for our </w:t>
      </w:r>
      <w:r>
        <w:rPr>
          <w:rFonts w:ascii="Arial" w:eastAsia="宋体" w:hAnsi="Arial" w:cs="Arial"/>
          <w:color w:val="000000"/>
          <w:sz w:val="20"/>
          <w:szCs w:val="20"/>
        </w:rPr>
        <w:t>senior notes include the interest payable, the amortization of debt issuance costs and the amortization of any original issue discount on these senior notes. Interest on these senior notes is payable either quarterly or semiannually. Interest expense assoc</w:t>
      </w:r>
      <w:r>
        <w:rPr>
          <w:rFonts w:ascii="Arial" w:eastAsia="宋体" w:hAnsi="Arial" w:cs="Arial"/>
          <w:color w:val="000000"/>
          <w:sz w:val="20"/>
          <w:szCs w:val="20"/>
        </w:rPr>
        <w:t xml:space="preserve">iated with these senior notes, including amortization of debt issuance costs, was approximately $70 million and $80 million during the three months ended March 31, 2020 and 2019, respectively. </w:t>
      </w:r>
    </w:p>
    <w:p w14:paraId="64A8A4B3" w14:textId="77777777" w:rsidR="008D6614" w:rsidRDefault="008D6614">
      <w:pPr>
        <w:ind w:firstLine="540"/>
        <w:jc w:val="both"/>
      </w:pPr>
    </w:p>
    <w:p w14:paraId="64A8A4B4" w14:textId="77777777" w:rsidR="008D6614" w:rsidRDefault="00866AF2">
      <w:pPr>
        <w:ind w:firstLine="540"/>
        <w:jc w:val="both"/>
      </w:pPr>
      <w:r>
        <w:rPr>
          <w:rFonts w:ascii="Arial" w:eastAsia="宋体" w:hAnsi="Arial" w:cs="Arial"/>
          <w:color w:val="000000"/>
          <w:sz w:val="20"/>
          <w:szCs w:val="20"/>
        </w:rPr>
        <w:t>As of March 31, 2020 and December 31, 2019, the estimated fai</w:t>
      </w:r>
      <w:r>
        <w:rPr>
          <w:rFonts w:ascii="Arial" w:eastAsia="宋体" w:hAnsi="Arial" w:cs="Arial"/>
          <w:color w:val="000000"/>
          <w:sz w:val="20"/>
          <w:szCs w:val="20"/>
        </w:rPr>
        <w:t>r value of these senior notes, using Level 2 inputs, was approximately $8.7 billion and $7.9 billion, respectively.</w:t>
      </w:r>
    </w:p>
    <w:p w14:paraId="64A8A4B5" w14:textId="77777777" w:rsidR="008D6614" w:rsidRDefault="008D6614">
      <w:pPr>
        <w:ind w:firstLine="360"/>
      </w:pPr>
    </w:p>
    <w:p w14:paraId="64A8A4B6" w14:textId="77777777" w:rsidR="008D6614" w:rsidRDefault="00866AF2">
      <w:pPr>
        <w:ind w:firstLine="270"/>
      </w:pPr>
      <w:r>
        <w:rPr>
          <w:rFonts w:ascii="Arial" w:eastAsia="宋体" w:hAnsi="Arial" w:cs="Arial"/>
          <w:b/>
          <w:bCs/>
          <w:i/>
          <w:iCs/>
          <w:color w:val="000000"/>
          <w:sz w:val="20"/>
          <w:szCs w:val="20"/>
        </w:rPr>
        <w:t>Commercial Paper</w:t>
      </w:r>
    </w:p>
    <w:p w14:paraId="64A8A4B7" w14:textId="77777777" w:rsidR="008D6614" w:rsidRDefault="008D6614">
      <w:pPr>
        <w:ind w:firstLine="360"/>
      </w:pPr>
    </w:p>
    <w:p w14:paraId="64A8A4B8" w14:textId="77777777" w:rsidR="008D6614" w:rsidRDefault="00866AF2">
      <w:pPr>
        <w:ind w:firstLine="540"/>
        <w:jc w:val="both"/>
      </w:pPr>
      <w:r>
        <w:rPr>
          <w:rFonts w:ascii="Arial" w:eastAsia="宋体" w:hAnsi="Arial" w:cs="Arial"/>
          <w:color w:val="000000"/>
          <w:sz w:val="20"/>
          <w:szCs w:val="20"/>
        </w:rPr>
        <w:t>We have a commercial paper program pursuant to which we may issue commercial paper notes in an aggregate principal amount</w:t>
      </w:r>
      <w:r>
        <w:rPr>
          <w:rFonts w:ascii="Arial" w:eastAsia="宋体" w:hAnsi="Arial" w:cs="Arial"/>
          <w:color w:val="000000"/>
          <w:sz w:val="20"/>
          <w:szCs w:val="20"/>
        </w:rPr>
        <w:t xml:space="preserve"> at maturity of up to $1.5 billion outstanding at any time with maturities of up to 397 days from the date of issue. As of March 31, 2020, there were no commercial paper notes outstanding. </w:t>
      </w:r>
    </w:p>
    <w:p w14:paraId="64A8A4B9" w14:textId="77777777" w:rsidR="008D6614" w:rsidRDefault="008D6614">
      <w:pPr>
        <w:ind w:firstLine="360"/>
      </w:pPr>
    </w:p>
    <w:p w14:paraId="64A8A4BA" w14:textId="77777777" w:rsidR="008D6614" w:rsidRDefault="00866AF2">
      <w:pPr>
        <w:ind w:firstLine="270"/>
      </w:pPr>
      <w:r>
        <w:rPr>
          <w:rFonts w:ascii="Arial" w:eastAsia="宋体" w:hAnsi="Arial" w:cs="Arial"/>
          <w:b/>
          <w:bCs/>
          <w:i/>
          <w:iCs/>
          <w:color w:val="000000"/>
          <w:sz w:val="20"/>
          <w:szCs w:val="20"/>
        </w:rPr>
        <w:t xml:space="preserve">Credit Agreement </w:t>
      </w:r>
    </w:p>
    <w:p w14:paraId="64A8A4BB" w14:textId="77777777" w:rsidR="008D6614" w:rsidRDefault="008D6614">
      <w:pPr>
        <w:ind w:firstLine="360"/>
      </w:pPr>
    </w:p>
    <w:p w14:paraId="64A8A4BC" w14:textId="77777777" w:rsidR="008D6614" w:rsidRDefault="00866AF2">
      <w:pPr>
        <w:ind w:firstLine="540"/>
        <w:jc w:val="both"/>
      </w:pPr>
      <w:r>
        <w:rPr>
          <w:rFonts w:ascii="Arial" w:eastAsia="宋体" w:hAnsi="Arial" w:cs="Arial"/>
          <w:color w:val="000000"/>
          <w:sz w:val="20"/>
          <w:szCs w:val="20"/>
        </w:rPr>
        <w:t>In March 2020, we entered into a credit agreem</w:t>
      </w:r>
      <w:r>
        <w:rPr>
          <w:rFonts w:ascii="Arial" w:eastAsia="宋体" w:hAnsi="Arial" w:cs="Arial"/>
          <w:color w:val="000000"/>
          <w:sz w:val="20"/>
          <w:szCs w:val="20"/>
        </w:rPr>
        <w:t xml:space="preserve">ent that provides for an unsecured $2 billion five-year credit facility. We may also, subject to the agreement of the applicable lenders, increase commitments under the revolving </w:t>
      </w:r>
    </w:p>
    <w:p w14:paraId="64A8A4BD" w14:textId="77777777" w:rsidR="008D6614" w:rsidRDefault="008D6614">
      <w:pPr>
        <w:jc w:val="center"/>
      </w:pPr>
    </w:p>
    <w:p w14:paraId="64A8A4BE" w14:textId="77777777" w:rsidR="008D6614" w:rsidRDefault="00866AF2">
      <w:pPr>
        <w:jc w:val="center"/>
      </w:pPr>
      <w:r>
        <w:rPr>
          <w:rFonts w:ascii="Arial" w:eastAsia="宋体" w:hAnsi="Arial" w:cs="Arial"/>
          <w:color w:val="000000"/>
          <w:sz w:val="20"/>
          <w:szCs w:val="20"/>
        </w:rPr>
        <w:t>25</w:t>
      </w:r>
    </w:p>
    <w:p w14:paraId="64A8A4BF" w14:textId="77777777" w:rsidR="008D6614" w:rsidRDefault="00866AF2">
      <w:r>
        <w:pict w14:anchorId="64A8B9F6">
          <v:rect id="_x0000_i1049" style="width:415.3pt;height:1.5pt" o:hralign="center" o:hrstd="t" o:hr="t" fillcolor="#a0a0a0" stroked="f"/>
        </w:pict>
      </w:r>
    </w:p>
    <w:p w14:paraId="64A8A4C0" w14:textId="77777777" w:rsidR="008D6614" w:rsidRDefault="008D6614">
      <w:pPr>
        <w:jc w:val="center"/>
      </w:pPr>
    </w:p>
    <w:p w14:paraId="64A8A4C1" w14:textId="77777777" w:rsidR="008D6614" w:rsidRDefault="00866AF2">
      <w:pPr>
        <w:jc w:val="center"/>
      </w:pPr>
      <w:r>
        <w:rPr>
          <w:rFonts w:ascii="Arial" w:eastAsia="宋体" w:hAnsi="Arial" w:cs="Arial"/>
          <w:b/>
          <w:bCs/>
          <w:color w:val="000000"/>
          <w:sz w:val="20"/>
          <w:szCs w:val="20"/>
        </w:rPr>
        <w:t>eBay Inc.</w:t>
      </w:r>
    </w:p>
    <w:p w14:paraId="64A8A4C2" w14:textId="77777777" w:rsidR="008D6614" w:rsidRDefault="00866AF2">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4A8A4C3" w14:textId="77777777" w:rsidR="008D6614" w:rsidRDefault="00866AF2">
      <w:pPr>
        <w:jc w:val="both"/>
      </w:pPr>
      <w:r>
        <w:rPr>
          <w:rFonts w:ascii="Arial" w:eastAsia="宋体" w:hAnsi="Arial" w:cs="Arial"/>
          <w:color w:val="000000"/>
          <w:sz w:val="20"/>
          <w:szCs w:val="20"/>
        </w:rPr>
        <w:t>credit facility by up to $1 billion. Funds borrowed under the credit agreement may be used for working capital, capital expenditures, acquisitions and other general corporate purposes. The credit agreement replaced our prior $2 billi</w:t>
      </w:r>
      <w:r>
        <w:rPr>
          <w:rFonts w:ascii="Arial" w:eastAsia="宋体" w:hAnsi="Arial" w:cs="Arial"/>
          <w:color w:val="000000"/>
          <w:sz w:val="20"/>
          <w:szCs w:val="20"/>
        </w:rPr>
        <w:t>on unsecured revolving credit agreement dated November 2015, which was terminated effective March 2020.</w:t>
      </w:r>
    </w:p>
    <w:p w14:paraId="64A8A4C4" w14:textId="77777777" w:rsidR="008D6614" w:rsidRDefault="008D6614">
      <w:pPr>
        <w:ind w:firstLine="540"/>
        <w:jc w:val="both"/>
      </w:pPr>
    </w:p>
    <w:p w14:paraId="64A8A4C5" w14:textId="77777777" w:rsidR="008D6614" w:rsidRDefault="00866AF2">
      <w:pPr>
        <w:ind w:firstLine="540"/>
        <w:jc w:val="both"/>
      </w:pPr>
      <w:r>
        <w:rPr>
          <w:rFonts w:ascii="Arial" w:eastAsia="宋体" w:hAnsi="Arial" w:cs="Arial"/>
          <w:color w:val="000000"/>
          <w:sz w:val="20"/>
          <w:szCs w:val="20"/>
        </w:rPr>
        <w:t xml:space="preserve">As of March 31, 2020, no borrowings were outstanding under our $2 billion credit agreement. However, as described above, we have an up to $1.5 billion </w:t>
      </w:r>
      <w:r>
        <w:rPr>
          <w:rFonts w:ascii="Arial" w:eastAsia="宋体" w:hAnsi="Arial" w:cs="Arial"/>
          <w:color w:val="000000"/>
          <w:sz w:val="20"/>
          <w:szCs w:val="20"/>
        </w:rPr>
        <w:t xml:space="preserve">commercial paper program and are required to maintain available borrowing capacity under our credit agreement in order to repay commercial paper borrowings in the event we are unable to repay those borrowings from other sources when they become due, in an </w:t>
      </w:r>
      <w:r>
        <w:rPr>
          <w:rFonts w:ascii="Arial" w:eastAsia="宋体" w:hAnsi="Arial" w:cs="Arial"/>
          <w:color w:val="000000"/>
          <w:sz w:val="20"/>
          <w:szCs w:val="20"/>
        </w:rPr>
        <w:t>aggregate amount of $1.5 billion. However as of March 31, 2020, no borrowings were outstanding under our commercial paper program; therefore, $2 billion of borrowing capacity was available for other purposes permitted by the credit agreement, subject to cu</w:t>
      </w:r>
      <w:r>
        <w:rPr>
          <w:rFonts w:ascii="Arial" w:eastAsia="宋体" w:hAnsi="Arial" w:cs="Arial"/>
          <w:color w:val="000000"/>
          <w:sz w:val="20"/>
          <w:szCs w:val="20"/>
        </w:rPr>
        <w:t>stomary conditions to borrowing. The credit agreement includes a covenant limiting our consolidated leverage ratio to no more than 4.0:1.0, subject to, upon the occurrence of a qualified material acquisition, if so elected by us, a step-up to 4.5:1.0 for t</w:t>
      </w:r>
      <w:r>
        <w:rPr>
          <w:rFonts w:ascii="Arial" w:eastAsia="宋体" w:hAnsi="Arial" w:cs="Arial"/>
          <w:color w:val="000000"/>
          <w:sz w:val="20"/>
          <w:szCs w:val="20"/>
        </w:rPr>
        <w:t>he four fiscal quarters completed following such qualified material acquisition. The credit agreement includes customary events of default, with corresponding grace periods in certain circumstances, including payment defaults, cross-defaults and bankruptcy</w:t>
      </w:r>
      <w:r>
        <w:rPr>
          <w:rFonts w:ascii="Arial" w:eastAsia="宋体" w:hAnsi="Arial" w:cs="Arial"/>
          <w:color w:val="000000"/>
          <w:sz w:val="20"/>
          <w:szCs w:val="20"/>
        </w:rPr>
        <w:t>-related defaults.</w:t>
      </w:r>
      <w:r>
        <w:rPr>
          <w:rFonts w:ascii="Arial" w:eastAsia="宋体" w:hAnsi="Arial" w:cs="Arial"/>
          <w:color w:val="000000"/>
        </w:rPr>
        <w:t xml:space="preserve"> </w:t>
      </w:r>
      <w:r>
        <w:rPr>
          <w:rFonts w:ascii="Arial" w:eastAsia="宋体" w:hAnsi="Arial" w:cs="Arial"/>
          <w:color w:val="000000"/>
          <w:sz w:val="20"/>
          <w:szCs w:val="20"/>
        </w:rPr>
        <w:t>In addition, the credit agreement contains customary affirmative and negative covenants, including restrictions regarding the incurrence of liens and subsidiary indebtedness, in each case, subject to customary exceptions. The credit agre</w:t>
      </w:r>
      <w:r>
        <w:rPr>
          <w:rFonts w:ascii="Arial" w:eastAsia="宋体" w:hAnsi="Arial" w:cs="Arial"/>
          <w:color w:val="000000"/>
          <w:sz w:val="20"/>
          <w:szCs w:val="20"/>
        </w:rPr>
        <w:t>ement also contains customary representations and warranties.</w:t>
      </w:r>
    </w:p>
    <w:p w14:paraId="64A8A4C6" w14:textId="77777777" w:rsidR="008D6614" w:rsidRDefault="008D6614">
      <w:pPr>
        <w:ind w:firstLine="360"/>
        <w:jc w:val="both"/>
      </w:pPr>
    </w:p>
    <w:p w14:paraId="64A8A4C7" w14:textId="77777777" w:rsidR="008D6614" w:rsidRDefault="00866AF2">
      <w:pPr>
        <w:ind w:firstLine="540"/>
        <w:jc w:val="both"/>
      </w:pPr>
      <w:r>
        <w:rPr>
          <w:rFonts w:ascii="Arial" w:eastAsia="宋体" w:hAnsi="Arial" w:cs="Arial"/>
          <w:color w:val="000000"/>
          <w:sz w:val="20"/>
          <w:szCs w:val="20"/>
        </w:rPr>
        <w:t>We were in compliance with all covenants in our outstanding debt instruments during the three months ended March 31, 2020.</w:t>
      </w:r>
    </w:p>
    <w:p w14:paraId="64A8A4C8" w14:textId="77777777" w:rsidR="008D6614" w:rsidRDefault="008D6614">
      <w:pPr>
        <w:jc w:val="both"/>
      </w:pPr>
    </w:p>
    <w:p w14:paraId="64A8A4C9" w14:textId="77777777" w:rsidR="008D6614" w:rsidRDefault="00866AF2">
      <w:pPr>
        <w:jc w:val="both"/>
      </w:pPr>
      <w:r>
        <w:rPr>
          <w:rFonts w:ascii="Arial" w:eastAsia="宋体" w:hAnsi="Arial" w:cs="Arial"/>
          <w:b/>
          <w:bCs/>
          <w:color w:val="000000"/>
          <w:sz w:val="20"/>
          <w:szCs w:val="20"/>
        </w:rPr>
        <w:t>Note 11 — Balance Sheet Components</w:t>
      </w:r>
    </w:p>
    <w:p w14:paraId="64A8A4CA" w14:textId="77777777" w:rsidR="008D6614" w:rsidRDefault="008D6614"/>
    <w:p w14:paraId="64A8A4CB" w14:textId="77777777" w:rsidR="008D6614" w:rsidRDefault="00866AF2">
      <w:pPr>
        <w:ind w:firstLine="270"/>
        <w:jc w:val="both"/>
      </w:pPr>
      <w:r>
        <w:rPr>
          <w:rFonts w:ascii="Arial" w:eastAsia="宋体" w:hAnsi="Arial" w:cs="Arial"/>
          <w:b/>
          <w:bCs/>
          <w:i/>
          <w:iCs/>
          <w:color w:val="000000"/>
          <w:sz w:val="20"/>
          <w:szCs w:val="20"/>
        </w:rPr>
        <w:t>Contract Balances  </w:t>
      </w:r>
    </w:p>
    <w:p w14:paraId="64A8A4CC" w14:textId="77777777" w:rsidR="008D6614" w:rsidRDefault="008D6614">
      <w:pPr>
        <w:ind w:firstLine="720"/>
        <w:jc w:val="both"/>
      </w:pPr>
    </w:p>
    <w:p w14:paraId="64A8A4CD" w14:textId="77777777" w:rsidR="008D6614" w:rsidRDefault="00866AF2">
      <w:pPr>
        <w:ind w:firstLine="540"/>
        <w:jc w:val="both"/>
      </w:pPr>
      <w:r>
        <w:rPr>
          <w:rFonts w:ascii="Arial" w:eastAsia="宋体" w:hAnsi="Arial" w:cs="Arial"/>
          <w:color w:val="000000"/>
          <w:sz w:val="20"/>
          <w:szCs w:val="20"/>
        </w:rPr>
        <w:t>Accounts rec</w:t>
      </w:r>
      <w:r>
        <w:rPr>
          <w:rFonts w:ascii="Arial" w:eastAsia="宋体" w:hAnsi="Arial" w:cs="Arial"/>
          <w:color w:val="000000"/>
          <w:sz w:val="20"/>
          <w:szCs w:val="20"/>
        </w:rPr>
        <w:t xml:space="preserve">eivable represents amounts invoiced and revenue recognized prior to invoicing when we have satisfied our performance obligation and have the unconditional right to payment. The allowance for doubtful accounts and authorized credits is estimated based upon </w:t>
      </w:r>
      <w:r>
        <w:rPr>
          <w:rFonts w:ascii="Arial" w:eastAsia="宋体" w:hAnsi="Arial" w:cs="Arial"/>
          <w:color w:val="000000"/>
          <w:sz w:val="20"/>
          <w:szCs w:val="20"/>
        </w:rPr>
        <w:t>our assessment of various factors including historical experience, the age of the accounts receivable balances, current economic conditions</w:t>
      </w:r>
      <w:r>
        <w:rPr>
          <w:rFonts w:ascii="Arial" w:eastAsia="宋体" w:hAnsi="Arial" w:cs="Arial"/>
          <w:color w:val="222222"/>
          <w:sz w:val="20"/>
          <w:szCs w:val="20"/>
        </w:rPr>
        <w:t xml:space="preserve"> reasonable and supportable forecasts,</w:t>
      </w:r>
      <w:r>
        <w:rPr>
          <w:rFonts w:ascii="Arial" w:eastAsia="宋体" w:hAnsi="Arial" w:cs="Arial"/>
          <w:color w:val="000000"/>
          <w:sz w:val="20"/>
          <w:szCs w:val="20"/>
        </w:rPr>
        <w:t xml:space="preserve"> and other factors that may affect our customers’ ability to pay. The allowance for doubtful accounts and authorized credits was $176 million and $128 million as of March 31, 2020 and December 31, 2019, respectively. </w:t>
      </w:r>
    </w:p>
    <w:p w14:paraId="64A8A4CE" w14:textId="77777777" w:rsidR="008D6614" w:rsidRDefault="00866AF2">
      <w:pPr>
        <w:spacing w:before="180"/>
        <w:ind w:firstLine="540"/>
        <w:jc w:val="both"/>
      </w:pPr>
      <w:r>
        <w:rPr>
          <w:rFonts w:ascii="Arial" w:eastAsia="宋体" w:hAnsi="Arial" w:cs="Arial"/>
          <w:color w:val="000000"/>
          <w:sz w:val="20"/>
          <w:szCs w:val="20"/>
        </w:rPr>
        <w:t>Deferred revenue consists of fees rece</w:t>
      </w:r>
      <w:r>
        <w:rPr>
          <w:rFonts w:ascii="Arial" w:eastAsia="宋体" w:hAnsi="Arial" w:cs="Arial"/>
          <w:color w:val="000000"/>
          <w:sz w:val="20"/>
          <w:szCs w:val="20"/>
        </w:rPr>
        <w:t>ived related to unsatisfied performance obligations at the end of the period. Due to the generally short-term duration of contracts, the majority of the performance obligations are satisfied in the following reporting period. The amount of revenue recogniz</w:t>
      </w:r>
      <w:r>
        <w:rPr>
          <w:rFonts w:ascii="Arial" w:eastAsia="宋体" w:hAnsi="Arial" w:cs="Arial"/>
          <w:color w:val="000000"/>
          <w:sz w:val="20"/>
          <w:szCs w:val="20"/>
        </w:rPr>
        <w:t>ed for the three month period ended March 31, 2020 that was included in the deferred revenue balance at the beginning of the period was $81 million. The amount of revenue recognized for the three month period ended March 31, 2019 that was included in the d</w:t>
      </w:r>
      <w:r>
        <w:rPr>
          <w:rFonts w:ascii="Arial" w:eastAsia="宋体" w:hAnsi="Arial" w:cs="Arial"/>
          <w:color w:val="000000"/>
          <w:sz w:val="20"/>
          <w:szCs w:val="20"/>
        </w:rPr>
        <w:t>eferred revenue balance at the beginning of the period was $68 million.</w:t>
      </w:r>
    </w:p>
    <w:p w14:paraId="64A8A4CF" w14:textId="77777777" w:rsidR="008D6614" w:rsidRDefault="008D6614"/>
    <w:p w14:paraId="64A8A4D0" w14:textId="77777777" w:rsidR="008D6614" w:rsidRDefault="00866AF2">
      <w:pPr>
        <w:jc w:val="both"/>
      </w:pPr>
      <w:r>
        <w:rPr>
          <w:rFonts w:ascii="Arial" w:eastAsia="宋体" w:hAnsi="Arial" w:cs="Arial"/>
          <w:b/>
          <w:bCs/>
          <w:color w:val="000000"/>
          <w:sz w:val="20"/>
          <w:szCs w:val="20"/>
        </w:rPr>
        <w:t xml:space="preserve">Note 12 — Commitments and Contingencies </w:t>
      </w:r>
    </w:p>
    <w:p w14:paraId="64A8A4D1" w14:textId="77777777" w:rsidR="008D6614" w:rsidRDefault="008D6614">
      <w:pPr>
        <w:ind w:firstLine="450"/>
        <w:jc w:val="both"/>
      </w:pPr>
    </w:p>
    <w:p w14:paraId="64A8A4D2" w14:textId="77777777" w:rsidR="008D6614" w:rsidRDefault="00866AF2">
      <w:pPr>
        <w:ind w:firstLine="270"/>
        <w:jc w:val="both"/>
      </w:pPr>
      <w:r>
        <w:rPr>
          <w:rFonts w:ascii="Arial" w:eastAsia="宋体" w:hAnsi="Arial" w:cs="Arial"/>
          <w:b/>
          <w:bCs/>
          <w:i/>
          <w:iCs/>
          <w:color w:val="000000"/>
          <w:sz w:val="20"/>
          <w:szCs w:val="20"/>
        </w:rPr>
        <w:t>Off-Balance Sheet Arrangements</w:t>
      </w:r>
    </w:p>
    <w:p w14:paraId="64A8A4D3" w14:textId="77777777" w:rsidR="008D6614" w:rsidRDefault="008D6614">
      <w:pPr>
        <w:jc w:val="both"/>
      </w:pPr>
    </w:p>
    <w:p w14:paraId="64A8A4D4" w14:textId="77777777" w:rsidR="008D6614" w:rsidRDefault="00866AF2">
      <w:pPr>
        <w:ind w:firstLine="540"/>
        <w:jc w:val="both"/>
      </w:pPr>
      <w:r>
        <w:rPr>
          <w:rFonts w:ascii="Arial" w:eastAsia="宋体" w:hAnsi="Arial" w:cs="Arial"/>
          <w:color w:val="000000"/>
          <w:sz w:val="20"/>
          <w:szCs w:val="20"/>
        </w:rPr>
        <w:t>As of March 31, 2020, we had no off-balance sheet arrangements that have, or are reasonably likely to have, a current or future material effect on our consolidated financial condition, results of operations, liquidity, capital expenditures or capital resou</w:t>
      </w:r>
      <w:r>
        <w:rPr>
          <w:rFonts w:ascii="Arial" w:eastAsia="宋体" w:hAnsi="Arial" w:cs="Arial"/>
          <w:color w:val="000000"/>
          <w:sz w:val="20"/>
          <w:szCs w:val="20"/>
        </w:rPr>
        <w:t xml:space="preserve">rces. </w:t>
      </w:r>
    </w:p>
    <w:p w14:paraId="64A8A4D5" w14:textId="77777777" w:rsidR="008D6614" w:rsidRDefault="008D6614">
      <w:pPr>
        <w:ind w:firstLine="540"/>
        <w:jc w:val="both"/>
      </w:pPr>
    </w:p>
    <w:p w14:paraId="64A8A4D6" w14:textId="77777777" w:rsidR="008D6614" w:rsidRDefault="00866AF2">
      <w:pPr>
        <w:ind w:firstLine="540"/>
        <w:jc w:val="both"/>
      </w:pPr>
      <w:r>
        <w:rPr>
          <w:rFonts w:ascii="Arial" w:eastAsia="宋体" w:hAnsi="Arial" w:cs="Arial"/>
          <w:color w:val="000000"/>
          <w:sz w:val="20"/>
          <w:szCs w:val="20"/>
        </w:rPr>
        <w:t>We have a cash pooling arrangement with a financial institution for cash management purposes. This arrangement allows for cash withdrawals from the financial institution based upon our aggregate operating cash balances held within the same financia</w:t>
      </w:r>
      <w:r>
        <w:rPr>
          <w:rFonts w:ascii="Arial" w:eastAsia="宋体" w:hAnsi="Arial" w:cs="Arial"/>
          <w:color w:val="000000"/>
          <w:sz w:val="20"/>
          <w:szCs w:val="20"/>
        </w:rPr>
        <w:t>l institution (“Aggregate Cash Deposits”). This arrangement also allows us to withdraw amounts exceeding the Aggregate Cash Deposits up to an agreed-upon limit. The net balance of the withdrawals and the Aggregate Cash Deposits are used by the financial in</w:t>
      </w:r>
      <w:r>
        <w:rPr>
          <w:rFonts w:ascii="Arial" w:eastAsia="宋体" w:hAnsi="Arial" w:cs="Arial"/>
          <w:color w:val="000000"/>
          <w:sz w:val="20"/>
          <w:szCs w:val="20"/>
        </w:rPr>
        <w:t xml:space="preserve">stitution as a basis for calculating our net interest expense or income under the arrangement. As of March 31, 2020, we had a total of $4.5 billion in aggregate cash deposits, partially offset by $4.5 billion in cash withdrawals, held within the financial </w:t>
      </w:r>
      <w:r>
        <w:rPr>
          <w:rFonts w:ascii="Arial" w:eastAsia="宋体" w:hAnsi="Arial" w:cs="Arial"/>
          <w:color w:val="000000"/>
          <w:sz w:val="20"/>
          <w:szCs w:val="20"/>
        </w:rPr>
        <w:t>institution under the cash pooling arrangement.</w:t>
      </w:r>
    </w:p>
    <w:p w14:paraId="64A8A4D7" w14:textId="77777777" w:rsidR="008D6614" w:rsidRDefault="008D6614">
      <w:pPr>
        <w:jc w:val="center"/>
      </w:pPr>
    </w:p>
    <w:p w14:paraId="64A8A4D8" w14:textId="77777777" w:rsidR="008D6614" w:rsidRDefault="00866AF2">
      <w:pPr>
        <w:jc w:val="center"/>
      </w:pPr>
      <w:r>
        <w:rPr>
          <w:rFonts w:ascii="Arial" w:eastAsia="宋体" w:hAnsi="Arial" w:cs="Arial"/>
          <w:color w:val="000000"/>
          <w:sz w:val="20"/>
          <w:szCs w:val="20"/>
        </w:rPr>
        <w:t>26</w:t>
      </w:r>
    </w:p>
    <w:p w14:paraId="64A8A4D9" w14:textId="77777777" w:rsidR="008D6614" w:rsidRDefault="00866AF2">
      <w:r>
        <w:pict w14:anchorId="64A8B9F7">
          <v:rect id="_x0000_i1050" style="width:415.3pt;height:1.5pt" o:hralign="center" o:hrstd="t" o:hr="t" fillcolor="#a0a0a0" stroked="f"/>
        </w:pict>
      </w:r>
    </w:p>
    <w:p w14:paraId="64A8A4DA" w14:textId="77777777" w:rsidR="008D6614" w:rsidRDefault="008D6614">
      <w:pPr>
        <w:jc w:val="center"/>
      </w:pPr>
    </w:p>
    <w:p w14:paraId="64A8A4DB" w14:textId="77777777" w:rsidR="008D6614" w:rsidRDefault="00866AF2">
      <w:pPr>
        <w:jc w:val="center"/>
      </w:pPr>
      <w:r>
        <w:rPr>
          <w:rFonts w:ascii="Arial" w:eastAsia="宋体" w:hAnsi="Arial" w:cs="Arial"/>
          <w:b/>
          <w:bCs/>
          <w:color w:val="000000"/>
          <w:sz w:val="20"/>
          <w:szCs w:val="20"/>
        </w:rPr>
        <w:t>eBay Inc.</w:t>
      </w:r>
    </w:p>
    <w:p w14:paraId="64A8A4DC"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A4DD" w14:textId="77777777" w:rsidR="008D6614" w:rsidRDefault="008D6614">
      <w:pPr>
        <w:jc w:val="both"/>
      </w:pPr>
    </w:p>
    <w:p w14:paraId="64A8A4DE" w14:textId="77777777" w:rsidR="008D6614" w:rsidRDefault="00866AF2">
      <w:pPr>
        <w:ind w:firstLine="270"/>
        <w:jc w:val="both"/>
      </w:pPr>
      <w:r>
        <w:rPr>
          <w:rFonts w:ascii="Arial" w:eastAsia="宋体" w:hAnsi="Arial" w:cs="Arial"/>
          <w:b/>
          <w:bCs/>
          <w:i/>
          <w:iCs/>
          <w:color w:val="000000"/>
          <w:sz w:val="20"/>
          <w:szCs w:val="20"/>
        </w:rPr>
        <w:t>Litigation and Other Legal Matters</w:t>
      </w:r>
    </w:p>
    <w:p w14:paraId="64A8A4DF" w14:textId="77777777" w:rsidR="008D6614" w:rsidRDefault="00866AF2">
      <w:pPr>
        <w:jc w:val="both"/>
      </w:pPr>
      <w:r>
        <w:rPr>
          <w:rFonts w:ascii="Arial" w:eastAsia="宋体" w:hAnsi="Arial" w:cs="Arial"/>
          <w:color w:val="000000"/>
          <w:sz w:val="20"/>
          <w:szCs w:val="20"/>
        </w:rPr>
        <w:t> </w:t>
      </w:r>
    </w:p>
    <w:p w14:paraId="64A8A4E0" w14:textId="77777777" w:rsidR="008D6614" w:rsidRDefault="00866AF2">
      <w:pPr>
        <w:ind w:firstLine="450"/>
        <w:jc w:val="both"/>
      </w:pPr>
      <w:r>
        <w:rPr>
          <w:rFonts w:ascii="Arial" w:eastAsia="宋体" w:hAnsi="Arial" w:cs="Arial"/>
          <w:color w:val="000000"/>
          <w:sz w:val="20"/>
          <w:szCs w:val="20"/>
        </w:rPr>
        <w:t>Overview</w:t>
      </w:r>
    </w:p>
    <w:p w14:paraId="64A8A4E1" w14:textId="77777777" w:rsidR="008D6614" w:rsidRDefault="00866AF2">
      <w:pPr>
        <w:spacing w:before="200"/>
        <w:ind w:firstLine="540"/>
        <w:jc w:val="both"/>
      </w:pPr>
      <w:r>
        <w:rPr>
          <w:rFonts w:ascii="Arial" w:eastAsia="宋体" w:hAnsi="Arial" w:cs="Arial"/>
          <w:color w:val="000000"/>
          <w:sz w:val="20"/>
          <w:szCs w:val="20"/>
        </w:rPr>
        <w:t>We are involved in legal and regulatory proceedings on an ongoing basis. Many o</w:t>
      </w:r>
      <w:r>
        <w:rPr>
          <w:rFonts w:ascii="Arial" w:eastAsia="宋体" w:hAnsi="Arial" w:cs="Arial"/>
          <w:color w:val="000000"/>
          <w:sz w:val="20"/>
          <w:szCs w:val="20"/>
        </w:rPr>
        <w:t>f these proceedings are in early stages and may seek an indeterminate amount of damages. If we believe that a loss arising from such matters is probable and can be reasonably estimated, we accrue the estimated liability in our financial statements. If only</w:t>
      </w:r>
      <w:r>
        <w:rPr>
          <w:rFonts w:ascii="Arial" w:eastAsia="宋体" w:hAnsi="Arial" w:cs="Arial"/>
          <w:color w:val="000000"/>
          <w:sz w:val="20"/>
          <w:szCs w:val="20"/>
        </w:rPr>
        <w:t xml:space="preserve"> a range of estimated losses can be determined, we accrue an amount within the range that, in our judgment, reflects the most likely outcome; if none of the estimates within that range is a better estimate than any other amount, we accrue the low end of th</w:t>
      </w:r>
      <w:r>
        <w:rPr>
          <w:rFonts w:ascii="Arial" w:eastAsia="宋体" w:hAnsi="Arial" w:cs="Arial"/>
          <w:color w:val="000000"/>
          <w:sz w:val="20"/>
          <w:szCs w:val="20"/>
        </w:rPr>
        <w:t>e range. For those proceedings in which an unfavorable outcome is reasonably possible but not probable, we have disclosed an estimate of the reasonably possible loss or range of losses or we have concluded that an estimate of the reasonably possible loss o</w:t>
      </w:r>
      <w:r>
        <w:rPr>
          <w:rFonts w:ascii="Arial" w:eastAsia="宋体" w:hAnsi="Arial" w:cs="Arial"/>
          <w:color w:val="000000"/>
          <w:sz w:val="20"/>
          <w:szCs w:val="20"/>
        </w:rPr>
        <w:t xml:space="preserve">r range of losses arising directly from the proceeding (i.e., monetary damages or amounts paid in judgment or settlement) is not material. If we cannot estimate the probable or reasonably possible loss or range of losses arising from a proceeding, we have </w:t>
      </w:r>
      <w:r>
        <w:rPr>
          <w:rFonts w:ascii="Arial" w:eastAsia="宋体" w:hAnsi="Arial" w:cs="Arial"/>
          <w:color w:val="000000"/>
          <w:sz w:val="20"/>
          <w:szCs w:val="20"/>
        </w:rPr>
        <w:t>disclosed that fact. In assessing the materiality of a proceeding, we evaluate, among other factors, the amount of monetary damages claimed, as well as the potential impact of non-monetary remedies sought by plaintiffs (e.g., injunctive relief) that may re</w:t>
      </w:r>
      <w:r>
        <w:rPr>
          <w:rFonts w:ascii="Arial" w:eastAsia="宋体" w:hAnsi="Arial" w:cs="Arial"/>
          <w:color w:val="000000"/>
          <w:sz w:val="20"/>
          <w:szCs w:val="20"/>
        </w:rPr>
        <w:t>quire us to change our business practices in a manner that could have a material adverse impact on our business. With respect to the matters disclosed in this Note 12, we are unable to estimate the possible loss or range of losses that could potentially re</w:t>
      </w:r>
      <w:r>
        <w:rPr>
          <w:rFonts w:ascii="Arial" w:eastAsia="宋体" w:hAnsi="Arial" w:cs="Arial"/>
          <w:color w:val="000000"/>
          <w:sz w:val="20"/>
          <w:szCs w:val="20"/>
        </w:rPr>
        <w:t>sult from the application of such non-monetary remedies.</w:t>
      </w:r>
    </w:p>
    <w:p w14:paraId="64A8A4E2" w14:textId="77777777" w:rsidR="008D6614" w:rsidRDefault="008D6614">
      <w:pPr>
        <w:ind w:firstLine="540"/>
        <w:jc w:val="both"/>
      </w:pPr>
    </w:p>
    <w:p w14:paraId="64A8A4E3" w14:textId="77777777" w:rsidR="008D6614" w:rsidRDefault="00866AF2">
      <w:pPr>
        <w:ind w:firstLine="540"/>
        <w:jc w:val="both"/>
      </w:pPr>
      <w:r>
        <w:rPr>
          <w:rFonts w:ascii="Arial" w:eastAsia="宋体" w:hAnsi="Arial" w:cs="Arial"/>
          <w:color w:val="000000"/>
          <w:sz w:val="20"/>
          <w:szCs w:val="20"/>
        </w:rPr>
        <w:t>Amounts accrued for legal and regulatory proceedings for which we believe a loss is probable were not material for the three months ended March 31, 2020. Except as otherwise noted for the proceeding</w:t>
      </w:r>
      <w:r>
        <w:rPr>
          <w:rFonts w:ascii="Arial" w:eastAsia="宋体" w:hAnsi="Arial" w:cs="Arial"/>
          <w:color w:val="000000"/>
          <w:sz w:val="20"/>
          <w:szCs w:val="20"/>
        </w:rPr>
        <w:t>s described in this Note 12, we have concluded, based on currently available information, that reasonably possible losses arising directly from the proceedings (i.e., monetary damages or amounts paid in judgment or settlement) in excess of our recorded acc</w:t>
      </w:r>
      <w:r>
        <w:rPr>
          <w:rFonts w:ascii="Arial" w:eastAsia="宋体" w:hAnsi="Arial" w:cs="Arial"/>
          <w:color w:val="000000"/>
          <w:sz w:val="20"/>
          <w:szCs w:val="20"/>
        </w:rPr>
        <w:t>ruals are also not material. However, legal and regulatory proceedings are inherently unpredictable and subject to significant uncertainties. If one or more matters were resolved against us in a reporting period for amounts in excess of management’s expect</w:t>
      </w:r>
      <w:r>
        <w:rPr>
          <w:rFonts w:ascii="Arial" w:eastAsia="宋体" w:hAnsi="Arial" w:cs="Arial"/>
          <w:color w:val="000000"/>
          <w:sz w:val="20"/>
          <w:szCs w:val="20"/>
        </w:rPr>
        <w:t>ations, the impact on our operating results or financial condition for that reporting period could be material. Legal fees are expensed as incurred.</w:t>
      </w:r>
    </w:p>
    <w:p w14:paraId="64A8A4E4" w14:textId="77777777" w:rsidR="008D6614" w:rsidRDefault="008D6614">
      <w:pPr>
        <w:ind w:firstLine="540"/>
        <w:jc w:val="both"/>
      </w:pPr>
    </w:p>
    <w:p w14:paraId="64A8A4E5" w14:textId="77777777" w:rsidR="008D6614" w:rsidRDefault="00866AF2">
      <w:pPr>
        <w:ind w:firstLine="450"/>
        <w:jc w:val="both"/>
      </w:pPr>
      <w:r>
        <w:rPr>
          <w:rFonts w:ascii="Arial" w:eastAsia="宋体" w:hAnsi="Arial" w:cs="Arial"/>
          <w:color w:val="000000"/>
          <w:sz w:val="20"/>
          <w:szCs w:val="20"/>
        </w:rPr>
        <w:t>General Matters</w:t>
      </w:r>
    </w:p>
    <w:p w14:paraId="64A8A4E6" w14:textId="77777777" w:rsidR="008D6614" w:rsidRDefault="008D6614">
      <w:pPr>
        <w:ind w:firstLine="540"/>
        <w:jc w:val="both"/>
      </w:pPr>
    </w:p>
    <w:p w14:paraId="64A8A4E7" w14:textId="77777777" w:rsidR="008D6614" w:rsidRDefault="00866AF2">
      <w:pPr>
        <w:ind w:firstLine="540"/>
        <w:jc w:val="both"/>
      </w:pPr>
      <w:r>
        <w:rPr>
          <w:rFonts w:ascii="Arial" w:eastAsia="宋体" w:hAnsi="Arial" w:cs="Arial"/>
          <w:color w:val="000000"/>
          <w:sz w:val="20"/>
          <w:szCs w:val="20"/>
        </w:rPr>
        <w:t>Third parties have from time to time claimed, and others may claim in the future, that we</w:t>
      </w:r>
      <w:r>
        <w:rPr>
          <w:rFonts w:ascii="Arial" w:eastAsia="宋体" w:hAnsi="Arial" w:cs="Arial"/>
          <w:color w:val="000000"/>
          <w:sz w:val="20"/>
          <w:szCs w:val="20"/>
        </w:rPr>
        <w:t xml:space="preserve"> have infringed their intellectual property rights. We are subject to patent disputes, and expect that we could be subject to additional patent infringement claims involving various aspects of our business as our products and services continue to expand in</w:t>
      </w:r>
      <w:r>
        <w:rPr>
          <w:rFonts w:ascii="Arial" w:eastAsia="宋体" w:hAnsi="Arial" w:cs="Arial"/>
          <w:color w:val="000000"/>
          <w:sz w:val="20"/>
          <w:szCs w:val="20"/>
        </w:rPr>
        <w:t xml:space="preserve"> scope and complexity. Such claims may be brought directly or indirectly against us and/or against our customers (who may be entitled to contractual indemnification under their contracts with us), and we are subject to increased exposure to such claims as </w:t>
      </w:r>
      <w:r>
        <w:rPr>
          <w:rFonts w:ascii="Arial" w:eastAsia="宋体" w:hAnsi="Arial" w:cs="Arial"/>
          <w:color w:val="000000"/>
          <w:sz w:val="20"/>
          <w:szCs w:val="20"/>
        </w:rPr>
        <w:t>a result of our acquisitions and divestitures and in cases where we are entering new lines of business. We have in the past been forced to litigate such claims. We may also become more vulnerable to third-party claims as laws such as the Digital Millennium</w:t>
      </w:r>
      <w:r>
        <w:rPr>
          <w:rFonts w:ascii="Arial" w:eastAsia="宋体" w:hAnsi="Arial" w:cs="Arial"/>
          <w:color w:val="000000"/>
          <w:sz w:val="20"/>
          <w:szCs w:val="20"/>
        </w:rPr>
        <w:t xml:space="preserve"> Copyright Act, the Lanham Act and the Communications Decency Act are interpreted by the courts, and as we expand the scope of our business (both in terms of the range of products and services that we offer and our geographical operations) and become subje</w:t>
      </w:r>
      <w:r>
        <w:rPr>
          <w:rFonts w:ascii="Arial" w:eastAsia="宋体" w:hAnsi="Arial" w:cs="Arial"/>
          <w:color w:val="000000"/>
          <w:sz w:val="20"/>
          <w:szCs w:val="20"/>
        </w:rPr>
        <w:t>ct to laws in jurisdictions where the underlying laws with respect to the potential liability of online intermediaries like ourselves are either unclear or less favorable. We believe that additional lawsuits alleging that we have violated patent, copyright</w:t>
      </w:r>
      <w:r>
        <w:rPr>
          <w:rFonts w:ascii="Arial" w:eastAsia="宋体" w:hAnsi="Arial" w:cs="Arial"/>
          <w:color w:val="000000"/>
          <w:sz w:val="20"/>
          <w:szCs w:val="20"/>
        </w:rPr>
        <w:t xml:space="preserve"> or trademark laws will be filed against us. Intellectual property claims, whether meritorious or not, are time consuming and costly to defend and resolve, could require expensive changes in our methods of doing business or could require us to enter into c</w:t>
      </w:r>
      <w:r>
        <w:rPr>
          <w:rFonts w:ascii="Arial" w:eastAsia="宋体" w:hAnsi="Arial" w:cs="Arial"/>
          <w:color w:val="000000"/>
          <w:sz w:val="20"/>
          <w:szCs w:val="20"/>
        </w:rPr>
        <w:t>ostly royalty or licensing agreements on unfavorable terms.</w:t>
      </w:r>
    </w:p>
    <w:p w14:paraId="64A8A4E8" w14:textId="77777777" w:rsidR="008D6614" w:rsidRDefault="008D6614">
      <w:pPr>
        <w:ind w:firstLine="540"/>
        <w:jc w:val="both"/>
      </w:pPr>
    </w:p>
    <w:p w14:paraId="64A8A4E9" w14:textId="77777777" w:rsidR="008D6614" w:rsidRDefault="00866AF2">
      <w:pPr>
        <w:ind w:firstLine="540"/>
        <w:jc w:val="both"/>
      </w:pPr>
      <w:r>
        <w:rPr>
          <w:rFonts w:ascii="Arial" w:eastAsia="宋体" w:hAnsi="Arial" w:cs="Arial"/>
          <w:color w:val="000000"/>
          <w:sz w:val="20"/>
          <w:szCs w:val="20"/>
        </w:rPr>
        <w:t>From time to time, we are involved in other disputes or regulatory inquiries that arise in the ordinary course of business, including suits by our users (individually or as class actions) alleging, among other things, improper disclosure of our prices, rul</w:t>
      </w:r>
      <w:r>
        <w:rPr>
          <w:rFonts w:ascii="Arial" w:eastAsia="宋体" w:hAnsi="Arial" w:cs="Arial"/>
          <w:color w:val="000000"/>
          <w:sz w:val="20"/>
          <w:szCs w:val="20"/>
        </w:rPr>
        <w:t>es or policies, that our practices, prices, rules, policies or customer/user agreements violate applicable law or that we have acted unfairly and/or not acted in conformity with such practices, prices, rules, policies or agreements. Further, the number and</w:t>
      </w:r>
      <w:r>
        <w:rPr>
          <w:rFonts w:ascii="Arial" w:eastAsia="宋体" w:hAnsi="Arial" w:cs="Arial"/>
          <w:color w:val="000000"/>
          <w:sz w:val="20"/>
          <w:szCs w:val="20"/>
        </w:rPr>
        <w:t xml:space="preserve"> significance of these disputes and inquiries are increasing as the political and regulatory landscape changes and, as we have grown larger, our businesses have expanded in scope (both in terms of the range of products and services that we offer and our ge</w:t>
      </w:r>
      <w:r>
        <w:rPr>
          <w:rFonts w:ascii="Arial" w:eastAsia="宋体" w:hAnsi="Arial" w:cs="Arial"/>
          <w:color w:val="000000"/>
          <w:sz w:val="20"/>
          <w:szCs w:val="20"/>
        </w:rPr>
        <w:t>ographical operations) and our products and services have increased in complexity. Any claims or regulatory actions against us, whether meritorious or not, could be time consuming, result in costly litigation, damage awards (including statutory damages for</w:t>
      </w:r>
      <w:r>
        <w:rPr>
          <w:rFonts w:ascii="Arial" w:eastAsia="宋体" w:hAnsi="Arial" w:cs="Arial"/>
          <w:color w:val="000000"/>
          <w:sz w:val="20"/>
          <w:szCs w:val="20"/>
        </w:rPr>
        <w:t xml:space="preserve"> certain causes of action in certain jurisdictions), injunctive relief or increased costs of doing business through </w:t>
      </w:r>
    </w:p>
    <w:p w14:paraId="64A8A4EA" w14:textId="77777777" w:rsidR="008D6614" w:rsidRDefault="008D6614">
      <w:pPr>
        <w:jc w:val="center"/>
      </w:pPr>
    </w:p>
    <w:p w14:paraId="64A8A4EB" w14:textId="77777777" w:rsidR="008D6614" w:rsidRDefault="00866AF2">
      <w:pPr>
        <w:jc w:val="center"/>
      </w:pPr>
      <w:r>
        <w:rPr>
          <w:rFonts w:ascii="Arial" w:eastAsia="宋体" w:hAnsi="Arial" w:cs="Arial"/>
          <w:color w:val="000000"/>
          <w:sz w:val="20"/>
          <w:szCs w:val="20"/>
        </w:rPr>
        <w:t>27</w:t>
      </w:r>
    </w:p>
    <w:p w14:paraId="64A8A4EC" w14:textId="77777777" w:rsidR="008D6614" w:rsidRDefault="00866AF2">
      <w:r>
        <w:pict w14:anchorId="64A8B9F8">
          <v:rect id="_x0000_i1051" style="width:415.3pt;height:1.5pt" o:hralign="center" o:hrstd="t" o:hr="t" fillcolor="#a0a0a0" stroked="f"/>
        </w:pict>
      </w:r>
    </w:p>
    <w:p w14:paraId="64A8A4ED" w14:textId="77777777" w:rsidR="008D6614" w:rsidRDefault="008D6614">
      <w:pPr>
        <w:jc w:val="center"/>
      </w:pPr>
    </w:p>
    <w:p w14:paraId="64A8A4EE" w14:textId="77777777" w:rsidR="008D6614" w:rsidRDefault="00866AF2">
      <w:pPr>
        <w:jc w:val="center"/>
      </w:pPr>
      <w:r>
        <w:rPr>
          <w:rFonts w:ascii="Arial" w:eastAsia="宋体" w:hAnsi="Arial" w:cs="Arial"/>
          <w:b/>
          <w:bCs/>
          <w:color w:val="000000"/>
          <w:sz w:val="20"/>
          <w:szCs w:val="20"/>
        </w:rPr>
        <w:t>eBay Inc.</w:t>
      </w:r>
    </w:p>
    <w:p w14:paraId="64A8A4EF"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A4F0" w14:textId="77777777" w:rsidR="008D6614" w:rsidRDefault="00866AF2">
      <w:pPr>
        <w:jc w:val="both"/>
      </w:pPr>
      <w:r>
        <w:rPr>
          <w:rFonts w:ascii="Arial" w:eastAsia="宋体" w:hAnsi="Arial" w:cs="Arial"/>
          <w:color w:val="000000"/>
          <w:sz w:val="20"/>
          <w:szCs w:val="20"/>
        </w:rPr>
        <w:t xml:space="preserve">adverse judgment or settlement, require us to change our </w:t>
      </w:r>
      <w:r>
        <w:rPr>
          <w:rFonts w:ascii="Arial" w:eastAsia="宋体" w:hAnsi="Arial" w:cs="Arial"/>
          <w:color w:val="000000"/>
          <w:sz w:val="20"/>
          <w:szCs w:val="20"/>
        </w:rPr>
        <w:t>business practices in expensive ways, require significant amounts of management time, result in the diversion of significant operational resources or otherwise harm our business.</w:t>
      </w:r>
    </w:p>
    <w:p w14:paraId="64A8A4F1" w14:textId="77777777" w:rsidR="008D6614" w:rsidRDefault="008D6614">
      <w:pPr>
        <w:ind w:firstLine="540"/>
        <w:jc w:val="both"/>
      </w:pPr>
    </w:p>
    <w:p w14:paraId="64A8A4F2" w14:textId="77777777" w:rsidR="008D6614" w:rsidRDefault="00866AF2">
      <w:pPr>
        <w:ind w:firstLine="270"/>
        <w:jc w:val="both"/>
      </w:pPr>
      <w:r>
        <w:rPr>
          <w:rFonts w:ascii="Arial" w:eastAsia="宋体" w:hAnsi="Arial" w:cs="Arial"/>
          <w:b/>
          <w:bCs/>
          <w:i/>
          <w:iCs/>
          <w:color w:val="000000"/>
          <w:sz w:val="20"/>
          <w:szCs w:val="20"/>
        </w:rPr>
        <w:t xml:space="preserve">Indemnification Provisions </w:t>
      </w:r>
    </w:p>
    <w:p w14:paraId="64A8A4F3" w14:textId="77777777" w:rsidR="008D6614" w:rsidRDefault="008D6614">
      <w:pPr>
        <w:jc w:val="both"/>
      </w:pPr>
    </w:p>
    <w:p w14:paraId="64A8A4F4" w14:textId="77777777" w:rsidR="008D6614" w:rsidRDefault="00866AF2">
      <w:pPr>
        <w:ind w:firstLine="540"/>
        <w:jc w:val="both"/>
      </w:pPr>
      <w:r>
        <w:rPr>
          <w:rFonts w:ascii="Arial" w:eastAsia="宋体" w:hAnsi="Arial" w:cs="Arial"/>
          <w:color w:val="000000"/>
          <w:sz w:val="20"/>
          <w:szCs w:val="20"/>
        </w:rPr>
        <w:t>We entered into a separation and distribution a</w:t>
      </w:r>
      <w:r>
        <w:rPr>
          <w:rFonts w:ascii="Arial" w:eastAsia="宋体" w:hAnsi="Arial" w:cs="Arial"/>
          <w:color w:val="000000"/>
          <w:sz w:val="20"/>
          <w:szCs w:val="20"/>
        </w:rPr>
        <w:t>greement and various other agreements with PayPal to govern the separation and relationship of the two companies. These agreements provide for specific indemnity and liability obligations and could lead to disputes between us and PayPal, which may be signi</w:t>
      </w:r>
      <w:r>
        <w:rPr>
          <w:rFonts w:ascii="Arial" w:eastAsia="宋体" w:hAnsi="Arial" w:cs="Arial"/>
          <w:color w:val="000000"/>
          <w:sz w:val="20"/>
          <w:szCs w:val="20"/>
        </w:rPr>
        <w:t>ficant. In addition, the indemnity rights we have against PayPal under the agreements may not be sufficient to protect us and our indemnity obligations to PayPal may be significant.</w:t>
      </w:r>
    </w:p>
    <w:p w14:paraId="64A8A4F5" w14:textId="77777777" w:rsidR="008D6614" w:rsidRDefault="008D6614">
      <w:pPr>
        <w:ind w:firstLine="540"/>
        <w:jc w:val="both"/>
      </w:pPr>
    </w:p>
    <w:p w14:paraId="64A8A4F6" w14:textId="77777777" w:rsidR="008D6614" w:rsidRDefault="00866AF2">
      <w:pPr>
        <w:ind w:firstLine="540"/>
        <w:jc w:val="both"/>
      </w:pPr>
      <w:r>
        <w:rPr>
          <w:rFonts w:ascii="Arial" w:eastAsia="宋体" w:hAnsi="Arial" w:cs="Arial"/>
          <w:color w:val="000000"/>
          <w:sz w:val="20"/>
          <w:szCs w:val="20"/>
        </w:rPr>
        <w:t>In addition, we have entered into indemnification agreements with each of</w:t>
      </w:r>
      <w:r>
        <w:rPr>
          <w:rFonts w:ascii="Arial" w:eastAsia="宋体" w:hAnsi="Arial" w:cs="Arial"/>
          <w:color w:val="000000"/>
          <w:sz w:val="20"/>
          <w:szCs w:val="20"/>
        </w:rPr>
        <w:t xml:space="preserve"> our directors, executive officers and certain other officers. These agreements require us to indemnify such individuals, to the fullest extent permitted by Delaware law, for certain liabilities to which they may become subject as a result of their affilia</w:t>
      </w:r>
      <w:r>
        <w:rPr>
          <w:rFonts w:ascii="Arial" w:eastAsia="宋体" w:hAnsi="Arial" w:cs="Arial"/>
          <w:color w:val="000000"/>
          <w:sz w:val="20"/>
          <w:szCs w:val="20"/>
        </w:rPr>
        <w:t xml:space="preserve">tion with us. </w:t>
      </w:r>
    </w:p>
    <w:p w14:paraId="64A8A4F7" w14:textId="77777777" w:rsidR="008D6614" w:rsidRDefault="008D6614">
      <w:pPr>
        <w:ind w:firstLine="540"/>
        <w:jc w:val="both"/>
      </w:pPr>
    </w:p>
    <w:p w14:paraId="64A8A4F8" w14:textId="77777777" w:rsidR="008D6614" w:rsidRDefault="00866AF2">
      <w:pPr>
        <w:ind w:firstLine="540"/>
        <w:jc w:val="both"/>
      </w:pPr>
      <w:r>
        <w:rPr>
          <w:rFonts w:ascii="Arial" w:eastAsia="宋体" w:hAnsi="Arial" w:cs="Arial"/>
          <w:color w:val="000000"/>
          <w:sz w:val="20"/>
          <w:szCs w:val="20"/>
        </w:rPr>
        <w:t>In the ordinary course of business, we have included limited indemnification provisions in certain of our agreements with parties with which we have commercial relations, including our standard marketing, promotions and application programm</w:t>
      </w:r>
      <w:r>
        <w:rPr>
          <w:rFonts w:ascii="Arial" w:eastAsia="宋体" w:hAnsi="Arial" w:cs="Arial"/>
          <w:color w:val="000000"/>
          <w:sz w:val="20"/>
          <w:szCs w:val="20"/>
        </w:rPr>
        <w:t xml:space="preserve">ing interface license agreements. Under these contracts, we generally indemnify, hold harmless and agree to reimburse the indemnified party for losses suffered or incurred by the indemnified party in connection with claims by a third party with respect to </w:t>
      </w:r>
      <w:r>
        <w:rPr>
          <w:rFonts w:ascii="Arial" w:eastAsia="宋体" w:hAnsi="Arial" w:cs="Arial"/>
          <w:color w:val="000000"/>
          <w:sz w:val="20"/>
          <w:szCs w:val="20"/>
        </w:rPr>
        <w:t>our domain names, trademarks, logos and other branding elements to the extent that such marks are applicable to our performance under the subject agreement. In certain cases, we have agreed to provide indemnification for intellectual property infringement.</w:t>
      </w:r>
      <w:r>
        <w:rPr>
          <w:rFonts w:ascii="Arial" w:eastAsia="宋体" w:hAnsi="Arial" w:cs="Arial"/>
          <w:color w:val="000000"/>
          <w:sz w:val="20"/>
          <w:szCs w:val="20"/>
        </w:rPr>
        <w:t xml:space="preserve"> It is not possible to determine the maximum potential loss under these indemnification provisions due to our limited history of prior indemnification claims and the unique facts and circumstances involved in each particular provision. To date, losses reco</w:t>
      </w:r>
      <w:r>
        <w:rPr>
          <w:rFonts w:ascii="Arial" w:eastAsia="宋体" w:hAnsi="Arial" w:cs="Arial"/>
          <w:color w:val="000000"/>
          <w:sz w:val="20"/>
          <w:szCs w:val="20"/>
        </w:rPr>
        <w:t>rded in our condensed consolidated statement of income in connection with our indemnification provisions have not been significant, either individually or collectively. </w:t>
      </w:r>
    </w:p>
    <w:p w14:paraId="64A8A4F9" w14:textId="77777777" w:rsidR="008D6614" w:rsidRDefault="008D6614">
      <w:pPr>
        <w:jc w:val="both"/>
      </w:pPr>
    </w:p>
    <w:p w14:paraId="64A8A4FA" w14:textId="77777777" w:rsidR="008D6614" w:rsidRDefault="00866AF2">
      <w:pPr>
        <w:jc w:val="both"/>
      </w:pPr>
      <w:r>
        <w:rPr>
          <w:rFonts w:ascii="Arial" w:eastAsia="宋体" w:hAnsi="Arial" w:cs="Arial"/>
          <w:b/>
          <w:bCs/>
          <w:color w:val="000000"/>
          <w:sz w:val="20"/>
          <w:szCs w:val="20"/>
        </w:rPr>
        <w:t>Note 13 — Stockholders’ Equity</w:t>
      </w:r>
    </w:p>
    <w:p w14:paraId="64A8A4FB" w14:textId="77777777" w:rsidR="008D6614" w:rsidRDefault="008D6614">
      <w:pPr>
        <w:jc w:val="both"/>
      </w:pPr>
    </w:p>
    <w:p w14:paraId="64A8A4FC" w14:textId="77777777" w:rsidR="008D6614" w:rsidRDefault="00866AF2">
      <w:pPr>
        <w:ind w:firstLine="180"/>
        <w:jc w:val="both"/>
      </w:pPr>
      <w:r>
        <w:rPr>
          <w:rFonts w:ascii="Arial" w:eastAsia="宋体" w:hAnsi="Arial" w:cs="Arial"/>
          <w:b/>
          <w:bCs/>
          <w:i/>
          <w:iCs/>
          <w:color w:val="000000"/>
          <w:sz w:val="20"/>
          <w:szCs w:val="20"/>
        </w:rPr>
        <w:t xml:space="preserve">Stock Repurchase Program </w:t>
      </w:r>
    </w:p>
    <w:p w14:paraId="64A8A4FD" w14:textId="77777777" w:rsidR="008D6614" w:rsidRDefault="008D6614">
      <w:pPr>
        <w:ind w:firstLine="540"/>
      </w:pPr>
    </w:p>
    <w:p w14:paraId="64A8A4FE" w14:textId="77777777" w:rsidR="008D6614" w:rsidRDefault="00866AF2">
      <w:pPr>
        <w:ind w:firstLine="540"/>
        <w:jc w:val="both"/>
      </w:pPr>
      <w:r>
        <w:rPr>
          <w:rFonts w:ascii="Arial" w:eastAsia="宋体" w:hAnsi="Arial" w:cs="Arial"/>
          <w:color w:val="000000"/>
          <w:sz w:val="20"/>
          <w:szCs w:val="20"/>
        </w:rPr>
        <w:t>Our stock repurchase progr</w:t>
      </w:r>
      <w:r>
        <w:rPr>
          <w:rFonts w:ascii="Arial" w:eastAsia="宋体" w:hAnsi="Arial" w:cs="Arial"/>
          <w:color w:val="000000"/>
          <w:sz w:val="20"/>
          <w:szCs w:val="20"/>
        </w:rPr>
        <w:t>ams are intended to programmatically offset the impact of dilution from our equity compensation programs and, subject to market conditions and other factors, to make opportunistic and programmatic repurchases of our common stock to reduce our outstanding s</w:t>
      </w:r>
      <w:r>
        <w:rPr>
          <w:rFonts w:ascii="Arial" w:eastAsia="宋体" w:hAnsi="Arial" w:cs="Arial"/>
          <w:color w:val="000000"/>
          <w:sz w:val="20"/>
          <w:szCs w:val="20"/>
        </w:rPr>
        <w:t>hare count. Any share repurchases under our stock repurchase programs may be made through open market transactions, block trades, privately negotiated transactions (including accelerated share repurchase transactions) or other means at times and in such am</w:t>
      </w:r>
      <w:r>
        <w:rPr>
          <w:rFonts w:ascii="Arial" w:eastAsia="宋体" w:hAnsi="Arial" w:cs="Arial"/>
          <w:color w:val="000000"/>
          <w:sz w:val="20"/>
          <w:szCs w:val="20"/>
        </w:rPr>
        <w:t>ounts as management deems appropriate and will be funded from our working capital or other financing alternatives. Our stock repurchase programs may be limited or terminated at any time without prior notice. The timing and actual number of shares repurchas</w:t>
      </w:r>
      <w:r>
        <w:rPr>
          <w:rFonts w:ascii="Arial" w:eastAsia="宋体" w:hAnsi="Arial" w:cs="Arial"/>
          <w:color w:val="000000"/>
          <w:sz w:val="20"/>
          <w:szCs w:val="20"/>
        </w:rPr>
        <w:t xml:space="preserve">ed will depend on a variety of factors, including corporate and regulatory requirements, price and other market conditions and management’s determination as to the appropriate use of our cash.   </w:t>
      </w:r>
    </w:p>
    <w:p w14:paraId="64A8A4FF" w14:textId="77777777" w:rsidR="008D6614" w:rsidRDefault="008D6614">
      <w:pPr>
        <w:ind w:firstLine="540"/>
        <w:jc w:val="both"/>
      </w:pPr>
    </w:p>
    <w:p w14:paraId="64A8A500" w14:textId="77777777" w:rsidR="008D6614" w:rsidRDefault="00866AF2">
      <w:pPr>
        <w:ind w:firstLine="540"/>
        <w:jc w:val="both"/>
      </w:pPr>
      <w:r>
        <w:rPr>
          <w:rFonts w:ascii="Arial" w:eastAsia="宋体" w:hAnsi="Arial" w:cs="Arial"/>
          <w:color w:val="000000"/>
          <w:sz w:val="20"/>
          <w:szCs w:val="20"/>
        </w:rPr>
        <w:t xml:space="preserve">In January 2019, our Board authorized a $4.0 billion stock repurchase program and in January 2020, our Board authorized an additional $5.0 billion stock repurchase program. These stock repurchase programs have no expiration from the date of authorization. </w:t>
      </w:r>
    </w:p>
    <w:p w14:paraId="64A8A501" w14:textId="77777777" w:rsidR="008D6614" w:rsidRDefault="008D6614">
      <w:pPr>
        <w:ind w:firstLine="540"/>
        <w:jc w:val="both"/>
      </w:pPr>
    </w:p>
    <w:p w14:paraId="64A8A502" w14:textId="77777777" w:rsidR="008D6614" w:rsidRDefault="00866AF2">
      <w:pPr>
        <w:ind w:firstLine="540"/>
        <w:jc w:val="both"/>
      </w:pPr>
      <w:r>
        <w:rPr>
          <w:rFonts w:ascii="Arial" w:eastAsia="宋体" w:hAnsi="Arial" w:cs="Arial"/>
          <w:color w:val="212529"/>
          <w:sz w:val="20"/>
          <w:szCs w:val="20"/>
        </w:rPr>
        <w:t>On February 13, 2020, we entered into accelerated share repurchase agreements (the “ASR Agreements”) with each of three financial institutions (each an “ASR Counterparty”), as part of our share repurchase program. Under the ASR Agreements, we paid an agg</w:t>
      </w:r>
      <w:r>
        <w:rPr>
          <w:rFonts w:ascii="Arial" w:eastAsia="宋体" w:hAnsi="Arial" w:cs="Arial"/>
          <w:color w:val="212529"/>
          <w:sz w:val="20"/>
          <w:szCs w:val="20"/>
        </w:rPr>
        <w:t>regate amount of $3.0 billion to the ASR Counterparties and received an initial delivery of approximately 69 million shares of our common stock, which shares were recorded as a $2.55 billion increase to treasury stock. The final number of shares to be repu</w:t>
      </w:r>
      <w:r>
        <w:rPr>
          <w:rFonts w:ascii="Arial" w:eastAsia="宋体" w:hAnsi="Arial" w:cs="Arial"/>
          <w:color w:val="212529"/>
          <w:sz w:val="20"/>
          <w:szCs w:val="20"/>
        </w:rPr>
        <w:t>rchased will be based on the volume-weighted average stock price of our common stock during the terms of the agreements, less a discount. This is evaluated as an unsettled forward contract indexed to our own stock, with $450 million classified within stock</w:t>
      </w:r>
      <w:r>
        <w:rPr>
          <w:rFonts w:ascii="Arial" w:eastAsia="宋体" w:hAnsi="Arial" w:cs="Arial"/>
          <w:color w:val="212529"/>
          <w:sz w:val="20"/>
          <w:szCs w:val="20"/>
        </w:rPr>
        <w:t>holders’ equity. The transactions are scheduled to settle in the third quarter of 2020 but may settle earlier in certain circumstances. At final settlement, each ASR Counterparty may be required to deliver additional shares of our common stock to us or, un</w:t>
      </w:r>
      <w:r>
        <w:rPr>
          <w:rFonts w:ascii="Arial" w:eastAsia="宋体" w:hAnsi="Arial" w:cs="Arial"/>
          <w:color w:val="212529"/>
          <w:sz w:val="20"/>
          <w:szCs w:val="20"/>
        </w:rPr>
        <w:t xml:space="preserve">der certain circumstances, we may be required to make a cash payment or deliver shares of our common stock to the applicable ASR Counterparty, with the method of settlement at our election. </w:t>
      </w:r>
    </w:p>
    <w:p w14:paraId="64A8A503" w14:textId="77777777" w:rsidR="008D6614" w:rsidRDefault="008D6614">
      <w:pPr>
        <w:jc w:val="center"/>
      </w:pPr>
    </w:p>
    <w:p w14:paraId="64A8A504" w14:textId="77777777" w:rsidR="008D6614" w:rsidRDefault="00866AF2">
      <w:pPr>
        <w:jc w:val="center"/>
      </w:pPr>
      <w:r>
        <w:rPr>
          <w:rFonts w:ascii="Arial" w:eastAsia="宋体" w:hAnsi="Arial" w:cs="Arial"/>
          <w:color w:val="000000"/>
          <w:sz w:val="20"/>
          <w:szCs w:val="20"/>
        </w:rPr>
        <w:t>28</w:t>
      </w:r>
    </w:p>
    <w:p w14:paraId="64A8A505" w14:textId="77777777" w:rsidR="008D6614" w:rsidRDefault="00866AF2">
      <w:r>
        <w:pict w14:anchorId="64A8B9F9">
          <v:rect id="_x0000_i1052" style="width:415.3pt;height:1.5pt" o:hralign="center" o:hrstd="t" o:hr="t" fillcolor="#a0a0a0" stroked="f"/>
        </w:pict>
      </w:r>
    </w:p>
    <w:p w14:paraId="64A8A506" w14:textId="77777777" w:rsidR="008D6614" w:rsidRDefault="008D6614">
      <w:pPr>
        <w:jc w:val="center"/>
      </w:pPr>
    </w:p>
    <w:p w14:paraId="64A8A507" w14:textId="77777777" w:rsidR="008D6614" w:rsidRDefault="00866AF2">
      <w:pPr>
        <w:jc w:val="center"/>
      </w:pPr>
      <w:r>
        <w:rPr>
          <w:rFonts w:ascii="Arial" w:eastAsia="宋体" w:hAnsi="Arial" w:cs="Arial"/>
          <w:b/>
          <w:bCs/>
          <w:color w:val="000000"/>
          <w:sz w:val="20"/>
          <w:szCs w:val="20"/>
        </w:rPr>
        <w:t>eBay Inc.</w:t>
      </w:r>
    </w:p>
    <w:p w14:paraId="64A8A508" w14:textId="77777777" w:rsidR="008D6614" w:rsidRDefault="00866AF2">
      <w:pPr>
        <w:spacing w:after="240"/>
        <w:jc w:val="center"/>
      </w:pPr>
      <w:r>
        <w:rPr>
          <w:rFonts w:ascii="Arial" w:eastAsia="宋体" w:hAnsi="Arial" w:cs="Arial"/>
          <w:b/>
          <w:bCs/>
          <w:color w:val="000000"/>
          <w:sz w:val="20"/>
          <w:szCs w:val="20"/>
        </w:rPr>
        <w:t>NOTES TO CONDENSED CONSOLIDATED FINANCIAL STATEM</w:t>
      </w:r>
      <w:r>
        <w:rPr>
          <w:rFonts w:ascii="Arial" w:eastAsia="宋体" w:hAnsi="Arial" w:cs="Arial"/>
          <w:b/>
          <w:bCs/>
          <w:color w:val="000000"/>
          <w:sz w:val="20"/>
          <w:szCs w:val="20"/>
        </w:rPr>
        <w:t>ENTS—(Continued)</w:t>
      </w:r>
    </w:p>
    <w:p w14:paraId="64A8A509" w14:textId="77777777" w:rsidR="008D6614" w:rsidRDefault="008D6614">
      <w:pPr>
        <w:ind w:firstLine="540"/>
        <w:jc w:val="both"/>
      </w:pPr>
    </w:p>
    <w:p w14:paraId="64A8A50A" w14:textId="77777777" w:rsidR="008D6614" w:rsidRDefault="00866AF2">
      <w:pPr>
        <w:ind w:firstLine="540"/>
        <w:jc w:val="both"/>
      </w:pPr>
      <w:r>
        <w:rPr>
          <w:rFonts w:ascii="Arial" w:eastAsia="宋体" w:hAnsi="Arial" w:cs="Arial"/>
          <w:color w:val="000000"/>
          <w:sz w:val="20"/>
          <w:szCs w:val="20"/>
        </w:rPr>
        <w:t>The stock repurchase activity under our stock repurchase programs during the three months ended March 31, 2020 is summarized as follows (in millions, except per share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52"/>
        <w:gridCol w:w="3607"/>
        <w:gridCol w:w="52"/>
        <w:gridCol w:w="80"/>
        <w:gridCol w:w="895"/>
        <w:gridCol w:w="86"/>
        <w:gridCol w:w="36"/>
        <w:gridCol w:w="36"/>
        <w:gridCol w:w="36"/>
        <w:gridCol w:w="136"/>
        <w:gridCol w:w="891"/>
        <w:gridCol w:w="86"/>
        <w:gridCol w:w="36"/>
        <w:gridCol w:w="36"/>
        <w:gridCol w:w="36"/>
        <w:gridCol w:w="137"/>
        <w:gridCol w:w="901"/>
        <w:gridCol w:w="86"/>
        <w:gridCol w:w="36"/>
        <w:gridCol w:w="36"/>
        <w:gridCol w:w="36"/>
        <w:gridCol w:w="137"/>
        <w:gridCol w:w="768"/>
        <w:gridCol w:w="86"/>
      </w:tblGrid>
      <w:tr w:rsidR="008D6614" w14:paraId="64A8A523" w14:textId="77777777">
        <w:trPr>
          <w:jc w:val="center"/>
        </w:trPr>
        <w:tc>
          <w:tcPr>
            <w:tcW w:w="50" w:type="pct"/>
            <w:shd w:val="clear" w:color="auto" w:fill="auto"/>
            <w:vAlign w:val="center"/>
          </w:tcPr>
          <w:p w14:paraId="64A8A50B" w14:textId="77777777" w:rsidR="008D6614" w:rsidRDefault="008D6614">
            <w:pPr>
              <w:rPr>
                <w:rFonts w:ascii="宋体"/>
              </w:rPr>
            </w:pPr>
          </w:p>
        </w:tc>
        <w:tc>
          <w:tcPr>
            <w:tcW w:w="2184" w:type="pct"/>
            <w:shd w:val="clear" w:color="auto" w:fill="auto"/>
            <w:vAlign w:val="center"/>
          </w:tcPr>
          <w:p w14:paraId="64A8A50C" w14:textId="77777777" w:rsidR="008D6614" w:rsidRDefault="008D6614">
            <w:pPr>
              <w:rPr>
                <w:rFonts w:ascii="宋体"/>
              </w:rPr>
            </w:pPr>
          </w:p>
        </w:tc>
        <w:tc>
          <w:tcPr>
            <w:tcW w:w="50" w:type="pct"/>
            <w:shd w:val="clear" w:color="auto" w:fill="auto"/>
            <w:vAlign w:val="center"/>
          </w:tcPr>
          <w:p w14:paraId="64A8A50D" w14:textId="77777777" w:rsidR="008D6614" w:rsidRDefault="008D6614">
            <w:pPr>
              <w:rPr>
                <w:rFonts w:ascii="宋体"/>
              </w:rPr>
            </w:pPr>
          </w:p>
        </w:tc>
        <w:tc>
          <w:tcPr>
            <w:tcW w:w="50" w:type="pct"/>
            <w:shd w:val="clear" w:color="auto" w:fill="auto"/>
            <w:vAlign w:val="center"/>
          </w:tcPr>
          <w:p w14:paraId="64A8A50E" w14:textId="77777777" w:rsidR="008D6614" w:rsidRDefault="008D6614">
            <w:pPr>
              <w:rPr>
                <w:rFonts w:ascii="宋体"/>
              </w:rPr>
            </w:pPr>
          </w:p>
        </w:tc>
        <w:tc>
          <w:tcPr>
            <w:tcW w:w="566" w:type="pct"/>
            <w:shd w:val="clear" w:color="auto" w:fill="auto"/>
            <w:vAlign w:val="center"/>
          </w:tcPr>
          <w:p w14:paraId="64A8A50F" w14:textId="77777777" w:rsidR="008D6614" w:rsidRDefault="008D6614">
            <w:pPr>
              <w:rPr>
                <w:rFonts w:ascii="宋体"/>
              </w:rPr>
            </w:pPr>
          </w:p>
        </w:tc>
        <w:tc>
          <w:tcPr>
            <w:tcW w:w="50" w:type="pct"/>
            <w:shd w:val="clear" w:color="auto" w:fill="auto"/>
            <w:vAlign w:val="center"/>
          </w:tcPr>
          <w:p w14:paraId="64A8A510" w14:textId="77777777" w:rsidR="008D6614" w:rsidRDefault="008D6614">
            <w:pPr>
              <w:rPr>
                <w:rFonts w:ascii="宋体"/>
              </w:rPr>
            </w:pPr>
          </w:p>
        </w:tc>
        <w:tc>
          <w:tcPr>
            <w:tcW w:w="5" w:type="pct"/>
            <w:shd w:val="clear" w:color="auto" w:fill="auto"/>
            <w:vAlign w:val="center"/>
          </w:tcPr>
          <w:p w14:paraId="64A8A511" w14:textId="77777777" w:rsidR="008D6614" w:rsidRDefault="008D6614">
            <w:pPr>
              <w:rPr>
                <w:rFonts w:ascii="宋体"/>
              </w:rPr>
            </w:pPr>
          </w:p>
        </w:tc>
        <w:tc>
          <w:tcPr>
            <w:tcW w:w="26" w:type="pct"/>
            <w:shd w:val="clear" w:color="auto" w:fill="auto"/>
            <w:vAlign w:val="center"/>
          </w:tcPr>
          <w:p w14:paraId="64A8A512" w14:textId="77777777" w:rsidR="008D6614" w:rsidRDefault="008D6614">
            <w:pPr>
              <w:rPr>
                <w:rFonts w:ascii="宋体"/>
              </w:rPr>
            </w:pPr>
          </w:p>
        </w:tc>
        <w:tc>
          <w:tcPr>
            <w:tcW w:w="5" w:type="pct"/>
            <w:shd w:val="clear" w:color="auto" w:fill="auto"/>
            <w:vAlign w:val="center"/>
          </w:tcPr>
          <w:p w14:paraId="64A8A513" w14:textId="77777777" w:rsidR="008D6614" w:rsidRDefault="008D6614">
            <w:pPr>
              <w:rPr>
                <w:rFonts w:ascii="宋体"/>
              </w:rPr>
            </w:pPr>
          </w:p>
        </w:tc>
        <w:tc>
          <w:tcPr>
            <w:tcW w:w="50" w:type="pct"/>
            <w:shd w:val="clear" w:color="auto" w:fill="auto"/>
            <w:vAlign w:val="center"/>
          </w:tcPr>
          <w:p w14:paraId="64A8A514" w14:textId="77777777" w:rsidR="008D6614" w:rsidRDefault="008D6614">
            <w:pPr>
              <w:rPr>
                <w:rFonts w:ascii="宋体"/>
              </w:rPr>
            </w:pPr>
          </w:p>
        </w:tc>
        <w:tc>
          <w:tcPr>
            <w:tcW w:w="573" w:type="pct"/>
            <w:shd w:val="clear" w:color="auto" w:fill="auto"/>
            <w:vAlign w:val="center"/>
          </w:tcPr>
          <w:p w14:paraId="64A8A515" w14:textId="77777777" w:rsidR="008D6614" w:rsidRDefault="008D6614">
            <w:pPr>
              <w:rPr>
                <w:rFonts w:ascii="宋体"/>
              </w:rPr>
            </w:pPr>
          </w:p>
        </w:tc>
        <w:tc>
          <w:tcPr>
            <w:tcW w:w="50" w:type="pct"/>
            <w:shd w:val="clear" w:color="auto" w:fill="auto"/>
            <w:vAlign w:val="center"/>
          </w:tcPr>
          <w:p w14:paraId="64A8A516" w14:textId="77777777" w:rsidR="008D6614" w:rsidRDefault="008D6614">
            <w:pPr>
              <w:rPr>
                <w:rFonts w:ascii="宋体"/>
              </w:rPr>
            </w:pPr>
          </w:p>
        </w:tc>
        <w:tc>
          <w:tcPr>
            <w:tcW w:w="5" w:type="pct"/>
            <w:shd w:val="clear" w:color="auto" w:fill="auto"/>
            <w:vAlign w:val="center"/>
          </w:tcPr>
          <w:p w14:paraId="64A8A517" w14:textId="77777777" w:rsidR="008D6614" w:rsidRDefault="008D6614">
            <w:pPr>
              <w:rPr>
                <w:rFonts w:ascii="宋体"/>
              </w:rPr>
            </w:pPr>
          </w:p>
        </w:tc>
        <w:tc>
          <w:tcPr>
            <w:tcW w:w="26" w:type="pct"/>
            <w:shd w:val="clear" w:color="auto" w:fill="auto"/>
            <w:vAlign w:val="center"/>
          </w:tcPr>
          <w:p w14:paraId="64A8A518" w14:textId="77777777" w:rsidR="008D6614" w:rsidRDefault="008D6614">
            <w:pPr>
              <w:rPr>
                <w:rFonts w:ascii="宋体"/>
              </w:rPr>
            </w:pPr>
          </w:p>
        </w:tc>
        <w:tc>
          <w:tcPr>
            <w:tcW w:w="5" w:type="pct"/>
            <w:shd w:val="clear" w:color="auto" w:fill="auto"/>
            <w:vAlign w:val="center"/>
          </w:tcPr>
          <w:p w14:paraId="64A8A519" w14:textId="77777777" w:rsidR="008D6614" w:rsidRDefault="008D6614">
            <w:pPr>
              <w:rPr>
                <w:rFonts w:ascii="宋体"/>
              </w:rPr>
            </w:pPr>
          </w:p>
        </w:tc>
        <w:tc>
          <w:tcPr>
            <w:tcW w:w="50" w:type="pct"/>
            <w:shd w:val="clear" w:color="auto" w:fill="auto"/>
            <w:vAlign w:val="center"/>
          </w:tcPr>
          <w:p w14:paraId="64A8A51A" w14:textId="77777777" w:rsidR="008D6614" w:rsidRDefault="008D6614">
            <w:pPr>
              <w:rPr>
                <w:rFonts w:ascii="宋体"/>
              </w:rPr>
            </w:pPr>
          </w:p>
        </w:tc>
        <w:tc>
          <w:tcPr>
            <w:tcW w:w="573" w:type="pct"/>
            <w:shd w:val="clear" w:color="auto" w:fill="auto"/>
            <w:vAlign w:val="center"/>
          </w:tcPr>
          <w:p w14:paraId="64A8A51B" w14:textId="77777777" w:rsidR="008D6614" w:rsidRDefault="008D6614">
            <w:pPr>
              <w:rPr>
                <w:rFonts w:ascii="宋体"/>
              </w:rPr>
            </w:pPr>
          </w:p>
        </w:tc>
        <w:tc>
          <w:tcPr>
            <w:tcW w:w="50" w:type="pct"/>
            <w:shd w:val="clear" w:color="auto" w:fill="auto"/>
            <w:vAlign w:val="center"/>
          </w:tcPr>
          <w:p w14:paraId="64A8A51C" w14:textId="77777777" w:rsidR="008D6614" w:rsidRDefault="008D6614">
            <w:pPr>
              <w:rPr>
                <w:rFonts w:ascii="宋体"/>
              </w:rPr>
            </w:pPr>
          </w:p>
        </w:tc>
        <w:tc>
          <w:tcPr>
            <w:tcW w:w="5" w:type="pct"/>
            <w:shd w:val="clear" w:color="auto" w:fill="auto"/>
            <w:vAlign w:val="center"/>
          </w:tcPr>
          <w:p w14:paraId="64A8A51D" w14:textId="77777777" w:rsidR="008D6614" w:rsidRDefault="008D6614">
            <w:pPr>
              <w:rPr>
                <w:rFonts w:ascii="宋体"/>
              </w:rPr>
            </w:pPr>
          </w:p>
        </w:tc>
        <w:tc>
          <w:tcPr>
            <w:tcW w:w="26" w:type="pct"/>
            <w:shd w:val="clear" w:color="auto" w:fill="auto"/>
            <w:vAlign w:val="center"/>
          </w:tcPr>
          <w:p w14:paraId="64A8A51E" w14:textId="77777777" w:rsidR="008D6614" w:rsidRDefault="008D6614">
            <w:pPr>
              <w:rPr>
                <w:rFonts w:ascii="宋体"/>
              </w:rPr>
            </w:pPr>
          </w:p>
        </w:tc>
        <w:tc>
          <w:tcPr>
            <w:tcW w:w="5" w:type="pct"/>
            <w:shd w:val="clear" w:color="auto" w:fill="auto"/>
            <w:vAlign w:val="center"/>
          </w:tcPr>
          <w:p w14:paraId="64A8A51F" w14:textId="77777777" w:rsidR="008D6614" w:rsidRDefault="008D6614">
            <w:pPr>
              <w:rPr>
                <w:rFonts w:ascii="宋体"/>
              </w:rPr>
            </w:pPr>
          </w:p>
        </w:tc>
        <w:tc>
          <w:tcPr>
            <w:tcW w:w="50" w:type="pct"/>
            <w:shd w:val="clear" w:color="auto" w:fill="auto"/>
            <w:vAlign w:val="center"/>
          </w:tcPr>
          <w:p w14:paraId="64A8A520" w14:textId="77777777" w:rsidR="008D6614" w:rsidRDefault="008D6614">
            <w:pPr>
              <w:rPr>
                <w:rFonts w:ascii="宋体"/>
              </w:rPr>
            </w:pPr>
          </w:p>
        </w:tc>
        <w:tc>
          <w:tcPr>
            <w:tcW w:w="493" w:type="pct"/>
            <w:shd w:val="clear" w:color="auto" w:fill="auto"/>
            <w:vAlign w:val="center"/>
          </w:tcPr>
          <w:p w14:paraId="64A8A521" w14:textId="77777777" w:rsidR="008D6614" w:rsidRDefault="008D6614">
            <w:pPr>
              <w:rPr>
                <w:rFonts w:ascii="宋体"/>
              </w:rPr>
            </w:pPr>
          </w:p>
        </w:tc>
        <w:tc>
          <w:tcPr>
            <w:tcW w:w="50" w:type="pct"/>
            <w:shd w:val="clear" w:color="auto" w:fill="auto"/>
            <w:vAlign w:val="center"/>
          </w:tcPr>
          <w:p w14:paraId="64A8A522" w14:textId="77777777" w:rsidR="008D6614" w:rsidRDefault="008D6614">
            <w:pPr>
              <w:rPr>
                <w:rFonts w:ascii="宋体"/>
              </w:rPr>
            </w:pPr>
          </w:p>
        </w:tc>
      </w:tr>
      <w:tr w:rsidR="008D6614" w14:paraId="64A8A52C" w14:textId="77777777">
        <w:trPr>
          <w:jc w:val="center"/>
        </w:trPr>
        <w:tc>
          <w:tcPr>
            <w:tcW w:w="0" w:type="auto"/>
            <w:gridSpan w:val="3"/>
            <w:shd w:val="clear" w:color="auto" w:fill="auto"/>
            <w:tcMar>
              <w:left w:w="20" w:type="dxa"/>
              <w:right w:w="20" w:type="dxa"/>
            </w:tcMar>
            <w:vAlign w:val="bottom"/>
          </w:tcPr>
          <w:p w14:paraId="64A8A524"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525" w14:textId="77777777" w:rsidR="008D6614" w:rsidRDefault="00866AF2">
            <w:pPr>
              <w:jc w:val="center"/>
              <w:textAlignment w:val="bottom"/>
            </w:pPr>
            <w:r>
              <w:rPr>
                <w:rFonts w:ascii="Arial" w:eastAsia="宋体" w:hAnsi="Arial" w:cs="Arial"/>
                <w:b/>
                <w:bCs/>
                <w:color w:val="000000"/>
                <w:sz w:val="16"/>
                <w:szCs w:val="16"/>
              </w:rPr>
              <w:t xml:space="preserve">Shares Repurchased </w:t>
            </w:r>
            <w:r>
              <w:rPr>
                <w:rFonts w:ascii="Arial" w:eastAsia="宋体" w:hAnsi="Arial" w:cs="Arial"/>
                <w:b/>
                <w:bCs/>
                <w:color w:val="000000"/>
                <w:sz w:val="10"/>
                <w:szCs w:val="10"/>
              </w:rPr>
              <w:t>(1)</w:t>
            </w:r>
          </w:p>
        </w:tc>
        <w:tc>
          <w:tcPr>
            <w:tcW w:w="0" w:type="auto"/>
            <w:gridSpan w:val="3"/>
            <w:shd w:val="clear" w:color="auto" w:fill="auto"/>
            <w:tcMar>
              <w:left w:w="20" w:type="dxa"/>
              <w:right w:w="20" w:type="dxa"/>
            </w:tcMar>
            <w:vAlign w:val="bottom"/>
          </w:tcPr>
          <w:p w14:paraId="64A8A526"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527" w14:textId="77777777" w:rsidR="008D6614" w:rsidRDefault="00866AF2">
            <w:pPr>
              <w:jc w:val="center"/>
              <w:textAlignment w:val="bottom"/>
            </w:pPr>
            <w:r>
              <w:rPr>
                <w:rFonts w:ascii="Arial" w:eastAsia="宋体" w:hAnsi="Arial" w:cs="Arial"/>
                <w:b/>
                <w:bCs/>
                <w:color w:val="000000"/>
                <w:sz w:val="16"/>
                <w:szCs w:val="16"/>
              </w:rPr>
              <w:t xml:space="preserve">Average Price per Share </w:t>
            </w:r>
            <w:r>
              <w:rPr>
                <w:rFonts w:ascii="Arial" w:eastAsia="宋体" w:hAnsi="Arial" w:cs="Arial"/>
                <w:b/>
                <w:bCs/>
                <w:color w:val="000000"/>
                <w:sz w:val="10"/>
                <w:szCs w:val="10"/>
              </w:rPr>
              <w:t>(2)</w:t>
            </w:r>
          </w:p>
        </w:tc>
        <w:tc>
          <w:tcPr>
            <w:tcW w:w="0" w:type="auto"/>
            <w:gridSpan w:val="3"/>
            <w:shd w:val="clear" w:color="auto" w:fill="auto"/>
            <w:tcMar>
              <w:left w:w="20" w:type="dxa"/>
              <w:right w:w="20" w:type="dxa"/>
            </w:tcMar>
            <w:vAlign w:val="bottom"/>
          </w:tcPr>
          <w:p w14:paraId="64A8A528"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529" w14:textId="77777777" w:rsidR="008D6614" w:rsidRDefault="00866AF2">
            <w:pPr>
              <w:jc w:val="center"/>
              <w:textAlignment w:val="bottom"/>
            </w:pPr>
            <w:r>
              <w:rPr>
                <w:rFonts w:ascii="Arial" w:eastAsia="宋体" w:hAnsi="Arial" w:cs="Arial"/>
                <w:b/>
                <w:bCs/>
                <w:color w:val="000000"/>
                <w:sz w:val="16"/>
                <w:szCs w:val="16"/>
              </w:rPr>
              <w:t xml:space="preserve">Value of Shares Repurchased </w:t>
            </w:r>
            <w:r>
              <w:rPr>
                <w:rFonts w:ascii="Arial" w:eastAsia="宋体" w:hAnsi="Arial" w:cs="Arial"/>
                <w:b/>
                <w:bCs/>
                <w:color w:val="000000"/>
                <w:sz w:val="10"/>
                <w:szCs w:val="10"/>
              </w:rPr>
              <w:t>(2)</w:t>
            </w:r>
          </w:p>
        </w:tc>
        <w:tc>
          <w:tcPr>
            <w:tcW w:w="0" w:type="auto"/>
            <w:gridSpan w:val="3"/>
            <w:shd w:val="clear" w:color="auto" w:fill="auto"/>
            <w:tcMar>
              <w:left w:w="20" w:type="dxa"/>
              <w:right w:w="20" w:type="dxa"/>
            </w:tcMar>
            <w:vAlign w:val="bottom"/>
          </w:tcPr>
          <w:p w14:paraId="64A8A52A"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52B" w14:textId="77777777" w:rsidR="008D6614" w:rsidRDefault="00866AF2">
            <w:pPr>
              <w:jc w:val="center"/>
              <w:textAlignment w:val="bottom"/>
            </w:pPr>
            <w:r>
              <w:rPr>
                <w:rFonts w:ascii="Arial" w:eastAsia="宋体" w:hAnsi="Arial" w:cs="Arial"/>
                <w:b/>
                <w:bCs/>
                <w:color w:val="000000"/>
                <w:sz w:val="16"/>
                <w:szCs w:val="16"/>
              </w:rPr>
              <w:t>Remaining Amount Authorized</w:t>
            </w:r>
          </w:p>
        </w:tc>
      </w:tr>
      <w:tr w:rsidR="008D6614" w14:paraId="64A8A537" w14:textId="77777777">
        <w:trPr>
          <w:jc w:val="center"/>
        </w:trPr>
        <w:tc>
          <w:tcPr>
            <w:tcW w:w="0" w:type="auto"/>
            <w:gridSpan w:val="3"/>
            <w:shd w:val="clear" w:color="auto" w:fill="DDDDDD"/>
            <w:tcMar>
              <w:top w:w="40" w:type="dxa"/>
              <w:left w:w="20" w:type="dxa"/>
              <w:bottom w:w="40" w:type="dxa"/>
              <w:right w:w="20" w:type="dxa"/>
            </w:tcMar>
            <w:vAlign w:val="bottom"/>
          </w:tcPr>
          <w:p w14:paraId="64A8A52D" w14:textId="77777777" w:rsidR="008D6614" w:rsidRDefault="00866AF2">
            <w:pPr>
              <w:textAlignment w:val="bottom"/>
            </w:pPr>
            <w:r>
              <w:rPr>
                <w:rFonts w:ascii="Arial" w:eastAsia="宋体" w:hAnsi="Arial" w:cs="Arial"/>
                <w:color w:val="000000"/>
                <w:sz w:val="18"/>
                <w:szCs w:val="18"/>
              </w:rPr>
              <w:t>Balance as of January 1, 2020</w:t>
            </w:r>
          </w:p>
        </w:tc>
        <w:tc>
          <w:tcPr>
            <w:tcW w:w="0" w:type="auto"/>
            <w:gridSpan w:val="3"/>
            <w:tcBorders>
              <w:top w:val="single" w:sz="8" w:space="0" w:color="000000"/>
            </w:tcBorders>
            <w:shd w:val="clear" w:color="auto" w:fill="DDDDDD"/>
            <w:tcMar>
              <w:left w:w="20" w:type="dxa"/>
              <w:right w:w="20" w:type="dxa"/>
            </w:tcMar>
            <w:vAlign w:val="bottom"/>
          </w:tcPr>
          <w:p w14:paraId="64A8A52E" w14:textId="77777777" w:rsidR="008D6614" w:rsidRDefault="008D6614">
            <w:pPr>
              <w:rPr>
                <w:rFonts w:ascii="宋体"/>
              </w:rPr>
            </w:pPr>
          </w:p>
        </w:tc>
        <w:tc>
          <w:tcPr>
            <w:tcW w:w="0" w:type="auto"/>
            <w:gridSpan w:val="3"/>
            <w:shd w:val="clear" w:color="auto" w:fill="DDDDDD"/>
            <w:tcMar>
              <w:left w:w="20" w:type="dxa"/>
              <w:right w:w="20" w:type="dxa"/>
            </w:tcMar>
            <w:vAlign w:val="bottom"/>
          </w:tcPr>
          <w:p w14:paraId="64A8A52F" w14:textId="77777777" w:rsidR="008D6614" w:rsidRDefault="008D6614">
            <w:pPr>
              <w:rPr>
                <w:rFonts w:ascii="宋体"/>
              </w:rPr>
            </w:pPr>
          </w:p>
        </w:tc>
        <w:tc>
          <w:tcPr>
            <w:tcW w:w="0" w:type="auto"/>
            <w:gridSpan w:val="3"/>
            <w:tcBorders>
              <w:top w:val="single" w:sz="8" w:space="0" w:color="000000"/>
            </w:tcBorders>
            <w:shd w:val="clear" w:color="auto" w:fill="DDDDDD"/>
            <w:tcMar>
              <w:left w:w="20" w:type="dxa"/>
              <w:right w:w="20" w:type="dxa"/>
            </w:tcMar>
            <w:vAlign w:val="bottom"/>
          </w:tcPr>
          <w:p w14:paraId="64A8A530" w14:textId="77777777" w:rsidR="008D6614" w:rsidRDefault="008D6614">
            <w:pPr>
              <w:rPr>
                <w:rFonts w:ascii="宋体"/>
              </w:rPr>
            </w:pPr>
          </w:p>
        </w:tc>
        <w:tc>
          <w:tcPr>
            <w:tcW w:w="0" w:type="auto"/>
            <w:gridSpan w:val="3"/>
            <w:shd w:val="clear" w:color="auto" w:fill="DDDDDD"/>
            <w:tcMar>
              <w:left w:w="20" w:type="dxa"/>
              <w:right w:w="20" w:type="dxa"/>
            </w:tcMar>
            <w:vAlign w:val="bottom"/>
          </w:tcPr>
          <w:p w14:paraId="64A8A531" w14:textId="77777777" w:rsidR="008D6614" w:rsidRDefault="008D6614">
            <w:pPr>
              <w:rPr>
                <w:rFonts w:ascii="宋体"/>
              </w:rPr>
            </w:pPr>
          </w:p>
        </w:tc>
        <w:tc>
          <w:tcPr>
            <w:tcW w:w="0" w:type="auto"/>
            <w:gridSpan w:val="3"/>
            <w:tcBorders>
              <w:top w:val="single" w:sz="8" w:space="0" w:color="000000"/>
            </w:tcBorders>
            <w:shd w:val="clear" w:color="auto" w:fill="DDDDDD"/>
            <w:tcMar>
              <w:left w:w="20" w:type="dxa"/>
              <w:right w:w="20" w:type="dxa"/>
            </w:tcMar>
            <w:vAlign w:val="bottom"/>
          </w:tcPr>
          <w:p w14:paraId="64A8A532" w14:textId="77777777" w:rsidR="008D6614" w:rsidRDefault="008D6614">
            <w:pPr>
              <w:rPr>
                <w:rFonts w:ascii="宋体"/>
              </w:rPr>
            </w:pPr>
          </w:p>
        </w:tc>
        <w:tc>
          <w:tcPr>
            <w:tcW w:w="0" w:type="auto"/>
            <w:gridSpan w:val="3"/>
            <w:shd w:val="clear" w:color="auto" w:fill="DDDDDD"/>
            <w:tcMar>
              <w:left w:w="20" w:type="dxa"/>
              <w:right w:w="20" w:type="dxa"/>
            </w:tcMar>
            <w:vAlign w:val="bottom"/>
          </w:tcPr>
          <w:p w14:paraId="64A8A533" w14:textId="77777777" w:rsidR="008D6614" w:rsidRDefault="008D6614">
            <w:pPr>
              <w:rPr>
                <w:rFonts w:ascii="宋体"/>
              </w:rPr>
            </w:pPr>
          </w:p>
        </w:tc>
        <w:tc>
          <w:tcPr>
            <w:tcW w:w="0" w:type="auto"/>
            <w:tcBorders>
              <w:top w:val="single" w:sz="8" w:space="0" w:color="000000"/>
            </w:tcBorders>
            <w:shd w:val="clear" w:color="auto" w:fill="DDDDDD"/>
            <w:tcMar>
              <w:top w:w="40" w:type="dxa"/>
              <w:left w:w="20" w:type="dxa"/>
              <w:bottom w:w="40" w:type="dxa"/>
            </w:tcMar>
            <w:vAlign w:val="bottom"/>
          </w:tcPr>
          <w:p w14:paraId="64A8A534"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bottom w:w="40" w:type="dxa"/>
              <w:right w:w="0" w:type="dxa"/>
            </w:tcMar>
            <w:vAlign w:val="bottom"/>
          </w:tcPr>
          <w:p w14:paraId="64A8A535" w14:textId="77777777" w:rsidR="008D6614" w:rsidRDefault="00866AF2">
            <w:pPr>
              <w:jc w:val="right"/>
              <w:textAlignment w:val="bottom"/>
            </w:pPr>
            <w:r>
              <w:rPr>
                <w:rFonts w:ascii="Arial" w:eastAsia="宋体" w:hAnsi="Arial" w:cs="Arial"/>
                <w:color w:val="000000"/>
                <w:sz w:val="18"/>
                <w:szCs w:val="18"/>
              </w:rPr>
              <w:t>2,151 </w:t>
            </w:r>
          </w:p>
        </w:tc>
        <w:tc>
          <w:tcPr>
            <w:tcW w:w="0" w:type="auto"/>
            <w:tcBorders>
              <w:top w:val="single" w:sz="8" w:space="0" w:color="000000"/>
            </w:tcBorders>
            <w:shd w:val="clear" w:color="auto" w:fill="DDDDDD"/>
            <w:tcMar>
              <w:top w:w="40" w:type="dxa"/>
              <w:bottom w:w="40" w:type="dxa"/>
              <w:right w:w="20" w:type="dxa"/>
            </w:tcMar>
            <w:vAlign w:val="bottom"/>
          </w:tcPr>
          <w:p w14:paraId="64A8A536" w14:textId="77777777" w:rsidR="008D6614" w:rsidRDefault="00866AF2">
            <w:pPr>
              <w:jc w:val="right"/>
              <w:textAlignment w:val="bottom"/>
            </w:pPr>
            <w:r>
              <w:rPr>
                <w:rFonts w:ascii="Arial" w:eastAsia="宋体" w:hAnsi="Arial" w:cs="Arial"/>
                <w:color w:val="000000"/>
                <w:sz w:val="18"/>
                <w:szCs w:val="18"/>
              </w:rPr>
              <w:t> </w:t>
            </w:r>
          </w:p>
        </w:tc>
      </w:tr>
      <w:tr w:rsidR="008D6614" w14:paraId="64A8A541" w14:textId="77777777">
        <w:trPr>
          <w:jc w:val="center"/>
        </w:trPr>
        <w:tc>
          <w:tcPr>
            <w:tcW w:w="0" w:type="auto"/>
            <w:gridSpan w:val="3"/>
            <w:shd w:val="clear" w:color="auto" w:fill="FFFFFF"/>
            <w:tcMar>
              <w:top w:w="40" w:type="dxa"/>
              <w:left w:w="20" w:type="dxa"/>
              <w:bottom w:w="40" w:type="dxa"/>
              <w:right w:w="20" w:type="dxa"/>
            </w:tcMar>
            <w:vAlign w:val="bottom"/>
          </w:tcPr>
          <w:p w14:paraId="64A8A538" w14:textId="77777777" w:rsidR="008D6614" w:rsidRDefault="00866AF2">
            <w:pPr>
              <w:textAlignment w:val="bottom"/>
            </w:pPr>
            <w:r>
              <w:rPr>
                <w:rFonts w:ascii="Arial" w:eastAsia="宋体" w:hAnsi="Arial" w:cs="Arial"/>
                <w:color w:val="000000"/>
                <w:sz w:val="18"/>
                <w:szCs w:val="18"/>
              </w:rPr>
              <w:t xml:space="preserve">Authorization of additional plan in </w:t>
            </w:r>
            <w:r>
              <w:rPr>
                <w:rFonts w:ascii="Arial" w:eastAsia="宋体" w:hAnsi="Arial" w:cs="Arial"/>
                <w:color w:val="000000"/>
                <w:sz w:val="18"/>
                <w:szCs w:val="18"/>
              </w:rPr>
              <w:t>January 2020</w:t>
            </w:r>
          </w:p>
        </w:tc>
        <w:tc>
          <w:tcPr>
            <w:tcW w:w="0" w:type="auto"/>
            <w:gridSpan w:val="3"/>
            <w:shd w:val="clear" w:color="auto" w:fill="FFFFFF"/>
            <w:tcMar>
              <w:left w:w="20" w:type="dxa"/>
              <w:right w:w="20" w:type="dxa"/>
            </w:tcMar>
            <w:vAlign w:val="bottom"/>
          </w:tcPr>
          <w:p w14:paraId="64A8A539"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3A"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3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3C"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3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3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53F" w14:textId="77777777" w:rsidR="008D6614" w:rsidRDefault="00866AF2">
            <w:pPr>
              <w:jc w:val="right"/>
              <w:textAlignment w:val="bottom"/>
            </w:pPr>
            <w:r>
              <w:rPr>
                <w:rFonts w:ascii="Arial" w:eastAsia="宋体" w:hAnsi="Arial" w:cs="Arial"/>
                <w:color w:val="000000"/>
                <w:sz w:val="18"/>
                <w:szCs w:val="18"/>
              </w:rPr>
              <w:t>5,000 </w:t>
            </w:r>
          </w:p>
        </w:tc>
        <w:tc>
          <w:tcPr>
            <w:tcW w:w="0" w:type="auto"/>
            <w:shd w:val="clear" w:color="auto" w:fill="FFFFFF"/>
            <w:tcMar>
              <w:top w:w="40" w:type="dxa"/>
              <w:bottom w:w="40" w:type="dxa"/>
              <w:right w:w="20" w:type="dxa"/>
            </w:tcMar>
            <w:vAlign w:val="bottom"/>
          </w:tcPr>
          <w:p w14:paraId="64A8A540" w14:textId="77777777" w:rsidR="008D6614" w:rsidRDefault="00866AF2">
            <w:pPr>
              <w:jc w:val="right"/>
              <w:textAlignment w:val="bottom"/>
            </w:pPr>
            <w:r>
              <w:rPr>
                <w:rFonts w:ascii="Arial" w:eastAsia="宋体" w:hAnsi="Arial" w:cs="Arial"/>
                <w:color w:val="000000"/>
                <w:sz w:val="18"/>
                <w:szCs w:val="18"/>
              </w:rPr>
              <w:t> </w:t>
            </w:r>
          </w:p>
        </w:tc>
      </w:tr>
      <w:tr w:rsidR="008D6614" w14:paraId="64A8A550" w14:textId="77777777">
        <w:trPr>
          <w:jc w:val="center"/>
        </w:trPr>
        <w:tc>
          <w:tcPr>
            <w:tcW w:w="0" w:type="auto"/>
            <w:gridSpan w:val="3"/>
            <w:shd w:val="clear" w:color="auto" w:fill="DDDDDD"/>
            <w:tcMar>
              <w:top w:w="40" w:type="dxa"/>
              <w:left w:w="20" w:type="dxa"/>
              <w:bottom w:w="40" w:type="dxa"/>
              <w:right w:w="20" w:type="dxa"/>
            </w:tcMar>
            <w:vAlign w:val="bottom"/>
          </w:tcPr>
          <w:p w14:paraId="64A8A542" w14:textId="77777777" w:rsidR="008D6614" w:rsidRDefault="00866AF2">
            <w:pPr>
              <w:textAlignment w:val="bottom"/>
            </w:pPr>
            <w:r>
              <w:rPr>
                <w:rFonts w:ascii="Arial" w:eastAsia="宋体" w:hAnsi="Arial" w:cs="Arial"/>
                <w:color w:val="000000"/>
                <w:sz w:val="18"/>
                <w:szCs w:val="18"/>
              </w:rPr>
              <w:t xml:space="preserve">Repurchase of shares of common stock </w:t>
            </w:r>
          </w:p>
        </w:tc>
        <w:tc>
          <w:tcPr>
            <w:tcW w:w="0" w:type="auto"/>
            <w:gridSpan w:val="2"/>
            <w:shd w:val="clear" w:color="auto" w:fill="E2E2E2"/>
            <w:tcMar>
              <w:top w:w="40" w:type="dxa"/>
              <w:left w:w="20" w:type="dxa"/>
              <w:bottom w:w="40" w:type="dxa"/>
              <w:right w:w="0" w:type="dxa"/>
            </w:tcMar>
            <w:vAlign w:val="bottom"/>
          </w:tcPr>
          <w:p w14:paraId="64A8A543" w14:textId="77777777" w:rsidR="008D6614" w:rsidRDefault="00866AF2">
            <w:pPr>
              <w:jc w:val="right"/>
              <w:textAlignment w:val="bottom"/>
            </w:pPr>
            <w:r>
              <w:rPr>
                <w:rFonts w:ascii="Arial" w:eastAsia="宋体" w:hAnsi="Arial" w:cs="Arial"/>
                <w:color w:val="000000"/>
                <w:sz w:val="18"/>
                <w:szCs w:val="18"/>
              </w:rPr>
              <w:t>29 </w:t>
            </w:r>
          </w:p>
        </w:tc>
        <w:tc>
          <w:tcPr>
            <w:tcW w:w="0" w:type="auto"/>
            <w:shd w:val="clear" w:color="auto" w:fill="E2E2E2"/>
            <w:tcMar>
              <w:top w:w="40" w:type="dxa"/>
              <w:bottom w:w="40" w:type="dxa"/>
              <w:right w:w="20" w:type="dxa"/>
            </w:tcMar>
            <w:vAlign w:val="bottom"/>
          </w:tcPr>
          <w:p w14:paraId="64A8A54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545"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A546"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A547" w14:textId="77777777" w:rsidR="008D6614" w:rsidRDefault="00866AF2">
            <w:pPr>
              <w:jc w:val="right"/>
              <w:textAlignment w:val="bottom"/>
            </w:pPr>
            <w:r>
              <w:rPr>
                <w:rFonts w:ascii="Arial" w:eastAsia="宋体" w:hAnsi="Arial" w:cs="Arial"/>
                <w:color w:val="000000"/>
                <w:sz w:val="18"/>
                <w:szCs w:val="18"/>
              </w:rPr>
              <w:t>34.30 </w:t>
            </w:r>
          </w:p>
        </w:tc>
        <w:tc>
          <w:tcPr>
            <w:tcW w:w="0" w:type="auto"/>
            <w:shd w:val="clear" w:color="auto" w:fill="E2E2E2"/>
            <w:tcMar>
              <w:top w:w="40" w:type="dxa"/>
              <w:bottom w:w="40" w:type="dxa"/>
              <w:right w:w="20" w:type="dxa"/>
            </w:tcMar>
            <w:vAlign w:val="bottom"/>
          </w:tcPr>
          <w:p w14:paraId="64A8A54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549"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A54A"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A54B" w14:textId="77777777" w:rsidR="008D6614" w:rsidRDefault="00866AF2">
            <w:pPr>
              <w:jc w:val="right"/>
              <w:textAlignment w:val="bottom"/>
            </w:pPr>
            <w:r>
              <w:rPr>
                <w:rFonts w:ascii="Arial" w:eastAsia="宋体" w:hAnsi="Arial" w:cs="Arial"/>
                <w:color w:val="000000"/>
                <w:sz w:val="18"/>
                <w:szCs w:val="18"/>
              </w:rPr>
              <w:t>998 </w:t>
            </w:r>
          </w:p>
        </w:tc>
        <w:tc>
          <w:tcPr>
            <w:tcW w:w="0" w:type="auto"/>
            <w:shd w:val="clear" w:color="auto" w:fill="E2E2E2"/>
            <w:tcMar>
              <w:top w:w="40" w:type="dxa"/>
              <w:bottom w:w="40" w:type="dxa"/>
              <w:right w:w="20" w:type="dxa"/>
            </w:tcMar>
            <w:vAlign w:val="bottom"/>
          </w:tcPr>
          <w:p w14:paraId="64A8A54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54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54E" w14:textId="77777777" w:rsidR="008D6614" w:rsidRDefault="00866AF2">
            <w:pPr>
              <w:jc w:val="right"/>
              <w:textAlignment w:val="bottom"/>
            </w:pPr>
            <w:r>
              <w:rPr>
                <w:rFonts w:ascii="Arial" w:eastAsia="宋体" w:hAnsi="Arial" w:cs="Arial"/>
                <w:color w:val="000000"/>
                <w:sz w:val="18"/>
                <w:szCs w:val="18"/>
              </w:rPr>
              <w:t>(998)</w:t>
            </w:r>
          </w:p>
        </w:tc>
        <w:tc>
          <w:tcPr>
            <w:tcW w:w="0" w:type="auto"/>
            <w:shd w:val="clear" w:color="auto" w:fill="E2E2E2"/>
            <w:tcMar>
              <w:top w:w="40" w:type="dxa"/>
              <w:bottom w:w="40" w:type="dxa"/>
              <w:right w:w="20" w:type="dxa"/>
            </w:tcMar>
            <w:vAlign w:val="bottom"/>
          </w:tcPr>
          <w:p w14:paraId="64A8A54F" w14:textId="77777777" w:rsidR="008D6614" w:rsidRDefault="00866AF2">
            <w:pPr>
              <w:jc w:val="right"/>
              <w:textAlignment w:val="bottom"/>
            </w:pPr>
            <w:r>
              <w:rPr>
                <w:rFonts w:ascii="Arial" w:eastAsia="宋体" w:hAnsi="Arial" w:cs="Arial"/>
                <w:color w:val="000000"/>
                <w:sz w:val="18"/>
                <w:szCs w:val="18"/>
              </w:rPr>
              <w:t> </w:t>
            </w:r>
          </w:p>
        </w:tc>
      </w:tr>
      <w:tr w:rsidR="008D6614" w14:paraId="64A8A55D" w14:textId="77777777">
        <w:trPr>
          <w:jc w:val="center"/>
        </w:trPr>
        <w:tc>
          <w:tcPr>
            <w:tcW w:w="0" w:type="auto"/>
            <w:gridSpan w:val="3"/>
            <w:shd w:val="clear" w:color="auto" w:fill="FFFFFF"/>
            <w:tcMar>
              <w:top w:w="40" w:type="dxa"/>
              <w:left w:w="20" w:type="dxa"/>
              <w:bottom w:w="40" w:type="dxa"/>
              <w:right w:w="20" w:type="dxa"/>
            </w:tcMar>
            <w:vAlign w:val="bottom"/>
          </w:tcPr>
          <w:p w14:paraId="64A8A551" w14:textId="77777777" w:rsidR="008D6614" w:rsidRDefault="00866AF2">
            <w:pPr>
              <w:textAlignment w:val="bottom"/>
            </w:pPr>
            <w:r>
              <w:rPr>
                <w:rFonts w:ascii="Arial" w:eastAsia="宋体" w:hAnsi="Arial" w:cs="Arial"/>
                <w:color w:val="000000"/>
                <w:sz w:val="18"/>
                <w:szCs w:val="18"/>
              </w:rPr>
              <w:t xml:space="preserve">Accelerated share repurchases </w:t>
            </w:r>
            <w:r>
              <w:rPr>
                <w:rFonts w:ascii="Arial" w:eastAsia="宋体" w:hAnsi="Arial" w:cs="Arial"/>
                <w:color w:val="000000"/>
                <w:sz w:val="11"/>
                <w:szCs w:val="11"/>
              </w:rPr>
              <w:t>(3)</w:t>
            </w:r>
          </w:p>
        </w:tc>
        <w:tc>
          <w:tcPr>
            <w:tcW w:w="0" w:type="auto"/>
            <w:gridSpan w:val="2"/>
            <w:shd w:val="clear" w:color="auto" w:fill="FFFFFF"/>
            <w:tcMar>
              <w:top w:w="40" w:type="dxa"/>
              <w:left w:w="20" w:type="dxa"/>
              <w:bottom w:w="40" w:type="dxa"/>
              <w:right w:w="0" w:type="dxa"/>
            </w:tcMar>
            <w:vAlign w:val="bottom"/>
          </w:tcPr>
          <w:p w14:paraId="64A8A552" w14:textId="77777777" w:rsidR="008D6614" w:rsidRDefault="00866AF2">
            <w:pPr>
              <w:jc w:val="right"/>
              <w:textAlignment w:val="bottom"/>
            </w:pPr>
            <w:r>
              <w:rPr>
                <w:rFonts w:ascii="Arial" w:eastAsia="宋体" w:hAnsi="Arial" w:cs="Arial"/>
                <w:color w:val="000000"/>
                <w:sz w:val="18"/>
                <w:szCs w:val="18"/>
              </w:rPr>
              <w:t>69 </w:t>
            </w:r>
          </w:p>
        </w:tc>
        <w:tc>
          <w:tcPr>
            <w:tcW w:w="0" w:type="auto"/>
            <w:shd w:val="clear" w:color="auto" w:fill="FFFFFF"/>
            <w:tcMar>
              <w:top w:w="40" w:type="dxa"/>
              <w:bottom w:w="40" w:type="dxa"/>
              <w:right w:w="20" w:type="dxa"/>
            </w:tcMar>
            <w:vAlign w:val="bottom"/>
          </w:tcPr>
          <w:p w14:paraId="64A8A55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554"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5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56"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A557"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A558" w14:textId="77777777" w:rsidR="008D6614" w:rsidRDefault="00866AF2">
            <w:pPr>
              <w:jc w:val="right"/>
              <w:textAlignment w:val="bottom"/>
            </w:pPr>
            <w:r>
              <w:rPr>
                <w:rFonts w:ascii="Arial" w:eastAsia="宋体" w:hAnsi="Arial" w:cs="Arial"/>
                <w:color w:val="000000"/>
                <w:sz w:val="18"/>
                <w:szCs w:val="18"/>
              </w:rPr>
              <w:t>2,550 </w:t>
            </w:r>
          </w:p>
        </w:tc>
        <w:tc>
          <w:tcPr>
            <w:tcW w:w="0" w:type="auto"/>
            <w:shd w:val="clear" w:color="auto" w:fill="FFFFFF"/>
            <w:tcMar>
              <w:top w:w="40" w:type="dxa"/>
              <w:bottom w:w="40" w:type="dxa"/>
              <w:right w:w="20" w:type="dxa"/>
            </w:tcMar>
            <w:vAlign w:val="bottom"/>
          </w:tcPr>
          <w:p w14:paraId="64A8A55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55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55B" w14:textId="77777777" w:rsidR="008D6614" w:rsidRDefault="00866AF2">
            <w:pPr>
              <w:jc w:val="right"/>
              <w:textAlignment w:val="bottom"/>
            </w:pPr>
            <w:r>
              <w:rPr>
                <w:rFonts w:ascii="Arial" w:eastAsia="宋体" w:hAnsi="Arial" w:cs="Arial"/>
                <w:color w:val="000000"/>
                <w:sz w:val="18"/>
                <w:szCs w:val="18"/>
              </w:rPr>
              <w:t>(2,550)</w:t>
            </w:r>
          </w:p>
        </w:tc>
        <w:tc>
          <w:tcPr>
            <w:tcW w:w="0" w:type="auto"/>
            <w:shd w:val="clear" w:color="auto" w:fill="FFFFFF"/>
            <w:tcMar>
              <w:top w:w="40" w:type="dxa"/>
              <w:bottom w:w="40" w:type="dxa"/>
              <w:right w:w="20" w:type="dxa"/>
            </w:tcMar>
            <w:vAlign w:val="bottom"/>
          </w:tcPr>
          <w:p w14:paraId="64A8A55C" w14:textId="77777777" w:rsidR="008D6614" w:rsidRDefault="00866AF2">
            <w:pPr>
              <w:jc w:val="right"/>
              <w:textAlignment w:val="bottom"/>
            </w:pPr>
            <w:r>
              <w:rPr>
                <w:rFonts w:ascii="Arial" w:eastAsia="宋体" w:hAnsi="Arial" w:cs="Arial"/>
                <w:color w:val="000000"/>
                <w:sz w:val="18"/>
                <w:szCs w:val="18"/>
              </w:rPr>
              <w:t> </w:t>
            </w:r>
          </w:p>
        </w:tc>
      </w:tr>
      <w:tr w:rsidR="008D6614" w14:paraId="64A8A56A" w14:textId="77777777">
        <w:trPr>
          <w:jc w:val="center"/>
        </w:trPr>
        <w:tc>
          <w:tcPr>
            <w:tcW w:w="0" w:type="auto"/>
            <w:gridSpan w:val="3"/>
            <w:shd w:val="clear" w:color="auto" w:fill="DDDDDD"/>
            <w:tcMar>
              <w:top w:w="40" w:type="dxa"/>
              <w:left w:w="20" w:type="dxa"/>
              <w:bottom w:w="40" w:type="dxa"/>
              <w:right w:w="20" w:type="dxa"/>
            </w:tcMar>
            <w:vAlign w:val="bottom"/>
          </w:tcPr>
          <w:p w14:paraId="64A8A55E" w14:textId="77777777" w:rsidR="008D6614" w:rsidRDefault="00866AF2">
            <w:pPr>
              <w:textAlignment w:val="bottom"/>
            </w:pPr>
            <w:r>
              <w:rPr>
                <w:rFonts w:ascii="Arial" w:eastAsia="宋体" w:hAnsi="Arial" w:cs="Arial"/>
                <w:color w:val="000000"/>
                <w:sz w:val="18"/>
                <w:szCs w:val="18"/>
              </w:rPr>
              <w:t>Unsettled forward contract for share repurchase</w:t>
            </w:r>
          </w:p>
        </w:tc>
        <w:tc>
          <w:tcPr>
            <w:tcW w:w="0" w:type="auto"/>
            <w:gridSpan w:val="2"/>
            <w:shd w:val="clear" w:color="auto" w:fill="DDDDDD"/>
            <w:tcMar>
              <w:top w:w="40" w:type="dxa"/>
              <w:left w:w="20" w:type="dxa"/>
              <w:bottom w:w="40" w:type="dxa"/>
              <w:right w:w="0" w:type="dxa"/>
            </w:tcMar>
            <w:vAlign w:val="bottom"/>
          </w:tcPr>
          <w:p w14:paraId="64A8A55F" w14:textId="77777777" w:rsidR="008D6614" w:rsidRDefault="00866AF2">
            <w:pPr>
              <w:jc w:val="right"/>
              <w:textAlignment w:val="bottom"/>
            </w:pPr>
            <w:r>
              <w:rPr>
                <w:rFonts w:ascii="Times New Roman" w:eastAsia="宋体" w:hAnsi="Times New Roman"/>
                <w:color w:val="000000"/>
                <w:sz w:val="20"/>
                <w:szCs w:val="20"/>
              </w:rPr>
              <w:t>— </w:t>
            </w:r>
          </w:p>
        </w:tc>
        <w:tc>
          <w:tcPr>
            <w:tcW w:w="0" w:type="auto"/>
            <w:shd w:val="clear" w:color="auto" w:fill="DDDDDD"/>
            <w:tcMar>
              <w:top w:w="40" w:type="dxa"/>
              <w:bottom w:w="40" w:type="dxa"/>
              <w:right w:w="20" w:type="dxa"/>
            </w:tcMar>
            <w:vAlign w:val="bottom"/>
          </w:tcPr>
          <w:p w14:paraId="64A8A560" w14:textId="77777777" w:rsidR="008D6614" w:rsidRDefault="00866AF2">
            <w:pPr>
              <w:jc w:val="right"/>
              <w:textAlignment w:val="bottom"/>
            </w:pPr>
            <w:r>
              <w:rPr>
                <w:rFonts w:ascii="Times New Roman" w:eastAsia="宋体" w:hAnsi="Times New Roman"/>
                <w:color w:val="000000"/>
                <w:sz w:val="20"/>
                <w:szCs w:val="20"/>
              </w:rPr>
              <w:t> </w:t>
            </w:r>
          </w:p>
        </w:tc>
        <w:tc>
          <w:tcPr>
            <w:tcW w:w="0" w:type="auto"/>
            <w:gridSpan w:val="3"/>
            <w:shd w:val="clear" w:color="auto" w:fill="DDDDDD"/>
            <w:tcMar>
              <w:left w:w="20" w:type="dxa"/>
              <w:right w:w="20" w:type="dxa"/>
            </w:tcMar>
            <w:vAlign w:val="bottom"/>
          </w:tcPr>
          <w:p w14:paraId="64A8A561" w14:textId="77777777" w:rsidR="008D6614" w:rsidRDefault="008D6614">
            <w:pPr>
              <w:rPr>
                <w:rFonts w:ascii="宋体"/>
              </w:rPr>
            </w:pPr>
          </w:p>
        </w:tc>
        <w:tc>
          <w:tcPr>
            <w:tcW w:w="0" w:type="auto"/>
            <w:gridSpan w:val="3"/>
            <w:shd w:val="clear" w:color="auto" w:fill="DDDDDD"/>
            <w:tcMar>
              <w:left w:w="20" w:type="dxa"/>
              <w:right w:w="20" w:type="dxa"/>
            </w:tcMar>
            <w:vAlign w:val="bottom"/>
          </w:tcPr>
          <w:p w14:paraId="64A8A562" w14:textId="77777777" w:rsidR="008D6614" w:rsidRDefault="008D6614">
            <w:pPr>
              <w:rPr>
                <w:rFonts w:ascii="宋体"/>
              </w:rPr>
            </w:pPr>
          </w:p>
        </w:tc>
        <w:tc>
          <w:tcPr>
            <w:tcW w:w="0" w:type="auto"/>
            <w:gridSpan w:val="3"/>
            <w:shd w:val="clear" w:color="auto" w:fill="DDDDDD"/>
            <w:tcMar>
              <w:left w:w="20" w:type="dxa"/>
              <w:right w:w="20" w:type="dxa"/>
            </w:tcMar>
            <w:vAlign w:val="bottom"/>
          </w:tcPr>
          <w:p w14:paraId="64A8A563" w14:textId="77777777" w:rsidR="008D6614" w:rsidRDefault="008D6614">
            <w:pPr>
              <w:rPr>
                <w:rFonts w:ascii="宋体"/>
              </w:rPr>
            </w:pPr>
          </w:p>
        </w:tc>
        <w:tc>
          <w:tcPr>
            <w:tcW w:w="0" w:type="auto"/>
            <w:shd w:val="clear" w:color="auto" w:fill="DDDDDD"/>
            <w:tcMar>
              <w:top w:w="40" w:type="dxa"/>
              <w:left w:w="20" w:type="dxa"/>
              <w:bottom w:w="40" w:type="dxa"/>
            </w:tcMar>
            <w:vAlign w:val="bottom"/>
          </w:tcPr>
          <w:p w14:paraId="64A8A564" w14:textId="77777777" w:rsidR="008D6614" w:rsidRDefault="00866AF2">
            <w:pPr>
              <w:textAlignment w:val="bottom"/>
            </w:pPr>
            <w:r>
              <w:rPr>
                <w:rFonts w:ascii="Arial" w:eastAsia="宋体" w:hAnsi="Arial" w:cs="Arial"/>
                <w:color w:val="000000"/>
                <w:sz w:val="18"/>
                <w:szCs w:val="18"/>
              </w:rPr>
              <w:t>$</w:t>
            </w:r>
          </w:p>
        </w:tc>
        <w:tc>
          <w:tcPr>
            <w:tcW w:w="0" w:type="auto"/>
            <w:shd w:val="clear" w:color="auto" w:fill="DDDDDD"/>
            <w:tcMar>
              <w:top w:w="40" w:type="dxa"/>
              <w:bottom w:w="40" w:type="dxa"/>
              <w:right w:w="0" w:type="dxa"/>
            </w:tcMar>
            <w:vAlign w:val="bottom"/>
          </w:tcPr>
          <w:p w14:paraId="64A8A565" w14:textId="77777777" w:rsidR="008D6614" w:rsidRDefault="00866AF2">
            <w:pPr>
              <w:jc w:val="right"/>
              <w:textAlignment w:val="bottom"/>
            </w:pPr>
            <w:r>
              <w:rPr>
                <w:rFonts w:ascii="Arial" w:eastAsia="宋体" w:hAnsi="Arial" w:cs="Arial"/>
                <w:color w:val="000000"/>
                <w:sz w:val="18"/>
                <w:szCs w:val="18"/>
              </w:rPr>
              <w:t>450 </w:t>
            </w:r>
          </w:p>
        </w:tc>
        <w:tc>
          <w:tcPr>
            <w:tcW w:w="0" w:type="auto"/>
            <w:shd w:val="clear" w:color="auto" w:fill="DDDDDD"/>
            <w:tcMar>
              <w:top w:w="40" w:type="dxa"/>
              <w:bottom w:w="40" w:type="dxa"/>
              <w:right w:w="20" w:type="dxa"/>
            </w:tcMar>
            <w:vAlign w:val="bottom"/>
          </w:tcPr>
          <w:p w14:paraId="64A8A56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DDDDDD"/>
            <w:tcMar>
              <w:left w:w="20" w:type="dxa"/>
              <w:right w:w="20" w:type="dxa"/>
            </w:tcMar>
            <w:vAlign w:val="bottom"/>
          </w:tcPr>
          <w:p w14:paraId="64A8A567" w14:textId="77777777" w:rsidR="008D6614" w:rsidRDefault="008D6614">
            <w:pPr>
              <w:rPr>
                <w:rFonts w:ascii="宋体"/>
              </w:rPr>
            </w:pPr>
          </w:p>
        </w:tc>
        <w:tc>
          <w:tcPr>
            <w:tcW w:w="0" w:type="auto"/>
            <w:gridSpan w:val="2"/>
            <w:shd w:val="clear" w:color="auto" w:fill="DDDDDD"/>
            <w:tcMar>
              <w:top w:w="40" w:type="dxa"/>
              <w:left w:w="20" w:type="dxa"/>
              <w:bottom w:w="40" w:type="dxa"/>
              <w:right w:w="0" w:type="dxa"/>
            </w:tcMar>
            <w:vAlign w:val="bottom"/>
          </w:tcPr>
          <w:p w14:paraId="64A8A568" w14:textId="77777777" w:rsidR="008D6614" w:rsidRDefault="00866AF2">
            <w:pPr>
              <w:jc w:val="right"/>
              <w:textAlignment w:val="bottom"/>
            </w:pPr>
            <w:r>
              <w:rPr>
                <w:rFonts w:ascii="Arial" w:eastAsia="宋体" w:hAnsi="Arial" w:cs="Arial"/>
                <w:color w:val="000000"/>
                <w:sz w:val="18"/>
                <w:szCs w:val="18"/>
              </w:rPr>
              <w:t>(450)</w:t>
            </w:r>
          </w:p>
        </w:tc>
        <w:tc>
          <w:tcPr>
            <w:tcW w:w="0" w:type="auto"/>
            <w:shd w:val="clear" w:color="auto" w:fill="DDDDDD"/>
            <w:tcMar>
              <w:top w:w="40" w:type="dxa"/>
              <w:bottom w:w="40" w:type="dxa"/>
              <w:right w:w="20" w:type="dxa"/>
            </w:tcMar>
            <w:vAlign w:val="bottom"/>
          </w:tcPr>
          <w:p w14:paraId="64A8A569" w14:textId="77777777" w:rsidR="008D6614" w:rsidRDefault="00866AF2">
            <w:pPr>
              <w:jc w:val="right"/>
              <w:textAlignment w:val="bottom"/>
            </w:pPr>
            <w:r>
              <w:rPr>
                <w:rFonts w:ascii="Arial" w:eastAsia="宋体" w:hAnsi="Arial" w:cs="Arial"/>
                <w:color w:val="000000"/>
                <w:sz w:val="18"/>
                <w:szCs w:val="18"/>
              </w:rPr>
              <w:t> </w:t>
            </w:r>
          </w:p>
        </w:tc>
      </w:tr>
      <w:tr w:rsidR="008D6614" w14:paraId="64A8A575" w14:textId="77777777">
        <w:trPr>
          <w:jc w:val="center"/>
        </w:trPr>
        <w:tc>
          <w:tcPr>
            <w:tcW w:w="0" w:type="auto"/>
            <w:gridSpan w:val="3"/>
            <w:shd w:val="clear" w:color="auto" w:fill="FFFFFF"/>
            <w:tcMar>
              <w:top w:w="40" w:type="dxa"/>
              <w:left w:w="20" w:type="dxa"/>
              <w:bottom w:w="40" w:type="dxa"/>
              <w:right w:w="20" w:type="dxa"/>
            </w:tcMar>
            <w:vAlign w:val="bottom"/>
          </w:tcPr>
          <w:p w14:paraId="64A8A56B" w14:textId="77777777" w:rsidR="008D6614" w:rsidRDefault="00866AF2">
            <w:pPr>
              <w:textAlignment w:val="bottom"/>
            </w:pPr>
            <w:r>
              <w:rPr>
                <w:rFonts w:ascii="Arial" w:eastAsia="宋体" w:hAnsi="Arial" w:cs="Arial"/>
                <w:color w:val="000000"/>
                <w:sz w:val="18"/>
                <w:szCs w:val="18"/>
              </w:rPr>
              <w:t>Balance as of March 31, 2020</w:t>
            </w:r>
          </w:p>
        </w:tc>
        <w:tc>
          <w:tcPr>
            <w:tcW w:w="0" w:type="auto"/>
            <w:gridSpan w:val="3"/>
            <w:shd w:val="clear" w:color="auto" w:fill="FFFFFF"/>
            <w:tcMar>
              <w:left w:w="20" w:type="dxa"/>
              <w:right w:w="20" w:type="dxa"/>
            </w:tcMar>
            <w:vAlign w:val="bottom"/>
          </w:tcPr>
          <w:p w14:paraId="64A8A56C"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6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6E"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6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70"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571"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A57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A573" w14:textId="77777777" w:rsidR="008D6614" w:rsidRDefault="00866AF2">
            <w:pPr>
              <w:jc w:val="right"/>
              <w:textAlignment w:val="bottom"/>
            </w:pPr>
            <w:r>
              <w:rPr>
                <w:rFonts w:ascii="Arial" w:eastAsia="宋体" w:hAnsi="Arial" w:cs="Arial"/>
                <w:color w:val="000000"/>
                <w:sz w:val="18"/>
                <w:szCs w:val="18"/>
              </w:rPr>
              <w:t>3,153 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A574" w14:textId="77777777" w:rsidR="008D6614" w:rsidRDefault="00866AF2">
            <w:pPr>
              <w:jc w:val="right"/>
              <w:textAlignment w:val="bottom"/>
            </w:pPr>
            <w:r>
              <w:rPr>
                <w:rFonts w:ascii="Arial" w:eastAsia="宋体" w:hAnsi="Arial" w:cs="Arial"/>
                <w:color w:val="000000"/>
                <w:sz w:val="18"/>
                <w:szCs w:val="18"/>
              </w:rPr>
              <w:t> </w:t>
            </w:r>
          </w:p>
        </w:tc>
      </w:tr>
    </w:tbl>
    <w:p w14:paraId="64A8A576" w14:textId="77777777" w:rsidR="008D6614" w:rsidRDefault="008D6614"/>
    <w:tbl>
      <w:tblPr>
        <w:tblW w:w="972" w:type="pct"/>
        <w:tblCellMar>
          <w:top w:w="15" w:type="dxa"/>
          <w:left w:w="15" w:type="dxa"/>
          <w:bottom w:w="15" w:type="dxa"/>
          <w:right w:w="15" w:type="dxa"/>
        </w:tblCellMar>
        <w:tblLook w:val="04A0" w:firstRow="1" w:lastRow="0" w:firstColumn="1" w:lastColumn="0" w:noHBand="0" w:noVBand="1"/>
      </w:tblPr>
      <w:tblGrid>
        <w:gridCol w:w="36"/>
        <w:gridCol w:w="1549"/>
        <w:gridCol w:w="36"/>
      </w:tblGrid>
      <w:tr w:rsidR="008D6614" w14:paraId="64A8A57A" w14:textId="77777777">
        <w:tc>
          <w:tcPr>
            <w:tcW w:w="50" w:type="pct"/>
            <w:shd w:val="clear" w:color="auto" w:fill="auto"/>
            <w:vAlign w:val="center"/>
          </w:tcPr>
          <w:p w14:paraId="64A8A577" w14:textId="77777777" w:rsidR="008D6614" w:rsidRDefault="008D6614">
            <w:pPr>
              <w:rPr>
                <w:rFonts w:ascii="宋体"/>
              </w:rPr>
            </w:pPr>
          </w:p>
        </w:tc>
        <w:tc>
          <w:tcPr>
            <w:tcW w:w="4900" w:type="pct"/>
            <w:shd w:val="clear" w:color="auto" w:fill="auto"/>
            <w:vAlign w:val="center"/>
          </w:tcPr>
          <w:p w14:paraId="64A8A578" w14:textId="77777777" w:rsidR="008D6614" w:rsidRDefault="008D6614">
            <w:pPr>
              <w:rPr>
                <w:rFonts w:ascii="宋体"/>
              </w:rPr>
            </w:pPr>
          </w:p>
        </w:tc>
        <w:tc>
          <w:tcPr>
            <w:tcW w:w="50" w:type="pct"/>
            <w:shd w:val="clear" w:color="auto" w:fill="auto"/>
            <w:vAlign w:val="center"/>
          </w:tcPr>
          <w:p w14:paraId="64A8A579" w14:textId="77777777" w:rsidR="008D6614" w:rsidRDefault="008D6614">
            <w:pPr>
              <w:rPr>
                <w:rFonts w:ascii="宋体"/>
              </w:rPr>
            </w:pPr>
          </w:p>
        </w:tc>
      </w:tr>
      <w:tr w:rsidR="008D6614" w14:paraId="64A8A57C" w14:textId="77777777">
        <w:trPr>
          <w:trHeight w:val="60"/>
        </w:trPr>
        <w:tc>
          <w:tcPr>
            <w:tcW w:w="0" w:type="auto"/>
            <w:gridSpan w:val="3"/>
            <w:tcBorders>
              <w:top w:val="single" w:sz="8" w:space="0" w:color="000000"/>
            </w:tcBorders>
            <w:shd w:val="clear" w:color="auto" w:fill="auto"/>
            <w:tcMar>
              <w:left w:w="20" w:type="dxa"/>
              <w:right w:w="20" w:type="dxa"/>
            </w:tcMar>
            <w:vAlign w:val="bottom"/>
          </w:tcPr>
          <w:p w14:paraId="64A8A57B" w14:textId="77777777" w:rsidR="008D6614" w:rsidRDefault="008D6614">
            <w:pPr>
              <w:rPr>
                <w:rFonts w:ascii="宋体"/>
              </w:rPr>
            </w:pPr>
          </w:p>
        </w:tc>
      </w:tr>
    </w:tbl>
    <w:p w14:paraId="64A8A57D" w14:textId="77777777" w:rsidR="008D6614" w:rsidRDefault="00866AF2">
      <w:pPr>
        <w:spacing w:after="60"/>
        <w:ind w:hanging="360"/>
        <w:jc w:val="both"/>
      </w:pPr>
      <w:r>
        <w:rPr>
          <w:rFonts w:ascii="Arial" w:eastAsia="宋体" w:hAnsi="Arial" w:cs="Arial"/>
          <w:color w:val="000000"/>
          <w:sz w:val="16"/>
          <w:szCs w:val="16"/>
        </w:rPr>
        <w:t xml:space="preserve">(1)These repurchased shares of common stock were recorded as treasury stock and were accounted for under the cost method. None of the repurchased shares of common stock have been retired. </w:t>
      </w:r>
    </w:p>
    <w:p w14:paraId="64A8A57E" w14:textId="77777777" w:rsidR="008D6614" w:rsidRDefault="00866AF2">
      <w:pPr>
        <w:spacing w:after="60"/>
        <w:ind w:hanging="360"/>
      </w:pPr>
      <w:r>
        <w:rPr>
          <w:rFonts w:ascii="Arial" w:eastAsia="宋体" w:hAnsi="Arial" w:cs="Arial"/>
          <w:color w:val="000000"/>
          <w:sz w:val="16"/>
          <w:szCs w:val="16"/>
        </w:rPr>
        <w:t>(2)Excludes broker commissions.</w:t>
      </w:r>
    </w:p>
    <w:p w14:paraId="64A8A57F" w14:textId="77777777" w:rsidR="008D6614" w:rsidRDefault="00866AF2">
      <w:pPr>
        <w:ind w:hanging="360"/>
      </w:pPr>
      <w:r>
        <w:rPr>
          <w:rFonts w:ascii="Arial" w:eastAsia="宋体" w:hAnsi="Arial" w:cs="Arial"/>
          <w:color w:val="000000"/>
          <w:sz w:val="16"/>
          <w:szCs w:val="16"/>
        </w:rPr>
        <w:t>(3)As indicated above, under the AS</w:t>
      </w:r>
      <w:r>
        <w:rPr>
          <w:rFonts w:ascii="Arial" w:eastAsia="宋体" w:hAnsi="Arial" w:cs="Arial"/>
          <w:color w:val="000000"/>
          <w:sz w:val="16"/>
          <w:szCs w:val="16"/>
        </w:rPr>
        <w:t xml:space="preserve">R Agreements, we paid an aggregate amount of $3.0 billion to the ASR Counterparties and received an initial delivery of </w:t>
      </w:r>
      <w:r>
        <w:rPr>
          <w:rFonts w:ascii="Arial" w:eastAsia="宋体" w:hAnsi="Arial" w:cs="Arial"/>
          <w:color w:val="212529"/>
          <w:sz w:val="16"/>
          <w:szCs w:val="16"/>
        </w:rPr>
        <w:t>69 million</w:t>
      </w:r>
      <w:r>
        <w:rPr>
          <w:rFonts w:ascii="Arial" w:eastAsia="宋体" w:hAnsi="Arial" w:cs="Arial"/>
          <w:color w:val="000000"/>
          <w:sz w:val="16"/>
          <w:szCs w:val="16"/>
        </w:rPr>
        <w:t xml:space="preserve"> shares of our common stock. Pursuant to the terms of the ASR Agreements, the final number of shares and the average purchase </w:t>
      </w:r>
      <w:r>
        <w:rPr>
          <w:rFonts w:ascii="Arial" w:eastAsia="宋体" w:hAnsi="Arial" w:cs="Arial"/>
          <w:color w:val="000000"/>
          <w:sz w:val="16"/>
          <w:szCs w:val="16"/>
        </w:rPr>
        <w:t>price will be determined at the end of the applicable purchase periods, which are scheduled to occur in the third quarter of 2020 but may occur earlier in certain circumstances.</w:t>
      </w:r>
    </w:p>
    <w:p w14:paraId="64A8A580" w14:textId="77777777" w:rsidR="008D6614" w:rsidRDefault="008D6614"/>
    <w:p w14:paraId="64A8A581" w14:textId="77777777" w:rsidR="008D6614" w:rsidRDefault="00866AF2">
      <w:pPr>
        <w:ind w:firstLine="180"/>
        <w:jc w:val="both"/>
      </w:pPr>
      <w:r>
        <w:rPr>
          <w:rFonts w:ascii="Arial" w:eastAsia="宋体" w:hAnsi="Arial" w:cs="Arial"/>
          <w:b/>
          <w:bCs/>
          <w:i/>
          <w:iCs/>
          <w:color w:val="000000"/>
          <w:sz w:val="20"/>
          <w:szCs w:val="20"/>
        </w:rPr>
        <w:t>Dividends</w:t>
      </w:r>
    </w:p>
    <w:p w14:paraId="64A8A582" w14:textId="77777777" w:rsidR="008D6614" w:rsidRDefault="008D6614">
      <w:pPr>
        <w:ind w:firstLine="270"/>
      </w:pPr>
    </w:p>
    <w:p w14:paraId="64A8A583" w14:textId="77777777" w:rsidR="008D6614" w:rsidRDefault="00866AF2">
      <w:pPr>
        <w:ind w:firstLine="540"/>
        <w:jc w:val="both"/>
      </w:pPr>
      <w:r>
        <w:rPr>
          <w:rFonts w:ascii="Arial" w:eastAsia="宋体" w:hAnsi="Arial" w:cs="Arial"/>
          <w:color w:val="000000"/>
          <w:sz w:val="20"/>
          <w:szCs w:val="20"/>
        </w:rPr>
        <w:t xml:space="preserve">The Company paid a total of $114 million in cash </w:t>
      </w:r>
      <w:r>
        <w:rPr>
          <w:rFonts w:ascii="Arial" w:eastAsia="宋体" w:hAnsi="Arial" w:cs="Arial"/>
          <w:color w:val="000000"/>
          <w:sz w:val="20"/>
          <w:szCs w:val="20"/>
        </w:rPr>
        <w:t>dividends during the three months ended March 31, 2020 and $125 million in cash dividends during the three months ended March 31, 2019. In April 2020, our Board of Directors declared a cash dividend of $0.16 per share of common stock to be paid on June 19,</w:t>
      </w:r>
      <w:r>
        <w:rPr>
          <w:rFonts w:ascii="Arial" w:eastAsia="宋体" w:hAnsi="Arial" w:cs="Arial"/>
          <w:color w:val="000000"/>
          <w:sz w:val="20"/>
          <w:szCs w:val="20"/>
        </w:rPr>
        <w:t xml:space="preserve"> 2020 to stockholders of record as of June 1, 2020.</w:t>
      </w:r>
    </w:p>
    <w:p w14:paraId="64A8A584" w14:textId="77777777" w:rsidR="008D6614" w:rsidRDefault="008D6614"/>
    <w:p w14:paraId="64A8A585" w14:textId="77777777" w:rsidR="008D6614" w:rsidRDefault="00866AF2">
      <w:r>
        <w:rPr>
          <w:rFonts w:ascii="Arial" w:eastAsia="宋体" w:hAnsi="Arial" w:cs="Arial"/>
          <w:b/>
          <w:bCs/>
          <w:color w:val="000000"/>
          <w:sz w:val="20"/>
          <w:szCs w:val="20"/>
        </w:rPr>
        <w:t>Note 14 — Employee Benefit Plans</w:t>
      </w:r>
    </w:p>
    <w:p w14:paraId="64A8A586" w14:textId="77777777" w:rsidR="008D6614" w:rsidRDefault="008D6614"/>
    <w:p w14:paraId="64A8A587" w14:textId="77777777" w:rsidR="008D6614" w:rsidRDefault="00866AF2">
      <w:r>
        <w:rPr>
          <w:rFonts w:ascii="Arial" w:eastAsia="宋体" w:hAnsi="Arial" w:cs="Arial"/>
          <w:b/>
          <w:bCs/>
          <w:i/>
          <w:iCs/>
          <w:color w:val="000000"/>
          <w:sz w:val="20"/>
          <w:szCs w:val="20"/>
        </w:rPr>
        <w:t>Restricted Stock Unit Activity</w:t>
      </w:r>
    </w:p>
    <w:p w14:paraId="64A8A588" w14:textId="77777777" w:rsidR="008D6614" w:rsidRDefault="008D6614"/>
    <w:p w14:paraId="64A8A589" w14:textId="77777777" w:rsidR="008D6614" w:rsidRDefault="00866AF2">
      <w:pPr>
        <w:ind w:firstLine="540"/>
        <w:jc w:val="both"/>
      </w:pPr>
      <w:r>
        <w:rPr>
          <w:rFonts w:ascii="Arial" w:eastAsia="宋体" w:hAnsi="Arial" w:cs="Arial"/>
          <w:color w:val="000000"/>
          <w:sz w:val="20"/>
          <w:szCs w:val="20"/>
        </w:rPr>
        <w:t>The following table presents restricted stock unit (“RSU”) activity (including performance-based RSUs that have been earned) under our eq</w:t>
      </w:r>
      <w:r>
        <w:rPr>
          <w:rFonts w:ascii="Arial" w:eastAsia="宋体" w:hAnsi="Arial" w:cs="Arial"/>
          <w:color w:val="000000"/>
          <w:sz w:val="20"/>
          <w:szCs w:val="20"/>
        </w:rPr>
        <w:t xml:space="preserve">uity incentive plans as of and for the three months ended March 31, 2020 (in millions): </w:t>
      </w:r>
      <w:r>
        <w:rPr>
          <w:rFonts w:ascii="Arial" w:eastAsia="宋体" w:hAnsi="Arial" w:cs="Arial"/>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7108"/>
        <w:gridCol w:w="83"/>
        <w:gridCol w:w="83"/>
        <w:gridCol w:w="894"/>
        <w:gridCol w:w="86"/>
      </w:tblGrid>
      <w:tr w:rsidR="008D6614" w14:paraId="64A8A590" w14:textId="77777777">
        <w:trPr>
          <w:jc w:val="center"/>
        </w:trPr>
        <w:tc>
          <w:tcPr>
            <w:tcW w:w="50" w:type="pct"/>
            <w:shd w:val="clear" w:color="auto" w:fill="auto"/>
            <w:vAlign w:val="center"/>
          </w:tcPr>
          <w:p w14:paraId="64A8A58A" w14:textId="77777777" w:rsidR="008D6614" w:rsidRDefault="008D6614">
            <w:pPr>
              <w:rPr>
                <w:rFonts w:ascii="宋体"/>
              </w:rPr>
            </w:pPr>
          </w:p>
        </w:tc>
        <w:tc>
          <w:tcPr>
            <w:tcW w:w="4264" w:type="pct"/>
            <w:shd w:val="clear" w:color="auto" w:fill="auto"/>
            <w:vAlign w:val="center"/>
          </w:tcPr>
          <w:p w14:paraId="64A8A58B" w14:textId="77777777" w:rsidR="008D6614" w:rsidRDefault="008D6614">
            <w:pPr>
              <w:rPr>
                <w:rFonts w:ascii="宋体"/>
              </w:rPr>
            </w:pPr>
          </w:p>
        </w:tc>
        <w:tc>
          <w:tcPr>
            <w:tcW w:w="50" w:type="pct"/>
            <w:shd w:val="clear" w:color="auto" w:fill="auto"/>
            <w:vAlign w:val="center"/>
          </w:tcPr>
          <w:p w14:paraId="64A8A58C" w14:textId="77777777" w:rsidR="008D6614" w:rsidRDefault="008D6614">
            <w:pPr>
              <w:rPr>
                <w:rFonts w:ascii="宋体"/>
              </w:rPr>
            </w:pPr>
          </w:p>
        </w:tc>
        <w:tc>
          <w:tcPr>
            <w:tcW w:w="50" w:type="pct"/>
            <w:shd w:val="clear" w:color="auto" w:fill="auto"/>
            <w:vAlign w:val="center"/>
          </w:tcPr>
          <w:p w14:paraId="64A8A58D" w14:textId="77777777" w:rsidR="008D6614" w:rsidRDefault="008D6614">
            <w:pPr>
              <w:rPr>
                <w:rFonts w:ascii="宋体"/>
              </w:rPr>
            </w:pPr>
          </w:p>
        </w:tc>
        <w:tc>
          <w:tcPr>
            <w:tcW w:w="536" w:type="pct"/>
            <w:shd w:val="clear" w:color="auto" w:fill="auto"/>
            <w:vAlign w:val="center"/>
          </w:tcPr>
          <w:p w14:paraId="64A8A58E" w14:textId="77777777" w:rsidR="008D6614" w:rsidRDefault="008D6614">
            <w:pPr>
              <w:rPr>
                <w:rFonts w:ascii="宋体"/>
              </w:rPr>
            </w:pPr>
          </w:p>
        </w:tc>
        <w:tc>
          <w:tcPr>
            <w:tcW w:w="50" w:type="pct"/>
            <w:shd w:val="clear" w:color="auto" w:fill="auto"/>
            <w:vAlign w:val="center"/>
          </w:tcPr>
          <w:p w14:paraId="64A8A58F" w14:textId="77777777" w:rsidR="008D6614" w:rsidRDefault="008D6614">
            <w:pPr>
              <w:rPr>
                <w:rFonts w:ascii="宋体"/>
              </w:rPr>
            </w:pPr>
          </w:p>
        </w:tc>
      </w:tr>
      <w:tr w:rsidR="008D6614" w14:paraId="64A8A593" w14:textId="77777777">
        <w:trPr>
          <w:jc w:val="center"/>
        </w:trPr>
        <w:tc>
          <w:tcPr>
            <w:tcW w:w="0" w:type="auto"/>
            <w:gridSpan w:val="3"/>
            <w:shd w:val="clear" w:color="auto" w:fill="auto"/>
            <w:tcMar>
              <w:top w:w="40" w:type="dxa"/>
              <w:left w:w="20" w:type="dxa"/>
              <w:bottom w:w="40" w:type="dxa"/>
              <w:right w:w="20" w:type="dxa"/>
            </w:tcMar>
            <w:vAlign w:val="bottom"/>
          </w:tcPr>
          <w:p w14:paraId="64A8A591"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64A8A592" w14:textId="77777777" w:rsidR="008D6614" w:rsidRDefault="00866AF2">
            <w:pPr>
              <w:jc w:val="center"/>
              <w:textAlignment w:val="bottom"/>
            </w:pPr>
            <w:r>
              <w:rPr>
                <w:rFonts w:ascii="Arial" w:eastAsia="宋体" w:hAnsi="Arial" w:cs="Arial"/>
                <w:b/>
                <w:bCs/>
                <w:color w:val="000000"/>
                <w:sz w:val="16"/>
                <w:szCs w:val="16"/>
              </w:rPr>
              <w:t>Units</w:t>
            </w:r>
            <w:r>
              <w:rPr>
                <w:rFonts w:ascii="Arial" w:eastAsia="宋体" w:hAnsi="Arial" w:cs="Arial"/>
                <w:color w:val="000000"/>
                <w:sz w:val="16"/>
                <w:szCs w:val="16"/>
              </w:rPr>
              <w:t> </w:t>
            </w:r>
          </w:p>
        </w:tc>
      </w:tr>
      <w:tr w:rsidR="008D6614" w14:paraId="64A8A597" w14:textId="77777777">
        <w:trPr>
          <w:jc w:val="center"/>
        </w:trPr>
        <w:tc>
          <w:tcPr>
            <w:tcW w:w="0" w:type="auto"/>
            <w:gridSpan w:val="3"/>
            <w:tcBorders>
              <w:top w:val="single" w:sz="8" w:space="0" w:color="D3D3D3"/>
            </w:tcBorders>
            <w:shd w:val="clear" w:color="auto" w:fill="E2E2E2"/>
            <w:tcMar>
              <w:top w:w="40" w:type="dxa"/>
              <w:left w:w="20" w:type="dxa"/>
              <w:bottom w:w="40" w:type="dxa"/>
              <w:right w:w="20" w:type="dxa"/>
            </w:tcMar>
            <w:vAlign w:val="bottom"/>
          </w:tcPr>
          <w:p w14:paraId="64A8A594" w14:textId="77777777" w:rsidR="008D6614" w:rsidRDefault="00866AF2">
            <w:pPr>
              <w:textAlignment w:val="bottom"/>
            </w:pPr>
            <w:r>
              <w:rPr>
                <w:rFonts w:ascii="Arial" w:eastAsia="宋体" w:hAnsi="Arial" w:cs="Arial"/>
                <w:color w:val="000000"/>
                <w:sz w:val="18"/>
                <w:szCs w:val="18"/>
              </w:rPr>
              <w:t>Outstanding as of January 1, 2020</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595" w14:textId="77777777" w:rsidR="008D6614" w:rsidRDefault="00866AF2">
            <w:pPr>
              <w:jc w:val="right"/>
              <w:textAlignment w:val="bottom"/>
            </w:pPr>
            <w:r>
              <w:rPr>
                <w:rFonts w:ascii="Arial" w:eastAsia="宋体" w:hAnsi="Arial" w:cs="Arial"/>
                <w:color w:val="000000"/>
                <w:sz w:val="18"/>
                <w:szCs w:val="18"/>
              </w:rPr>
              <w:t>28 </w:t>
            </w:r>
          </w:p>
        </w:tc>
        <w:tc>
          <w:tcPr>
            <w:tcW w:w="0" w:type="auto"/>
            <w:tcBorders>
              <w:top w:val="single" w:sz="8" w:space="0" w:color="000000"/>
            </w:tcBorders>
            <w:shd w:val="clear" w:color="auto" w:fill="E2E2E2"/>
            <w:tcMar>
              <w:top w:w="40" w:type="dxa"/>
              <w:bottom w:w="40" w:type="dxa"/>
              <w:right w:w="20" w:type="dxa"/>
            </w:tcMar>
            <w:vAlign w:val="bottom"/>
          </w:tcPr>
          <w:p w14:paraId="64A8A596" w14:textId="77777777" w:rsidR="008D6614" w:rsidRDefault="00866AF2">
            <w:pPr>
              <w:jc w:val="right"/>
              <w:textAlignment w:val="bottom"/>
            </w:pPr>
            <w:r>
              <w:rPr>
                <w:rFonts w:ascii="Arial" w:eastAsia="宋体" w:hAnsi="Arial" w:cs="Arial"/>
                <w:color w:val="000000"/>
                <w:sz w:val="18"/>
                <w:szCs w:val="18"/>
              </w:rPr>
              <w:t> </w:t>
            </w:r>
          </w:p>
        </w:tc>
      </w:tr>
      <w:tr w:rsidR="008D6614" w14:paraId="64A8A59B" w14:textId="77777777">
        <w:trPr>
          <w:jc w:val="center"/>
        </w:trPr>
        <w:tc>
          <w:tcPr>
            <w:tcW w:w="0" w:type="auto"/>
            <w:gridSpan w:val="3"/>
            <w:shd w:val="clear" w:color="auto" w:fill="FFFFFF"/>
            <w:tcMar>
              <w:top w:w="40" w:type="dxa"/>
              <w:left w:w="20" w:type="dxa"/>
              <w:bottom w:w="40" w:type="dxa"/>
              <w:right w:w="20" w:type="dxa"/>
            </w:tcMar>
            <w:vAlign w:val="bottom"/>
          </w:tcPr>
          <w:p w14:paraId="64A8A598" w14:textId="77777777" w:rsidR="008D6614" w:rsidRDefault="00866AF2">
            <w:pPr>
              <w:textAlignment w:val="bottom"/>
            </w:pPr>
            <w:r>
              <w:rPr>
                <w:rFonts w:ascii="Arial" w:eastAsia="宋体" w:hAnsi="Arial" w:cs="Arial"/>
                <w:color w:val="000000"/>
                <w:sz w:val="18"/>
                <w:szCs w:val="18"/>
              </w:rPr>
              <w:t>Awarded</w:t>
            </w:r>
          </w:p>
        </w:tc>
        <w:tc>
          <w:tcPr>
            <w:tcW w:w="0" w:type="auto"/>
            <w:gridSpan w:val="2"/>
            <w:shd w:val="clear" w:color="auto" w:fill="auto"/>
            <w:tcMar>
              <w:top w:w="40" w:type="dxa"/>
              <w:left w:w="20" w:type="dxa"/>
              <w:bottom w:w="40" w:type="dxa"/>
              <w:right w:w="0" w:type="dxa"/>
            </w:tcMar>
            <w:vAlign w:val="bottom"/>
          </w:tcPr>
          <w:p w14:paraId="64A8A599" w14:textId="77777777" w:rsidR="008D6614" w:rsidRDefault="00866AF2">
            <w:pPr>
              <w:jc w:val="right"/>
              <w:textAlignment w:val="bottom"/>
            </w:pPr>
            <w:r>
              <w:rPr>
                <w:rFonts w:ascii="Arial" w:eastAsia="宋体" w:hAnsi="Arial" w:cs="Arial"/>
                <w:color w:val="000000"/>
                <w:sz w:val="18"/>
                <w:szCs w:val="18"/>
              </w:rPr>
              <w:t>1 </w:t>
            </w:r>
          </w:p>
        </w:tc>
        <w:tc>
          <w:tcPr>
            <w:tcW w:w="0" w:type="auto"/>
            <w:shd w:val="clear" w:color="auto" w:fill="auto"/>
            <w:tcMar>
              <w:top w:w="40" w:type="dxa"/>
              <w:bottom w:w="40" w:type="dxa"/>
              <w:right w:w="20" w:type="dxa"/>
            </w:tcMar>
            <w:vAlign w:val="bottom"/>
          </w:tcPr>
          <w:p w14:paraId="64A8A59A" w14:textId="77777777" w:rsidR="008D6614" w:rsidRDefault="00866AF2">
            <w:pPr>
              <w:jc w:val="right"/>
              <w:textAlignment w:val="bottom"/>
            </w:pPr>
            <w:r>
              <w:rPr>
                <w:rFonts w:ascii="Arial" w:eastAsia="宋体" w:hAnsi="Arial" w:cs="Arial"/>
                <w:color w:val="000000"/>
                <w:sz w:val="18"/>
                <w:szCs w:val="18"/>
              </w:rPr>
              <w:t> </w:t>
            </w:r>
          </w:p>
        </w:tc>
      </w:tr>
      <w:tr w:rsidR="008D6614" w14:paraId="64A8A59F" w14:textId="77777777">
        <w:trPr>
          <w:jc w:val="center"/>
        </w:trPr>
        <w:tc>
          <w:tcPr>
            <w:tcW w:w="0" w:type="auto"/>
            <w:gridSpan w:val="3"/>
            <w:shd w:val="clear" w:color="auto" w:fill="E2E2E2"/>
            <w:tcMar>
              <w:top w:w="40" w:type="dxa"/>
              <w:left w:w="20" w:type="dxa"/>
              <w:bottom w:w="40" w:type="dxa"/>
              <w:right w:w="20" w:type="dxa"/>
            </w:tcMar>
            <w:vAlign w:val="bottom"/>
          </w:tcPr>
          <w:p w14:paraId="64A8A59C" w14:textId="77777777" w:rsidR="008D6614" w:rsidRDefault="00866AF2">
            <w:pPr>
              <w:textAlignment w:val="bottom"/>
            </w:pPr>
            <w:r>
              <w:rPr>
                <w:rFonts w:ascii="Arial" w:eastAsia="宋体" w:hAnsi="Arial" w:cs="Arial"/>
                <w:color w:val="000000"/>
                <w:sz w:val="18"/>
                <w:szCs w:val="18"/>
              </w:rPr>
              <w:t>Vested</w:t>
            </w:r>
          </w:p>
        </w:tc>
        <w:tc>
          <w:tcPr>
            <w:tcW w:w="0" w:type="auto"/>
            <w:gridSpan w:val="2"/>
            <w:shd w:val="clear" w:color="auto" w:fill="E2E2E2"/>
            <w:tcMar>
              <w:top w:w="40" w:type="dxa"/>
              <w:left w:w="20" w:type="dxa"/>
              <w:bottom w:w="40" w:type="dxa"/>
              <w:right w:w="0" w:type="dxa"/>
            </w:tcMar>
            <w:vAlign w:val="bottom"/>
          </w:tcPr>
          <w:p w14:paraId="64A8A59D" w14:textId="77777777" w:rsidR="008D6614" w:rsidRDefault="00866AF2">
            <w:pPr>
              <w:jc w:val="right"/>
              <w:textAlignment w:val="bottom"/>
            </w:pPr>
            <w:r>
              <w:rPr>
                <w:rFonts w:ascii="Arial" w:eastAsia="宋体" w:hAnsi="Arial" w:cs="Arial"/>
                <w:color w:val="000000"/>
                <w:sz w:val="18"/>
                <w:szCs w:val="18"/>
              </w:rPr>
              <w:t>(3)</w:t>
            </w:r>
          </w:p>
        </w:tc>
        <w:tc>
          <w:tcPr>
            <w:tcW w:w="0" w:type="auto"/>
            <w:shd w:val="clear" w:color="auto" w:fill="E2E2E2"/>
            <w:tcMar>
              <w:top w:w="40" w:type="dxa"/>
              <w:bottom w:w="40" w:type="dxa"/>
              <w:right w:w="20" w:type="dxa"/>
            </w:tcMar>
            <w:vAlign w:val="bottom"/>
          </w:tcPr>
          <w:p w14:paraId="64A8A59E" w14:textId="77777777" w:rsidR="008D6614" w:rsidRDefault="00866AF2">
            <w:pPr>
              <w:jc w:val="right"/>
              <w:textAlignment w:val="bottom"/>
            </w:pPr>
            <w:r>
              <w:rPr>
                <w:rFonts w:ascii="Arial" w:eastAsia="宋体" w:hAnsi="Arial" w:cs="Arial"/>
                <w:color w:val="000000"/>
                <w:sz w:val="18"/>
                <w:szCs w:val="18"/>
              </w:rPr>
              <w:t> </w:t>
            </w:r>
          </w:p>
        </w:tc>
      </w:tr>
      <w:tr w:rsidR="008D6614" w14:paraId="64A8A5A3" w14:textId="77777777">
        <w:trPr>
          <w:jc w:val="center"/>
        </w:trPr>
        <w:tc>
          <w:tcPr>
            <w:tcW w:w="0" w:type="auto"/>
            <w:gridSpan w:val="3"/>
            <w:shd w:val="clear" w:color="auto" w:fill="FFFFFF"/>
            <w:tcMar>
              <w:top w:w="40" w:type="dxa"/>
              <w:left w:w="20" w:type="dxa"/>
              <w:bottom w:w="40" w:type="dxa"/>
              <w:right w:w="20" w:type="dxa"/>
            </w:tcMar>
            <w:vAlign w:val="bottom"/>
          </w:tcPr>
          <w:p w14:paraId="64A8A5A0" w14:textId="77777777" w:rsidR="008D6614" w:rsidRDefault="00866AF2">
            <w:pPr>
              <w:textAlignment w:val="bottom"/>
            </w:pPr>
            <w:r>
              <w:rPr>
                <w:rFonts w:ascii="Arial" w:eastAsia="宋体" w:hAnsi="Arial" w:cs="Arial"/>
                <w:color w:val="000000"/>
                <w:sz w:val="18"/>
                <w:szCs w:val="18"/>
              </w:rPr>
              <w:t>Forfeited</w:t>
            </w:r>
          </w:p>
        </w:tc>
        <w:tc>
          <w:tcPr>
            <w:tcW w:w="0" w:type="auto"/>
            <w:gridSpan w:val="2"/>
            <w:shd w:val="clear" w:color="auto" w:fill="auto"/>
            <w:tcMar>
              <w:top w:w="40" w:type="dxa"/>
              <w:left w:w="20" w:type="dxa"/>
              <w:bottom w:w="40" w:type="dxa"/>
              <w:right w:w="0" w:type="dxa"/>
            </w:tcMar>
            <w:vAlign w:val="bottom"/>
          </w:tcPr>
          <w:p w14:paraId="64A8A5A1" w14:textId="77777777" w:rsidR="008D6614" w:rsidRDefault="00866AF2">
            <w:pPr>
              <w:jc w:val="right"/>
              <w:textAlignment w:val="bottom"/>
            </w:pPr>
            <w:r>
              <w:rPr>
                <w:rFonts w:ascii="Arial" w:eastAsia="宋体" w:hAnsi="Arial" w:cs="Arial"/>
                <w:color w:val="000000"/>
                <w:sz w:val="18"/>
                <w:szCs w:val="18"/>
              </w:rPr>
              <w:t>(5)</w:t>
            </w:r>
          </w:p>
        </w:tc>
        <w:tc>
          <w:tcPr>
            <w:tcW w:w="0" w:type="auto"/>
            <w:shd w:val="clear" w:color="auto" w:fill="auto"/>
            <w:tcMar>
              <w:top w:w="40" w:type="dxa"/>
              <w:bottom w:w="40" w:type="dxa"/>
              <w:right w:w="20" w:type="dxa"/>
            </w:tcMar>
            <w:vAlign w:val="bottom"/>
          </w:tcPr>
          <w:p w14:paraId="64A8A5A2" w14:textId="77777777" w:rsidR="008D6614" w:rsidRDefault="00866AF2">
            <w:pPr>
              <w:jc w:val="right"/>
              <w:textAlignment w:val="bottom"/>
            </w:pPr>
            <w:r>
              <w:rPr>
                <w:rFonts w:ascii="Arial" w:eastAsia="宋体" w:hAnsi="Arial" w:cs="Arial"/>
                <w:color w:val="000000"/>
                <w:sz w:val="18"/>
                <w:szCs w:val="18"/>
              </w:rPr>
              <w:t> </w:t>
            </w:r>
          </w:p>
        </w:tc>
      </w:tr>
      <w:tr w:rsidR="008D6614" w14:paraId="64A8A5A7" w14:textId="77777777">
        <w:trPr>
          <w:jc w:val="center"/>
        </w:trPr>
        <w:tc>
          <w:tcPr>
            <w:tcW w:w="0" w:type="auto"/>
            <w:gridSpan w:val="3"/>
            <w:shd w:val="clear" w:color="auto" w:fill="E2E2E2"/>
            <w:tcMar>
              <w:top w:w="40" w:type="dxa"/>
              <w:left w:w="20" w:type="dxa"/>
              <w:bottom w:w="40" w:type="dxa"/>
              <w:right w:w="20" w:type="dxa"/>
            </w:tcMar>
            <w:vAlign w:val="bottom"/>
          </w:tcPr>
          <w:p w14:paraId="64A8A5A4" w14:textId="77777777" w:rsidR="008D6614" w:rsidRDefault="00866AF2">
            <w:pPr>
              <w:textAlignment w:val="bottom"/>
            </w:pPr>
            <w:r>
              <w:rPr>
                <w:rFonts w:ascii="Arial" w:eastAsia="宋体" w:hAnsi="Arial" w:cs="Arial"/>
                <w:color w:val="000000"/>
                <w:sz w:val="18"/>
                <w:szCs w:val="18"/>
              </w:rPr>
              <w:t>Outstanding as of March 31, 2020</w:t>
            </w:r>
          </w:p>
        </w:tc>
        <w:tc>
          <w:tcPr>
            <w:tcW w:w="0" w:type="auto"/>
            <w:gridSpan w:val="2"/>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A8A5A5" w14:textId="77777777" w:rsidR="008D6614" w:rsidRDefault="00866AF2">
            <w:pPr>
              <w:jc w:val="right"/>
              <w:textAlignment w:val="bottom"/>
            </w:pPr>
            <w:r>
              <w:rPr>
                <w:rFonts w:ascii="Arial" w:eastAsia="宋体" w:hAnsi="Arial" w:cs="Arial"/>
                <w:color w:val="000000"/>
                <w:sz w:val="18"/>
                <w:szCs w:val="18"/>
              </w:rPr>
              <w:t>21 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5A6" w14:textId="77777777" w:rsidR="008D6614" w:rsidRDefault="00866AF2">
            <w:pPr>
              <w:jc w:val="right"/>
              <w:textAlignment w:val="bottom"/>
            </w:pPr>
            <w:r>
              <w:rPr>
                <w:rFonts w:ascii="Arial" w:eastAsia="宋体" w:hAnsi="Arial" w:cs="Arial"/>
                <w:color w:val="000000"/>
                <w:sz w:val="18"/>
                <w:szCs w:val="18"/>
              </w:rPr>
              <w:t> </w:t>
            </w:r>
          </w:p>
        </w:tc>
      </w:tr>
    </w:tbl>
    <w:p w14:paraId="64A8A5A8" w14:textId="77777777" w:rsidR="008D6614" w:rsidRDefault="008D6614">
      <w:pPr>
        <w:ind w:firstLine="495"/>
      </w:pPr>
    </w:p>
    <w:p w14:paraId="64A8A5A9" w14:textId="77777777" w:rsidR="008D6614" w:rsidRDefault="00866AF2">
      <w:pPr>
        <w:ind w:firstLine="540"/>
        <w:jc w:val="both"/>
      </w:pPr>
      <w:r>
        <w:rPr>
          <w:rFonts w:ascii="Arial" w:eastAsia="宋体" w:hAnsi="Arial" w:cs="Arial"/>
          <w:color w:val="000000"/>
          <w:sz w:val="20"/>
          <w:szCs w:val="20"/>
        </w:rPr>
        <w:t xml:space="preserve">The weighted </w:t>
      </w:r>
      <w:r>
        <w:rPr>
          <w:rFonts w:ascii="Arial" w:eastAsia="宋体" w:hAnsi="Arial" w:cs="Arial"/>
          <w:color w:val="000000"/>
          <w:sz w:val="20"/>
          <w:szCs w:val="20"/>
        </w:rPr>
        <w:t>average grant date fair value for RSUs awarded during the three months ended March 31, 2020 was $36.50 per share.</w:t>
      </w:r>
    </w:p>
    <w:p w14:paraId="64A8A5AA" w14:textId="77777777" w:rsidR="008D6614" w:rsidRDefault="008D6614">
      <w:pPr>
        <w:ind w:firstLine="495"/>
      </w:pPr>
    </w:p>
    <w:p w14:paraId="64A8A5AB" w14:textId="77777777" w:rsidR="008D6614" w:rsidRDefault="008D6614">
      <w:pPr>
        <w:jc w:val="center"/>
      </w:pPr>
    </w:p>
    <w:p w14:paraId="64A8A5AC" w14:textId="77777777" w:rsidR="008D6614" w:rsidRDefault="00866AF2">
      <w:pPr>
        <w:jc w:val="center"/>
      </w:pPr>
      <w:r>
        <w:rPr>
          <w:rFonts w:ascii="Arial" w:eastAsia="宋体" w:hAnsi="Arial" w:cs="Arial"/>
          <w:color w:val="000000"/>
          <w:sz w:val="20"/>
          <w:szCs w:val="20"/>
        </w:rPr>
        <w:t>29</w:t>
      </w:r>
    </w:p>
    <w:p w14:paraId="64A8A5AD" w14:textId="77777777" w:rsidR="008D6614" w:rsidRDefault="00866AF2">
      <w:r>
        <w:pict w14:anchorId="64A8B9FA">
          <v:rect id="_x0000_i1053" style="width:415.3pt;height:1.5pt" o:hralign="center" o:hrstd="t" o:hr="t" fillcolor="#a0a0a0" stroked="f"/>
        </w:pict>
      </w:r>
    </w:p>
    <w:p w14:paraId="64A8A5AE" w14:textId="77777777" w:rsidR="008D6614" w:rsidRDefault="008D6614">
      <w:pPr>
        <w:jc w:val="center"/>
      </w:pPr>
    </w:p>
    <w:p w14:paraId="64A8A5AF" w14:textId="77777777" w:rsidR="008D6614" w:rsidRDefault="00866AF2">
      <w:pPr>
        <w:jc w:val="center"/>
      </w:pPr>
      <w:r>
        <w:rPr>
          <w:rFonts w:ascii="Arial" w:eastAsia="宋体" w:hAnsi="Arial" w:cs="Arial"/>
          <w:b/>
          <w:bCs/>
          <w:color w:val="000000"/>
          <w:sz w:val="20"/>
          <w:szCs w:val="20"/>
        </w:rPr>
        <w:t>eBay Inc.</w:t>
      </w:r>
    </w:p>
    <w:p w14:paraId="64A8A5B0"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A5B1" w14:textId="77777777" w:rsidR="008D6614" w:rsidRDefault="00866AF2">
      <w:r>
        <w:rPr>
          <w:rFonts w:ascii="Arial" w:eastAsia="宋体" w:hAnsi="Arial" w:cs="Arial"/>
          <w:b/>
          <w:bCs/>
          <w:i/>
          <w:iCs/>
          <w:color w:val="000000"/>
          <w:sz w:val="20"/>
          <w:szCs w:val="20"/>
        </w:rPr>
        <w:t>Stock-Based Compensation Expense</w:t>
      </w:r>
    </w:p>
    <w:p w14:paraId="64A8A5B2" w14:textId="77777777" w:rsidR="008D6614" w:rsidRDefault="008D6614"/>
    <w:p w14:paraId="64A8A5B3" w14:textId="77777777" w:rsidR="008D6614" w:rsidRDefault="00866AF2">
      <w:pPr>
        <w:ind w:firstLine="540"/>
      </w:pPr>
      <w:r>
        <w:rPr>
          <w:rFonts w:ascii="Arial" w:eastAsia="宋体" w:hAnsi="Arial" w:cs="Arial"/>
          <w:color w:val="000000"/>
          <w:sz w:val="20"/>
          <w:szCs w:val="20"/>
        </w:rPr>
        <w:t xml:space="preserve">The impact on our </w:t>
      </w:r>
      <w:r>
        <w:rPr>
          <w:rFonts w:ascii="Arial" w:eastAsia="宋体" w:hAnsi="Arial" w:cs="Arial"/>
          <w:color w:val="000000"/>
          <w:sz w:val="20"/>
          <w:szCs w:val="20"/>
        </w:rPr>
        <w:t>results of operations of recording stock-based compensation expense was as follows (in millions):</w:t>
      </w:r>
    </w:p>
    <w:tbl>
      <w:tblPr>
        <w:tblW w:w="4920" w:type="pct"/>
        <w:jc w:val="center"/>
        <w:tblCellMar>
          <w:top w:w="15" w:type="dxa"/>
          <w:left w:w="15" w:type="dxa"/>
          <w:bottom w:w="15" w:type="dxa"/>
          <w:right w:w="15" w:type="dxa"/>
        </w:tblCellMar>
        <w:tblLook w:val="04A0" w:firstRow="1" w:lastRow="0" w:firstColumn="1" w:lastColumn="0" w:noHBand="0" w:noVBand="1"/>
      </w:tblPr>
      <w:tblGrid>
        <w:gridCol w:w="44"/>
        <w:gridCol w:w="5533"/>
        <w:gridCol w:w="44"/>
        <w:gridCol w:w="36"/>
        <w:gridCol w:w="36"/>
        <w:gridCol w:w="36"/>
        <w:gridCol w:w="36"/>
        <w:gridCol w:w="36"/>
        <w:gridCol w:w="36"/>
        <w:gridCol w:w="136"/>
        <w:gridCol w:w="798"/>
        <w:gridCol w:w="86"/>
        <w:gridCol w:w="36"/>
        <w:gridCol w:w="36"/>
        <w:gridCol w:w="36"/>
        <w:gridCol w:w="136"/>
        <w:gridCol w:w="800"/>
        <w:gridCol w:w="86"/>
        <w:gridCol w:w="36"/>
        <w:gridCol w:w="36"/>
        <w:gridCol w:w="36"/>
        <w:gridCol w:w="36"/>
        <w:gridCol w:w="36"/>
        <w:gridCol w:w="36"/>
      </w:tblGrid>
      <w:tr w:rsidR="008D6614" w14:paraId="64A8A5C6" w14:textId="77777777">
        <w:trPr>
          <w:gridAfter w:val="6"/>
          <w:jc w:val="center"/>
        </w:trPr>
        <w:tc>
          <w:tcPr>
            <w:tcW w:w="50" w:type="pct"/>
            <w:shd w:val="clear" w:color="auto" w:fill="auto"/>
            <w:vAlign w:val="center"/>
          </w:tcPr>
          <w:p w14:paraId="64A8A5B4" w14:textId="77777777" w:rsidR="008D6614" w:rsidRDefault="008D6614">
            <w:pPr>
              <w:rPr>
                <w:rFonts w:ascii="宋体"/>
              </w:rPr>
            </w:pPr>
          </w:p>
        </w:tc>
        <w:tc>
          <w:tcPr>
            <w:tcW w:w="3532" w:type="pct"/>
            <w:shd w:val="clear" w:color="auto" w:fill="auto"/>
            <w:vAlign w:val="center"/>
          </w:tcPr>
          <w:p w14:paraId="64A8A5B5" w14:textId="77777777" w:rsidR="008D6614" w:rsidRDefault="008D6614">
            <w:pPr>
              <w:rPr>
                <w:rFonts w:ascii="宋体"/>
              </w:rPr>
            </w:pPr>
          </w:p>
        </w:tc>
        <w:tc>
          <w:tcPr>
            <w:tcW w:w="50" w:type="pct"/>
            <w:shd w:val="clear" w:color="auto" w:fill="auto"/>
            <w:vAlign w:val="center"/>
          </w:tcPr>
          <w:p w14:paraId="64A8A5B6" w14:textId="77777777" w:rsidR="008D6614" w:rsidRDefault="008D6614">
            <w:pPr>
              <w:rPr>
                <w:rFonts w:ascii="宋体"/>
              </w:rPr>
            </w:pPr>
          </w:p>
        </w:tc>
        <w:tc>
          <w:tcPr>
            <w:tcW w:w="0" w:type="auto"/>
            <w:shd w:val="clear" w:color="auto" w:fill="auto"/>
            <w:vAlign w:val="center"/>
          </w:tcPr>
          <w:p w14:paraId="64A8A5B7" w14:textId="77777777" w:rsidR="008D6614" w:rsidRDefault="008D6614">
            <w:pPr>
              <w:rPr>
                <w:rFonts w:ascii="宋体"/>
                <w:vanish/>
              </w:rPr>
            </w:pPr>
          </w:p>
        </w:tc>
        <w:tc>
          <w:tcPr>
            <w:tcW w:w="0" w:type="auto"/>
            <w:shd w:val="clear" w:color="auto" w:fill="auto"/>
            <w:vAlign w:val="center"/>
          </w:tcPr>
          <w:p w14:paraId="64A8A5B8" w14:textId="77777777" w:rsidR="008D6614" w:rsidRDefault="008D6614">
            <w:pPr>
              <w:rPr>
                <w:rFonts w:ascii="宋体"/>
                <w:vanish/>
              </w:rPr>
            </w:pPr>
          </w:p>
        </w:tc>
        <w:tc>
          <w:tcPr>
            <w:tcW w:w="0" w:type="auto"/>
            <w:shd w:val="clear" w:color="auto" w:fill="auto"/>
            <w:vAlign w:val="center"/>
          </w:tcPr>
          <w:p w14:paraId="64A8A5B9" w14:textId="77777777" w:rsidR="008D6614" w:rsidRDefault="008D6614">
            <w:pPr>
              <w:rPr>
                <w:rFonts w:ascii="宋体"/>
                <w:vanish/>
              </w:rPr>
            </w:pPr>
          </w:p>
        </w:tc>
        <w:tc>
          <w:tcPr>
            <w:tcW w:w="5" w:type="pct"/>
            <w:shd w:val="clear" w:color="auto" w:fill="auto"/>
            <w:vAlign w:val="center"/>
          </w:tcPr>
          <w:p w14:paraId="64A8A5BA" w14:textId="77777777" w:rsidR="008D6614" w:rsidRDefault="008D6614">
            <w:pPr>
              <w:rPr>
                <w:rFonts w:ascii="宋体"/>
              </w:rPr>
            </w:pPr>
          </w:p>
        </w:tc>
        <w:tc>
          <w:tcPr>
            <w:tcW w:w="27" w:type="pct"/>
            <w:shd w:val="clear" w:color="auto" w:fill="auto"/>
            <w:vAlign w:val="center"/>
          </w:tcPr>
          <w:p w14:paraId="64A8A5BB" w14:textId="77777777" w:rsidR="008D6614" w:rsidRDefault="008D6614">
            <w:pPr>
              <w:rPr>
                <w:rFonts w:ascii="宋体"/>
              </w:rPr>
            </w:pPr>
          </w:p>
        </w:tc>
        <w:tc>
          <w:tcPr>
            <w:tcW w:w="5" w:type="pct"/>
            <w:shd w:val="clear" w:color="auto" w:fill="auto"/>
            <w:vAlign w:val="center"/>
          </w:tcPr>
          <w:p w14:paraId="64A8A5BC" w14:textId="77777777" w:rsidR="008D6614" w:rsidRDefault="008D6614">
            <w:pPr>
              <w:rPr>
                <w:rFonts w:ascii="宋体"/>
              </w:rPr>
            </w:pPr>
          </w:p>
        </w:tc>
        <w:tc>
          <w:tcPr>
            <w:tcW w:w="50" w:type="pct"/>
            <w:shd w:val="clear" w:color="auto" w:fill="auto"/>
            <w:vAlign w:val="center"/>
          </w:tcPr>
          <w:p w14:paraId="64A8A5BD" w14:textId="77777777" w:rsidR="008D6614" w:rsidRDefault="008D6614">
            <w:pPr>
              <w:rPr>
                <w:rFonts w:ascii="宋体"/>
              </w:rPr>
            </w:pPr>
          </w:p>
        </w:tc>
        <w:tc>
          <w:tcPr>
            <w:tcW w:w="546" w:type="pct"/>
            <w:shd w:val="clear" w:color="auto" w:fill="auto"/>
            <w:vAlign w:val="center"/>
          </w:tcPr>
          <w:p w14:paraId="64A8A5BE" w14:textId="77777777" w:rsidR="008D6614" w:rsidRDefault="008D6614">
            <w:pPr>
              <w:rPr>
                <w:rFonts w:ascii="宋体"/>
              </w:rPr>
            </w:pPr>
          </w:p>
        </w:tc>
        <w:tc>
          <w:tcPr>
            <w:tcW w:w="50" w:type="pct"/>
            <w:shd w:val="clear" w:color="auto" w:fill="auto"/>
            <w:vAlign w:val="center"/>
          </w:tcPr>
          <w:p w14:paraId="64A8A5BF" w14:textId="77777777" w:rsidR="008D6614" w:rsidRDefault="008D6614">
            <w:pPr>
              <w:rPr>
                <w:rFonts w:ascii="宋体"/>
              </w:rPr>
            </w:pPr>
          </w:p>
        </w:tc>
        <w:tc>
          <w:tcPr>
            <w:tcW w:w="5" w:type="pct"/>
            <w:shd w:val="clear" w:color="auto" w:fill="auto"/>
            <w:vAlign w:val="center"/>
          </w:tcPr>
          <w:p w14:paraId="64A8A5C0" w14:textId="77777777" w:rsidR="008D6614" w:rsidRDefault="008D6614">
            <w:pPr>
              <w:rPr>
                <w:rFonts w:ascii="宋体"/>
              </w:rPr>
            </w:pPr>
          </w:p>
        </w:tc>
        <w:tc>
          <w:tcPr>
            <w:tcW w:w="27" w:type="pct"/>
            <w:shd w:val="clear" w:color="auto" w:fill="auto"/>
            <w:vAlign w:val="center"/>
          </w:tcPr>
          <w:p w14:paraId="64A8A5C1" w14:textId="77777777" w:rsidR="008D6614" w:rsidRDefault="008D6614">
            <w:pPr>
              <w:rPr>
                <w:rFonts w:ascii="宋体"/>
              </w:rPr>
            </w:pPr>
          </w:p>
        </w:tc>
        <w:tc>
          <w:tcPr>
            <w:tcW w:w="5" w:type="pct"/>
            <w:shd w:val="clear" w:color="auto" w:fill="auto"/>
            <w:vAlign w:val="center"/>
          </w:tcPr>
          <w:p w14:paraId="64A8A5C2" w14:textId="77777777" w:rsidR="008D6614" w:rsidRDefault="008D6614">
            <w:pPr>
              <w:rPr>
                <w:rFonts w:ascii="宋体"/>
              </w:rPr>
            </w:pPr>
          </w:p>
        </w:tc>
        <w:tc>
          <w:tcPr>
            <w:tcW w:w="50" w:type="pct"/>
            <w:shd w:val="clear" w:color="auto" w:fill="auto"/>
            <w:vAlign w:val="center"/>
          </w:tcPr>
          <w:p w14:paraId="64A8A5C3" w14:textId="77777777" w:rsidR="008D6614" w:rsidRDefault="008D6614">
            <w:pPr>
              <w:rPr>
                <w:rFonts w:ascii="宋体"/>
              </w:rPr>
            </w:pPr>
          </w:p>
        </w:tc>
        <w:tc>
          <w:tcPr>
            <w:tcW w:w="546" w:type="pct"/>
            <w:shd w:val="clear" w:color="auto" w:fill="auto"/>
            <w:vAlign w:val="center"/>
          </w:tcPr>
          <w:p w14:paraId="64A8A5C4" w14:textId="77777777" w:rsidR="008D6614" w:rsidRDefault="008D6614">
            <w:pPr>
              <w:rPr>
                <w:rFonts w:ascii="宋体"/>
              </w:rPr>
            </w:pPr>
          </w:p>
        </w:tc>
        <w:tc>
          <w:tcPr>
            <w:tcW w:w="50" w:type="pct"/>
            <w:shd w:val="clear" w:color="auto" w:fill="auto"/>
            <w:vAlign w:val="center"/>
          </w:tcPr>
          <w:p w14:paraId="64A8A5C5" w14:textId="77777777" w:rsidR="008D6614" w:rsidRDefault="008D6614">
            <w:pPr>
              <w:rPr>
                <w:rFonts w:ascii="宋体"/>
              </w:rPr>
            </w:pPr>
          </w:p>
        </w:tc>
      </w:tr>
      <w:tr w:rsidR="008D6614" w14:paraId="64A8A5CF" w14:textId="77777777">
        <w:trPr>
          <w:jc w:val="center"/>
        </w:trPr>
        <w:tc>
          <w:tcPr>
            <w:tcW w:w="0" w:type="auto"/>
            <w:gridSpan w:val="3"/>
            <w:shd w:val="clear" w:color="auto" w:fill="auto"/>
            <w:tcMar>
              <w:left w:w="20" w:type="dxa"/>
              <w:right w:w="20" w:type="dxa"/>
            </w:tcMar>
            <w:vAlign w:val="bottom"/>
          </w:tcPr>
          <w:p w14:paraId="64A8A5C7" w14:textId="77777777" w:rsidR="008D6614" w:rsidRDefault="008D6614">
            <w:pPr>
              <w:rPr>
                <w:rFonts w:ascii="宋体"/>
              </w:rPr>
            </w:pPr>
          </w:p>
        </w:tc>
        <w:tc>
          <w:tcPr>
            <w:tcW w:w="0" w:type="auto"/>
            <w:shd w:val="clear" w:color="auto" w:fill="auto"/>
            <w:vAlign w:val="center"/>
          </w:tcPr>
          <w:p w14:paraId="64A8A5C8" w14:textId="77777777" w:rsidR="008D6614" w:rsidRDefault="008D6614">
            <w:pPr>
              <w:rPr>
                <w:rFonts w:ascii="宋体"/>
                <w:vanish/>
              </w:rPr>
            </w:pPr>
          </w:p>
        </w:tc>
        <w:tc>
          <w:tcPr>
            <w:tcW w:w="0" w:type="auto"/>
            <w:shd w:val="clear" w:color="auto" w:fill="auto"/>
            <w:vAlign w:val="center"/>
          </w:tcPr>
          <w:p w14:paraId="64A8A5C9" w14:textId="77777777" w:rsidR="008D6614" w:rsidRDefault="008D6614">
            <w:pPr>
              <w:rPr>
                <w:rFonts w:ascii="宋体"/>
                <w:vanish/>
              </w:rPr>
            </w:pPr>
          </w:p>
        </w:tc>
        <w:tc>
          <w:tcPr>
            <w:tcW w:w="0" w:type="auto"/>
            <w:shd w:val="clear" w:color="auto" w:fill="auto"/>
            <w:vAlign w:val="center"/>
          </w:tcPr>
          <w:p w14:paraId="64A8A5CA"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A5CB"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A5CC"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vAlign w:val="center"/>
          </w:tcPr>
          <w:p w14:paraId="64A8A5CD" w14:textId="77777777" w:rsidR="008D6614" w:rsidRDefault="008D6614">
            <w:pPr>
              <w:rPr>
                <w:rFonts w:ascii="宋体"/>
                <w:vanish/>
              </w:rPr>
            </w:pPr>
          </w:p>
        </w:tc>
        <w:tc>
          <w:tcPr>
            <w:tcW w:w="0" w:type="auto"/>
            <w:gridSpan w:val="3"/>
            <w:shd w:val="clear" w:color="auto" w:fill="auto"/>
            <w:vAlign w:val="center"/>
          </w:tcPr>
          <w:p w14:paraId="64A8A5CE" w14:textId="77777777" w:rsidR="008D6614" w:rsidRDefault="008D6614">
            <w:pPr>
              <w:rPr>
                <w:rFonts w:ascii="宋体"/>
                <w:vanish/>
              </w:rPr>
            </w:pPr>
          </w:p>
        </w:tc>
      </w:tr>
      <w:tr w:rsidR="008D6614" w14:paraId="64A8A5DE" w14:textId="77777777">
        <w:trPr>
          <w:jc w:val="center"/>
        </w:trPr>
        <w:tc>
          <w:tcPr>
            <w:tcW w:w="0" w:type="auto"/>
            <w:gridSpan w:val="3"/>
            <w:shd w:val="clear" w:color="auto" w:fill="auto"/>
            <w:tcMar>
              <w:top w:w="40" w:type="dxa"/>
              <w:left w:w="20" w:type="dxa"/>
              <w:bottom w:w="40" w:type="dxa"/>
              <w:right w:w="20" w:type="dxa"/>
            </w:tcMar>
            <w:vAlign w:val="bottom"/>
          </w:tcPr>
          <w:p w14:paraId="64A8A5D0" w14:textId="77777777" w:rsidR="008D6614" w:rsidRDefault="00866AF2">
            <w:pPr>
              <w:jc w:val="center"/>
              <w:textAlignment w:val="bottom"/>
            </w:pPr>
            <w:r>
              <w:rPr>
                <w:rFonts w:ascii="Arial" w:eastAsia="宋体" w:hAnsi="Arial" w:cs="Arial"/>
                <w:b/>
                <w:bCs/>
                <w:color w:val="000000"/>
                <w:sz w:val="18"/>
                <w:szCs w:val="18"/>
              </w:rPr>
              <w:t> </w:t>
            </w:r>
          </w:p>
        </w:tc>
        <w:tc>
          <w:tcPr>
            <w:tcW w:w="0" w:type="auto"/>
            <w:shd w:val="clear" w:color="auto" w:fill="auto"/>
            <w:vAlign w:val="center"/>
          </w:tcPr>
          <w:p w14:paraId="64A8A5D1" w14:textId="77777777" w:rsidR="008D6614" w:rsidRDefault="008D6614">
            <w:pPr>
              <w:rPr>
                <w:rFonts w:ascii="宋体"/>
                <w:vanish/>
              </w:rPr>
            </w:pPr>
          </w:p>
        </w:tc>
        <w:tc>
          <w:tcPr>
            <w:tcW w:w="0" w:type="auto"/>
            <w:shd w:val="clear" w:color="auto" w:fill="auto"/>
            <w:vAlign w:val="center"/>
          </w:tcPr>
          <w:p w14:paraId="64A8A5D2" w14:textId="77777777" w:rsidR="008D6614" w:rsidRDefault="008D6614">
            <w:pPr>
              <w:rPr>
                <w:rFonts w:ascii="宋体"/>
                <w:vanish/>
              </w:rPr>
            </w:pPr>
          </w:p>
        </w:tc>
        <w:tc>
          <w:tcPr>
            <w:tcW w:w="0" w:type="auto"/>
            <w:shd w:val="clear" w:color="auto" w:fill="auto"/>
            <w:vAlign w:val="center"/>
          </w:tcPr>
          <w:p w14:paraId="64A8A5D3"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A5D4"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5D5"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64A8A5D6"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5D7"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A5D8" w14:textId="77777777" w:rsidR="008D6614" w:rsidRDefault="008D6614">
            <w:pPr>
              <w:rPr>
                <w:rFonts w:ascii="宋体"/>
              </w:rPr>
            </w:pPr>
          </w:p>
        </w:tc>
        <w:tc>
          <w:tcPr>
            <w:tcW w:w="0" w:type="auto"/>
            <w:shd w:val="clear" w:color="auto" w:fill="auto"/>
            <w:vAlign w:val="center"/>
          </w:tcPr>
          <w:p w14:paraId="64A8A5D9" w14:textId="77777777" w:rsidR="008D6614" w:rsidRDefault="008D6614">
            <w:pPr>
              <w:rPr>
                <w:rFonts w:ascii="宋体"/>
              </w:rPr>
            </w:pPr>
          </w:p>
        </w:tc>
        <w:tc>
          <w:tcPr>
            <w:tcW w:w="0" w:type="auto"/>
            <w:shd w:val="clear" w:color="auto" w:fill="auto"/>
            <w:vAlign w:val="center"/>
          </w:tcPr>
          <w:p w14:paraId="64A8A5DA" w14:textId="77777777" w:rsidR="008D6614" w:rsidRDefault="008D6614">
            <w:pPr>
              <w:rPr>
                <w:rFonts w:ascii="宋体"/>
              </w:rPr>
            </w:pPr>
          </w:p>
        </w:tc>
        <w:tc>
          <w:tcPr>
            <w:tcW w:w="0" w:type="auto"/>
            <w:shd w:val="clear" w:color="auto" w:fill="auto"/>
            <w:vAlign w:val="center"/>
          </w:tcPr>
          <w:p w14:paraId="64A8A5DB" w14:textId="77777777" w:rsidR="008D6614" w:rsidRDefault="008D6614">
            <w:pPr>
              <w:rPr>
                <w:rFonts w:ascii="宋体"/>
              </w:rPr>
            </w:pPr>
          </w:p>
        </w:tc>
        <w:tc>
          <w:tcPr>
            <w:tcW w:w="0" w:type="auto"/>
            <w:shd w:val="clear" w:color="auto" w:fill="auto"/>
            <w:vAlign w:val="center"/>
          </w:tcPr>
          <w:p w14:paraId="64A8A5DC" w14:textId="77777777" w:rsidR="008D6614" w:rsidRDefault="008D6614">
            <w:pPr>
              <w:rPr>
                <w:rFonts w:ascii="宋体"/>
              </w:rPr>
            </w:pPr>
          </w:p>
        </w:tc>
        <w:tc>
          <w:tcPr>
            <w:tcW w:w="0" w:type="auto"/>
            <w:shd w:val="clear" w:color="auto" w:fill="auto"/>
            <w:vAlign w:val="center"/>
          </w:tcPr>
          <w:p w14:paraId="64A8A5DD" w14:textId="77777777" w:rsidR="008D6614" w:rsidRDefault="008D6614">
            <w:pPr>
              <w:rPr>
                <w:rFonts w:ascii="宋体"/>
              </w:rPr>
            </w:pPr>
          </w:p>
        </w:tc>
      </w:tr>
      <w:tr w:rsidR="008D6614" w14:paraId="64A8A5F1" w14:textId="77777777">
        <w:trPr>
          <w:jc w:val="center"/>
        </w:trPr>
        <w:tc>
          <w:tcPr>
            <w:tcW w:w="0" w:type="auto"/>
            <w:gridSpan w:val="3"/>
            <w:shd w:val="clear" w:color="auto" w:fill="E2E2E2"/>
            <w:tcMar>
              <w:top w:w="40" w:type="dxa"/>
              <w:left w:w="20" w:type="dxa"/>
              <w:bottom w:w="40" w:type="dxa"/>
              <w:right w:w="20" w:type="dxa"/>
            </w:tcMar>
            <w:vAlign w:val="bottom"/>
          </w:tcPr>
          <w:p w14:paraId="64A8A5DF" w14:textId="77777777" w:rsidR="008D6614" w:rsidRDefault="00866AF2">
            <w:pPr>
              <w:textAlignment w:val="bottom"/>
            </w:pPr>
            <w:r>
              <w:rPr>
                <w:rFonts w:ascii="Arial" w:eastAsia="宋体" w:hAnsi="Arial" w:cs="Arial"/>
                <w:color w:val="000000"/>
                <w:sz w:val="18"/>
                <w:szCs w:val="18"/>
              </w:rPr>
              <w:t>Cost of net revenues</w:t>
            </w:r>
          </w:p>
        </w:tc>
        <w:tc>
          <w:tcPr>
            <w:tcW w:w="0" w:type="auto"/>
            <w:shd w:val="clear" w:color="auto" w:fill="auto"/>
            <w:vAlign w:val="center"/>
          </w:tcPr>
          <w:p w14:paraId="64A8A5E0" w14:textId="77777777" w:rsidR="008D6614" w:rsidRDefault="008D6614">
            <w:pPr>
              <w:rPr>
                <w:rFonts w:ascii="宋体"/>
                <w:vanish/>
              </w:rPr>
            </w:pPr>
          </w:p>
        </w:tc>
        <w:tc>
          <w:tcPr>
            <w:tcW w:w="0" w:type="auto"/>
            <w:shd w:val="clear" w:color="auto" w:fill="auto"/>
            <w:vAlign w:val="center"/>
          </w:tcPr>
          <w:p w14:paraId="64A8A5E1" w14:textId="77777777" w:rsidR="008D6614" w:rsidRDefault="008D6614">
            <w:pPr>
              <w:rPr>
                <w:rFonts w:ascii="宋体"/>
                <w:vanish/>
              </w:rPr>
            </w:pPr>
          </w:p>
        </w:tc>
        <w:tc>
          <w:tcPr>
            <w:tcW w:w="0" w:type="auto"/>
            <w:shd w:val="clear" w:color="auto" w:fill="auto"/>
            <w:vAlign w:val="center"/>
          </w:tcPr>
          <w:p w14:paraId="64A8A5E2"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A5E3"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5E4"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5E5" w14:textId="77777777" w:rsidR="008D6614" w:rsidRDefault="00866AF2">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E2E2E2"/>
            <w:tcMar>
              <w:top w:w="40" w:type="dxa"/>
              <w:bottom w:w="40" w:type="dxa"/>
              <w:right w:w="20" w:type="dxa"/>
            </w:tcMar>
            <w:vAlign w:val="bottom"/>
          </w:tcPr>
          <w:p w14:paraId="64A8A5E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5E7"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5E8"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5E9" w14:textId="77777777" w:rsidR="008D6614" w:rsidRDefault="00866AF2">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2E2E2"/>
            <w:tcMar>
              <w:top w:w="40" w:type="dxa"/>
              <w:bottom w:w="40" w:type="dxa"/>
              <w:right w:w="20" w:type="dxa"/>
            </w:tcMar>
            <w:vAlign w:val="bottom"/>
          </w:tcPr>
          <w:p w14:paraId="64A8A5E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A5EB" w14:textId="77777777" w:rsidR="008D6614" w:rsidRDefault="008D6614">
            <w:pPr>
              <w:rPr>
                <w:rFonts w:ascii="宋体"/>
              </w:rPr>
            </w:pPr>
          </w:p>
        </w:tc>
        <w:tc>
          <w:tcPr>
            <w:tcW w:w="0" w:type="auto"/>
            <w:shd w:val="clear" w:color="auto" w:fill="auto"/>
            <w:vAlign w:val="center"/>
          </w:tcPr>
          <w:p w14:paraId="64A8A5EC" w14:textId="77777777" w:rsidR="008D6614" w:rsidRDefault="008D6614">
            <w:pPr>
              <w:rPr>
                <w:rFonts w:ascii="宋体"/>
              </w:rPr>
            </w:pPr>
          </w:p>
        </w:tc>
        <w:tc>
          <w:tcPr>
            <w:tcW w:w="0" w:type="auto"/>
            <w:shd w:val="clear" w:color="auto" w:fill="auto"/>
            <w:vAlign w:val="center"/>
          </w:tcPr>
          <w:p w14:paraId="64A8A5ED" w14:textId="77777777" w:rsidR="008D6614" w:rsidRDefault="008D6614">
            <w:pPr>
              <w:rPr>
                <w:rFonts w:ascii="宋体"/>
              </w:rPr>
            </w:pPr>
          </w:p>
        </w:tc>
        <w:tc>
          <w:tcPr>
            <w:tcW w:w="0" w:type="auto"/>
            <w:shd w:val="clear" w:color="auto" w:fill="auto"/>
            <w:vAlign w:val="center"/>
          </w:tcPr>
          <w:p w14:paraId="64A8A5EE" w14:textId="77777777" w:rsidR="008D6614" w:rsidRDefault="008D6614">
            <w:pPr>
              <w:rPr>
                <w:rFonts w:ascii="宋体"/>
              </w:rPr>
            </w:pPr>
          </w:p>
        </w:tc>
        <w:tc>
          <w:tcPr>
            <w:tcW w:w="0" w:type="auto"/>
            <w:shd w:val="clear" w:color="auto" w:fill="auto"/>
            <w:vAlign w:val="center"/>
          </w:tcPr>
          <w:p w14:paraId="64A8A5EF" w14:textId="77777777" w:rsidR="008D6614" w:rsidRDefault="008D6614">
            <w:pPr>
              <w:rPr>
                <w:rFonts w:ascii="宋体"/>
              </w:rPr>
            </w:pPr>
          </w:p>
        </w:tc>
        <w:tc>
          <w:tcPr>
            <w:tcW w:w="0" w:type="auto"/>
            <w:shd w:val="clear" w:color="auto" w:fill="auto"/>
            <w:vAlign w:val="center"/>
          </w:tcPr>
          <w:p w14:paraId="64A8A5F0" w14:textId="77777777" w:rsidR="008D6614" w:rsidRDefault="008D6614">
            <w:pPr>
              <w:rPr>
                <w:rFonts w:ascii="宋体"/>
              </w:rPr>
            </w:pPr>
          </w:p>
        </w:tc>
      </w:tr>
      <w:tr w:rsidR="008D6614" w14:paraId="64A8A602" w14:textId="77777777">
        <w:trPr>
          <w:jc w:val="center"/>
        </w:trPr>
        <w:tc>
          <w:tcPr>
            <w:tcW w:w="0" w:type="auto"/>
            <w:gridSpan w:val="3"/>
            <w:shd w:val="clear" w:color="auto" w:fill="FFFFFF"/>
            <w:tcMar>
              <w:top w:w="40" w:type="dxa"/>
              <w:left w:w="20" w:type="dxa"/>
              <w:bottom w:w="40" w:type="dxa"/>
              <w:right w:w="20" w:type="dxa"/>
            </w:tcMar>
            <w:vAlign w:val="bottom"/>
          </w:tcPr>
          <w:p w14:paraId="64A8A5F2" w14:textId="77777777" w:rsidR="008D6614" w:rsidRDefault="00866AF2">
            <w:pPr>
              <w:textAlignment w:val="bottom"/>
            </w:pPr>
            <w:r>
              <w:rPr>
                <w:rFonts w:ascii="Arial" w:eastAsia="宋体" w:hAnsi="Arial" w:cs="Arial"/>
                <w:color w:val="000000"/>
                <w:sz w:val="18"/>
                <w:szCs w:val="18"/>
              </w:rPr>
              <w:t>Sales and marketing</w:t>
            </w:r>
          </w:p>
        </w:tc>
        <w:tc>
          <w:tcPr>
            <w:tcW w:w="0" w:type="auto"/>
            <w:shd w:val="clear" w:color="auto" w:fill="auto"/>
            <w:vAlign w:val="center"/>
          </w:tcPr>
          <w:p w14:paraId="64A8A5F3" w14:textId="77777777" w:rsidR="008D6614" w:rsidRDefault="008D6614">
            <w:pPr>
              <w:rPr>
                <w:rFonts w:ascii="宋体"/>
                <w:vanish/>
              </w:rPr>
            </w:pPr>
          </w:p>
        </w:tc>
        <w:tc>
          <w:tcPr>
            <w:tcW w:w="0" w:type="auto"/>
            <w:shd w:val="clear" w:color="auto" w:fill="auto"/>
            <w:vAlign w:val="center"/>
          </w:tcPr>
          <w:p w14:paraId="64A8A5F4" w14:textId="77777777" w:rsidR="008D6614" w:rsidRDefault="008D6614">
            <w:pPr>
              <w:rPr>
                <w:rFonts w:ascii="宋体"/>
                <w:vanish/>
              </w:rPr>
            </w:pPr>
          </w:p>
        </w:tc>
        <w:tc>
          <w:tcPr>
            <w:tcW w:w="0" w:type="auto"/>
            <w:shd w:val="clear" w:color="auto" w:fill="auto"/>
            <w:vAlign w:val="center"/>
          </w:tcPr>
          <w:p w14:paraId="64A8A5F5"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A5F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5F7" w14:textId="77777777" w:rsidR="008D6614" w:rsidRDefault="00866AF2">
            <w:pPr>
              <w:jc w:val="right"/>
              <w:textAlignment w:val="bottom"/>
            </w:pPr>
            <w:r>
              <w:rPr>
                <w:rFonts w:ascii="Arial" w:eastAsia="宋体" w:hAnsi="Arial" w:cs="Arial"/>
                <w:color w:val="000000"/>
                <w:sz w:val="18"/>
                <w:szCs w:val="18"/>
              </w:rPr>
              <w:t>20 </w:t>
            </w:r>
          </w:p>
        </w:tc>
        <w:tc>
          <w:tcPr>
            <w:tcW w:w="0" w:type="auto"/>
            <w:shd w:val="clear" w:color="auto" w:fill="FFFFFF"/>
            <w:tcMar>
              <w:top w:w="40" w:type="dxa"/>
              <w:bottom w:w="40" w:type="dxa"/>
              <w:right w:w="20" w:type="dxa"/>
            </w:tcMar>
            <w:vAlign w:val="bottom"/>
          </w:tcPr>
          <w:p w14:paraId="64A8A5F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5F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5FA" w14:textId="77777777" w:rsidR="008D6614" w:rsidRDefault="00866AF2">
            <w:pPr>
              <w:jc w:val="right"/>
              <w:textAlignment w:val="bottom"/>
            </w:pPr>
            <w:r>
              <w:rPr>
                <w:rFonts w:ascii="Arial" w:eastAsia="宋体" w:hAnsi="Arial" w:cs="Arial"/>
                <w:color w:val="000000"/>
                <w:sz w:val="18"/>
                <w:szCs w:val="18"/>
              </w:rPr>
              <w:t>21 </w:t>
            </w:r>
          </w:p>
        </w:tc>
        <w:tc>
          <w:tcPr>
            <w:tcW w:w="0" w:type="auto"/>
            <w:shd w:val="clear" w:color="auto" w:fill="FFFFFF"/>
            <w:tcMar>
              <w:top w:w="40" w:type="dxa"/>
              <w:bottom w:w="40" w:type="dxa"/>
              <w:right w:w="20" w:type="dxa"/>
            </w:tcMar>
            <w:vAlign w:val="bottom"/>
          </w:tcPr>
          <w:p w14:paraId="64A8A5FB"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A5FC" w14:textId="77777777" w:rsidR="008D6614" w:rsidRDefault="008D6614">
            <w:pPr>
              <w:rPr>
                <w:rFonts w:ascii="宋体"/>
              </w:rPr>
            </w:pPr>
          </w:p>
        </w:tc>
        <w:tc>
          <w:tcPr>
            <w:tcW w:w="0" w:type="auto"/>
            <w:shd w:val="clear" w:color="auto" w:fill="auto"/>
            <w:vAlign w:val="center"/>
          </w:tcPr>
          <w:p w14:paraId="64A8A5FD" w14:textId="77777777" w:rsidR="008D6614" w:rsidRDefault="008D6614">
            <w:pPr>
              <w:rPr>
                <w:rFonts w:ascii="宋体"/>
              </w:rPr>
            </w:pPr>
          </w:p>
        </w:tc>
        <w:tc>
          <w:tcPr>
            <w:tcW w:w="0" w:type="auto"/>
            <w:shd w:val="clear" w:color="auto" w:fill="auto"/>
            <w:vAlign w:val="center"/>
          </w:tcPr>
          <w:p w14:paraId="64A8A5FE" w14:textId="77777777" w:rsidR="008D6614" w:rsidRDefault="008D6614">
            <w:pPr>
              <w:rPr>
                <w:rFonts w:ascii="宋体"/>
              </w:rPr>
            </w:pPr>
          </w:p>
        </w:tc>
        <w:tc>
          <w:tcPr>
            <w:tcW w:w="0" w:type="auto"/>
            <w:shd w:val="clear" w:color="auto" w:fill="auto"/>
            <w:vAlign w:val="center"/>
          </w:tcPr>
          <w:p w14:paraId="64A8A5FF" w14:textId="77777777" w:rsidR="008D6614" w:rsidRDefault="008D6614">
            <w:pPr>
              <w:rPr>
                <w:rFonts w:ascii="宋体"/>
              </w:rPr>
            </w:pPr>
          </w:p>
        </w:tc>
        <w:tc>
          <w:tcPr>
            <w:tcW w:w="0" w:type="auto"/>
            <w:shd w:val="clear" w:color="auto" w:fill="auto"/>
            <w:vAlign w:val="center"/>
          </w:tcPr>
          <w:p w14:paraId="64A8A600" w14:textId="77777777" w:rsidR="008D6614" w:rsidRDefault="008D6614">
            <w:pPr>
              <w:rPr>
                <w:rFonts w:ascii="宋体"/>
              </w:rPr>
            </w:pPr>
          </w:p>
        </w:tc>
        <w:tc>
          <w:tcPr>
            <w:tcW w:w="0" w:type="auto"/>
            <w:shd w:val="clear" w:color="auto" w:fill="auto"/>
            <w:vAlign w:val="center"/>
          </w:tcPr>
          <w:p w14:paraId="64A8A601" w14:textId="77777777" w:rsidR="008D6614" w:rsidRDefault="008D6614">
            <w:pPr>
              <w:rPr>
                <w:rFonts w:ascii="宋体"/>
              </w:rPr>
            </w:pPr>
          </w:p>
        </w:tc>
      </w:tr>
      <w:tr w:rsidR="008D6614" w14:paraId="64A8A613" w14:textId="77777777">
        <w:trPr>
          <w:jc w:val="center"/>
        </w:trPr>
        <w:tc>
          <w:tcPr>
            <w:tcW w:w="0" w:type="auto"/>
            <w:gridSpan w:val="3"/>
            <w:shd w:val="clear" w:color="auto" w:fill="E2E2E2"/>
            <w:tcMar>
              <w:top w:w="40" w:type="dxa"/>
              <w:left w:w="20" w:type="dxa"/>
              <w:bottom w:w="40" w:type="dxa"/>
              <w:right w:w="20" w:type="dxa"/>
            </w:tcMar>
            <w:vAlign w:val="bottom"/>
          </w:tcPr>
          <w:p w14:paraId="64A8A603" w14:textId="77777777" w:rsidR="008D6614" w:rsidRDefault="00866AF2">
            <w:pPr>
              <w:textAlignment w:val="bottom"/>
            </w:pPr>
            <w:r>
              <w:rPr>
                <w:rFonts w:ascii="Arial" w:eastAsia="宋体" w:hAnsi="Arial" w:cs="Arial"/>
                <w:color w:val="000000"/>
                <w:sz w:val="18"/>
                <w:szCs w:val="18"/>
              </w:rPr>
              <w:t>Product development</w:t>
            </w:r>
          </w:p>
        </w:tc>
        <w:tc>
          <w:tcPr>
            <w:tcW w:w="0" w:type="auto"/>
            <w:shd w:val="clear" w:color="auto" w:fill="auto"/>
            <w:vAlign w:val="center"/>
          </w:tcPr>
          <w:p w14:paraId="64A8A604" w14:textId="77777777" w:rsidR="008D6614" w:rsidRDefault="008D6614">
            <w:pPr>
              <w:rPr>
                <w:rFonts w:ascii="宋体"/>
                <w:vanish/>
              </w:rPr>
            </w:pPr>
          </w:p>
        </w:tc>
        <w:tc>
          <w:tcPr>
            <w:tcW w:w="0" w:type="auto"/>
            <w:shd w:val="clear" w:color="auto" w:fill="auto"/>
            <w:vAlign w:val="center"/>
          </w:tcPr>
          <w:p w14:paraId="64A8A605" w14:textId="77777777" w:rsidR="008D6614" w:rsidRDefault="008D6614">
            <w:pPr>
              <w:rPr>
                <w:rFonts w:ascii="宋体"/>
                <w:vanish/>
              </w:rPr>
            </w:pPr>
          </w:p>
        </w:tc>
        <w:tc>
          <w:tcPr>
            <w:tcW w:w="0" w:type="auto"/>
            <w:shd w:val="clear" w:color="auto" w:fill="auto"/>
            <w:vAlign w:val="center"/>
          </w:tcPr>
          <w:p w14:paraId="64A8A606"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A60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608" w14:textId="77777777" w:rsidR="008D6614" w:rsidRDefault="00866AF2">
            <w:pPr>
              <w:jc w:val="right"/>
              <w:textAlignment w:val="bottom"/>
            </w:pPr>
            <w:r>
              <w:rPr>
                <w:rFonts w:ascii="Arial" w:eastAsia="宋体" w:hAnsi="Arial" w:cs="Arial"/>
                <w:color w:val="000000"/>
                <w:sz w:val="18"/>
                <w:szCs w:val="18"/>
              </w:rPr>
              <w:t>39 </w:t>
            </w:r>
          </w:p>
        </w:tc>
        <w:tc>
          <w:tcPr>
            <w:tcW w:w="0" w:type="auto"/>
            <w:shd w:val="clear" w:color="auto" w:fill="E2E2E2"/>
            <w:tcMar>
              <w:top w:w="40" w:type="dxa"/>
              <w:bottom w:w="40" w:type="dxa"/>
              <w:right w:w="20" w:type="dxa"/>
            </w:tcMar>
            <w:vAlign w:val="bottom"/>
          </w:tcPr>
          <w:p w14:paraId="64A8A60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0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60B" w14:textId="77777777" w:rsidR="008D6614" w:rsidRDefault="00866AF2">
            <w:pPr>
              <w:jc w:val="right"/>
              <w:textAlignment w:val="bottom"/>
            </w:pPr>
            <w:r>
              <w:rPr>
                <w:rFonts w:ascii="Arial" w:eastAsia="宋体" w:hAnsi="Arial" w:cs="Arial"/>
                <w:color w:val="000000"/>
                <w:sz w:val="18"/>
                <w:szCs w:val="18"/>
              </w:rPr>
              <w:t>42 </w:t>
            </w:r>
          </w:p>
        </w:tc>
        <w:tc>
          <w:tcPr>
            <w:tcW w:w="0" w:type="auto"/>
            <w:shd w:val="clear" w:color="auto" w:fill="E2E2E2"/>
            <w:tcMar>
              <w:top w:w="40" w:type="dxa"/>
              <w:bottom w:w="40" w:type="dxa"/>
              <w:right w:w="20" w:type="dxa"/>
            </w:tcMar>
            <w:vAlign w:val="bottom"/>
          </w:tcPr>
          <w:p w14:paraId="64A8A60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A60D" w14:textId="77777777" w:rsidR="008D6614" w:rsidRDefault="008D6614">
            <w:pPr>
              <w:rPr>
                <w:rFonts w:ascii="宋体"/>
              </w:rPr>
            </w:pPr>
          </w:p>
        </w:tc>
        <w:tc>
          <w:tcPr>
            <w:tcW w:w="0" w:type="auto"/>
            <w:shd w:val="clear" w:color="auto" w:fill="auto"/>
            <w:vAlign w:val="center"/>
          </w:tcPr>
          <w:p w14:paraId="64A8A60E" w14:textId="77777777" w:rsidR="008D6614" w:rsidRDefault="008D6614">
            <w:pPr>
              <w:rPr>
                <w:rFonts w:ascii="宋体"/>
              </w:rPr>
            </w:pPr>
          </w:p>
        </w:tc>
        <w:tc>
          <w:tcPr>
            <w:tcW w:w="0" w:type="auto"/>
            <w:shd w:val="clear" w:color="auto" w:fill="auto"/>
            <w:vAlign w:val="center"/>
          </w:tcPr>
          <w:p w14:paraId="64A8A60F" w14:textId="77777777" w:rsidR="008D6614" w:rsidRDefault="008D6614">
            <w:pPr>
              <w:rPr>
                <w:rFonts w:ascii="宋体"/>
              </w:rPr>
            </w:pPr>
          </w:p>
        </w:tc>
        <w:tc>
          <w:tcPr>
            <w:tcW w:w="0" w:type="auto"/>
            <w:shd w:val="clear" w:color="auto" w:fill="auto"/>
            <w:vAlign w:val="center"/>
          </w:tcPr>
          <w:p w14:paraId="64A8A610" w14:textId="77777777" w:rsidR="008D6614" w:rsidRDefault="008D6614">
            <w:pPr>
              <w:rPr>
                <w:rFonts w:ascii="宋体"/>
              </w:rPr>
            </w:pPr>
          </w:p>
        </w:tc>
        <w:tc>
          <w:tcPr>
            <w:tcW w:w="0" w:type="auto"/>
            <w:shd w:val="clear" w:color="auto" w:fill="auto"/>
            <w:vAlign w:val="center"/>
          </w:tcPr>
          <w:p w14:paraId="64A8A611" w14:textId="77777777" w:rsidR="008D6614" w:rsidRDefault="008D6614">
            <w:pPr>
              <w:rPr>
                <w:rFonts w:ascii="宋体"/>
              </w:rPr>
            </w:pPr>
          </w:p>
        </w:tc>
        <w:tc>
          <w:tcPr>
            <w:tcW w:w="0" w:type="auto"/>
            <w:shd w:val="clear" w:color="auto" w:fill="auto"/>
            <w:vAlign w:val="center"/>
          </w:tcPr>
          <w:p w14:paraId="64A8A612" w14:textId="77777777" w:rsidR="008D6614" w:rsidRDefault="008D6614">
            <w:pPr>
              <w:rPr>
                <w:rFonts w:ascii="宋体"/>
              </w:rPr>
            </w:pPr>
          </w:p>
        </w:tc>
      </w:tr>
      <w:tr w:rsidR="008D6614" w14:paraId="64A8A624" w14:textId="77777777">
        <w:trPr>
          <w:jc w:val="center"/>
        </w:trPr>
        <w:tc>
          <w:tcPr>
            <w:tcW w:w="0" w:type="auto"/>
            <w:gridSpan w:val="3"/>
            <w:shd w:val="clear" w:color="auto" w:fill="FFFFFF"/>
            <w:tcMar>
              <w:top w:w="40" w:type="dxa"/>
              <w:left w:w="20" w:type="dxa"/>
              <w:bottom w:w="40" w:type="dxa"/>
              <w:right w:w="20" w:type="dxa"/>
            </w:tcMar>
            <w:vAlign w:val="bottom"/>
          </w:tcPr>
          <w:p w14:paraId="64A8A614" w14:textId="77777777" w:rsidR="008D6614" w:rsidRDefault="00866AF2">
            <w:pPr>
              <w:textAlignment w:val="bottom"/>
            </w:pPr>
            <w:r>
              <w:rPr>
                <w:rFonts w:ascii="Arial" w:eastAsia="宋体" w:hAnsi="Arial" w:cs="Arial"/>
                <w:color w:val="000000"/>
                <w:sz w:val="18"/>
                <w:szCs w:val="18"/>
              </w:rPr>
              <w:t>General and administrative</w:t>
            </w:r>
          </w:p>
        </w:tc>
        <w:tc>
          <w:tcPr>
            <w:tcW w:w="0" w:type="auto"/>
            <w:shd w:val="clear" w:color="auto" w:fill="auto"/>
            <w:vAlign w:val="center"/>
          </w:tcPr>
          <w:p w14:paraId="64A8A615" w14:textId="77777777" w:rsidR="008D6614" w:rsidRDefault="008D6614">
            <w:pPr>
              <w:rPr>
                <w:rFonts w:ascii="宋体"/>
                <w:vanish/>
              </w:rPr>
            </w:pPr>
          </w:p>
        </w:tc>
        <w:tc>
          <w:tcPr>
            <w:tcW w:w="0" w:type="auto"/>
            <w:shd w:val="clear" w:color="auto" w:fill="auto"/>
            <w:vAlign w:val="center"/>
          </w:tcPr>
          <w:p w14:paraId="64A8A616" w14:textId="77777777" w:rsidR="008D6614" w:rsidRDefault="008D6614">
            <w:pPr>
              <w:rPr>
                <w:rFonts w:ascii="宋体"/>
                <w:vanish/>
              </w:rPr>
            </w:pPr>
          </w:p>
        </w:tc>
        <w:tc>
          <w:tcPr>
            <w:tcW w:w="0" w:type="auto"/>
            <w:shd w:val="clear" w:color="auto" w:fill="auto"/>
            <w:vAlign w:val="center"/>
          </w:tcPr>
          <w:p w14:paraId="64A8A617"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A61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619" w14:textId="77777777" w:rsidR="008D6614" w:rsidRDefault="00866AF2">
            <w:pPr>
              <w:jc w:val="right"/>
              <w:textAlignment w:val="bottom"/>
            </w:pPr>
            <w:r>
              <w:rPr>
                <w:rFonts w:ascii="Arial" w:eastAsia="宋体" w:hAnsi="Arial" w:cs="Arial"/>
                <w:color w:val="000000"/>
                <w:sz w:val="18"/>
                <w:szCs w:val="18"/>
              </w:rPr>
              <w:t>31 </w:t>
            </w:r>
          </w:p>
        </w:tc>
        <w:tc>
          <w:tcPr>
            <w:tcW w:w="0" w:type="auto"/>
            <w:shd w:val="clear" w:color="auto" w:fill="FFFFFF"/>
            <w:tcMar>
              <w:top w:w="40" w:type="dxa"/>
              <w:bottom w:w="40" w:type="dxa"/>
              <w:right w:w="20" w:type="dxa"/>
            </w:tcMar>
            <w:vAlign w:val="bottom"/>
          </w:tcPr>
          <w:p w14:paraId="64A8A61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61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61C" w14:textId="77777777" w:rsidR="008D6614" w:rsidRDefault="00866AF2">
            <w:pPr>
              <w:jc w:val="right"/>
              <w:textAlignment w:val="bottom"/>
            </w:pPr>
            <w:r>
              <w:rPr>
                <w:rFonts w:ascii="Arial" w:eastAsia="宋体" w:hAnsi="Arial" w:cs="Arial"/>
                <w:color w:val="000000"/>
                <w:sz w:val="18"/>
                <w:szCs w:val="18"/>
              </w:rPr>
              <w:t>37 </w:t>
            </w:r>
          </w:p>
        </w:tc>
        <w:tc>
          <w:tcPr>
            <w:tcW w:w="0" w:type="auto"/>
            <w:shd w:val="clear" w:color="auto" w:fill="FFFFFF"/>
            <w:tcMar>
              <w:top w:w="40" w:type="dxa"/>
              <w:bottom w:w="40" w:type="dxa"/>
              <w:right w:w="20" w:type="dxa"/>
            </w:tcMar>
            <w:vAlign w:val="bottom"/>
          </w:tcPr>
          <w:p w14:paraId="64A8A61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A61E" w14:textId="77777777" w:rsidR="008D6614" w:rsidRDefault="008D6614">
            <w:pPr>
              <w:rPr>
                <w:rFonts w:ascii="宋体"/>
              </w:rPr>
            </w:pPr>
          </w:p>
        </w:tc>
        <w:tc>
          <w:tcPr>
            <w:tcW w:w="0" w:type="auto"/>
            <w:shd w:val="clear" w:color="auto" w:fill="auto"/>
            <w:vAlign w:val="center"/>
          </w:tcPr>
          <w:p w14:paraId="64A8A61F" w14:textId="77777777" w:rsidR="008D6614" w:rsidRDefault="008D6614">
            <w:pPr>
              <w:rPr>
                <w:rFonts w:ascii="宋体"/>
              </w:rPr>
            </w:pPr>
          </w:p>
        </w:tc>
        <w:tc>
          <w:tcPr>
            <w:tcW w:w="0" w:type="auto"/>
            <w:shd w:val="clear" w:color="auto" w:fill="auto"/>
            <w:vAlign w:val="center"/>
          </w:tcPr>
          <w:p w14:paraId="64A8A620" w14:textId="77777777" w:rsidR="008D6614" w:rsidRDefault="008D6614">
            <w:pPr>
              <w:rPr>
                <w:rFonts w:ascii="宋体"/>
              </w:rPr>
            </w:pPr>
          </w:p>
        </w:tc>
        <w:tc>
          <w:tcPr>
            <w:tcW w:w="0" w:type="auto"/>
            <w:shd w:val="clear" w:color="auto" w:fill="auto"/>
            <w:vAlign w:val="center"/>
          </w:tcPr>
          <w:p w14:paraId="64A8A621" w14:textId="77777777" w:rsidR="008D6614" w:rsidRDefault="008D6614">
            <w:pPr>
              <w:rPr>
                <w:rFonts w:ascii="宋体"/>
              </w:rPr>
            </w:pPr>
          </w:p>
        </w:tc>
        <w:tc>
          <w:tcPr>
            <w:tcW w:w="0" w:type="auto"/>
            <w:shd w:val="clear" w:color="auto" w:fill="auto"/>
            <w:vAlign w:val="center"/>
          </w:tcPr>
          <w:p w14:paraId="64A8A622" w14:textId="77777777" w:rsidR="008D6614" w:rsidRDefault="008D6614">
            <w:pPr>
              <w:rPr>
                <w:rFonts w:ascii="宋体"/>
              </w:rPr>
            </w:pPr>
          </w:p>
        </w:tc>
        <w:tc>
          <w:tcPr>
            <w:tcW w:w="0" w:type="auto"/>
            <w:shd w:val="clear" w:color="auto" w:fill="auto"/>
            <w:vAlign w:val="center"/>
          </w:tcPr>
          <w:p w14:paraId="64A8A623" w14:textId="77777777" w:rsidR="008D6614" w:rsidRDefault="008D6614">
            <w:pPr>
              <w:rPr>
                <w:rFonts w:ascii="宋体"/>
              </w:rPr>
            </w:pPr>
          </w:p>
        </w:tc>
      </w:tr>
      <w:tr w:rsidR="008D6614" w14:paraId="64A8A637" w14:textId="77777777">
        <w:trPr>
          <w:jc w:val="center"/>
        </w:trPr>
        <w:tc>
          <w:tcPr>
            <w:tcW w:w="0" w:type="auto"/>
            <w:gridSpan w:val="3"/>
            <w:shd w:val="clear" w:color="auto" w:fill="E2E2E2"/>
            <w:tcMar>
              <w:top w:w="40" w:type="dxa"/>
              <w:left w:w="20" w:type="dxa"/>
              <w:bottom w:w="40" w:type="dxa"/>
              <w:right w:w="20" w:type="dxa"/>
            </w:tcMar>
            <w:vAlign w:val="bottom"/>
          </w:tcPr>
          <w:p w14:paraId="64A8A625" w14:textId="77777777" w:rsidR="008D6614" w:rsidRDefault="00866AF2">
            <w:pPr>
              <w:textAlignment w:val="bottom"/>
            </w:pPr>
            <w:r>
              <w:rPr>
                <w:rFonts w:ascii="Arial" w:eastAsia="宋体" w:hAnsi="Arial" w:cs="Arial"/>
                <w:color w:val="000000"/>
                <w:sz w:val="18"/>
                <w:szCs w:val="18"/>
              </w:rPr>
              <w:t>Total stock-based compensation expense</w:t>
            </w:r>
          </w:p>
        </w:tc>
        <w:tc>
          <w:tcPr>
            <w:tcW w:w="0" w:type="auto"/>
            <w:shd w:val="clear" w:color="auto" w:fill="auto"/>
            <w:vAlign w:val="center"/>
          </w:tcPr>
          <w:p w14:paraId="64A8A626" w14:textId="77777777" w:rsidR="008D6614" w:rsidRDefault="008D6614">
            <w:pPr>
              <w:rPr>
                <w:rFonts w:ascii="宋体"/>
                <w:vanish/>
              </w:rPr>
            </w:pPr>
          </w:p>
        </w:tc>
        <w:tc>
          <w:tcPr>
            <w:tcW w:w="0" w:type="auto"/>
            <w:shd w:val="clear" w:color="auto" w:fill="auto"/>
            <w:vAlign w:val="center"/>
          </w:tcPr>
          <w:p w14:paraId="64A8A627" w14:textId="77777777" w:rsidR="008D6614" w:rsidRDefault="008D6614">
            <w:pPr>
              <w:rPr>
                <w:rFonts w:ascii="宋体"/>
                <w:vanish/>
              </w:rPr>
            </w:pPr>
          </w:p>
        </w:tc>
        <w:tc>
          <w:tcPr>
            <w:tcW w:w="0" w:type="auto"/>
            <w:shd w:val="clear" w:color="auto" w:fill="auto"/>
            <w:vAlign w:val="center"/>
          </w:tcPr>
          <w:p w14:paraId="64A8A628" w14:textId="77777777" w:rsidR="008D6614" w:rsidRDefault="008D6614">
            <w:pPr>
              <w:rPr>
                <w:rFonts w:ascii="宋体"/>
                <w:vanish/>
              </w:rPr>
            </w:pPr>
          </w:p>
        </w:tc>
        <w:tc>
          <w:tcPr>
            <w:tcW w:w="0" w:type="auto"/>
            <w:gridSpan w:val="3"/>
            <w:shd w:val="clear" w:color="auto" w:fill="E2E2E2"/>
            <w:tcMar>
              <w:left w:w="20" w:type="dxa"/>
              <w:right w:w="20" w:type="dxa"/>
            </w:tcMar>
            <w:vAlign w:val="bottom"/>
          </w:tcPr>
          <w:p w14:paraId="64A8A629"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62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62B" w14:textId="77777777" w:rsidR="008D6614" w:rsidRDefault="00866AF2">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E2E2E2"/>
            <w:tcMar>
              <w:top w:w="40" w:type="dxa"/>
              <w:bottom w:w="40" w:type="dxa"/>
              <w:right w:w="20" w:type="dxa"/>
            </w:tcMar>
            <w:vAlign w:val="bottom"/>
          </w:tcPr>
          <w:p w14:paraId="64A8A62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2D"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62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62F" w14:textId="77777777" w:rsidR="008D6614" w:rsidRDefault="00866AF2">
            <w:pPr>
              <w:jc w:val="right"/>
              <w:textAlignment w:val="bottom"/>
            </w:pPr>
            <w:r>
              <w:rPr>
                <w:rFonts w:ascii="Arial" w:eastAsia="宋体" w:hAnsi="Arial" w:cs="Arial"/>
                <w:color w:val="000000"/>
                <w:sz w:val="18"/>
                <w:szCs w:val="18"/>
              </w:rPr>
              <w:t>112 </w:t>
            </w:r>
          </w:p>
        </w:tc>
        <w:tc>
          <w:tcPr>
            <w:tcW w:w="0" w:type="auto"/>
            <w:tcBorders>
              <w:top w:val="single" w:sz="8" w:space="0" w:color="000000"/>
            </w:tcBorders>
            <w:shd w:val="clear" w:color="auto" w:fill="E2E2E2"/>
            <w:tcMar>
              <w:top w:w="40" w:type="dxa"/>
              <w:bottom w:w="40" w:type="dxa"/>
              <w:right w:w="20" w:type="dxa"/>
            </w:tcMar>
            <w:vAlign w:val="bottom"/>
          </w:tcPr>
          <w:p w14:paraId="64A8A630"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A631" w14:textId="77777777" w:rsidR="008D6614" w:rsidRDefault="008D6614">
            <w:pPr>
              <w:rPr>
                <w:rFonts w:ascii="宋体"/>
              </w:rPr>
            </w:pPr>
          </w:p>
        </w:tc>
        <w:tc>
          <w:tcPr>
            <w:tcW w:w="0" w:type="auto"/>
            <w:shd w:val="clear" w:color="auto" w:fill="auto"/>
            <w:vAlign w:val="center"/>
          </w:tcPr>
          <w:p w14:paraId="64A8A632" w14:textId="77777777" w:rsidR="008D6614" w:rsidRDefault="008D6614">
            <w:pPr>
              <w:rPr>
                <w:rFonts w:ascii="宋体"/>
              </w:rPr>
            </w:pPr>
          </w:p>
        </w:tc>
        <w:tc>
          <w:tcPr>
            <w:tcW w:w="0" w:type="auto"/>
            <w:shd w:val="clear" w:color="auto" w:fill="auto"/>
            <w:vAlign w:val="center"/>
          </w:tcPr>
          <w:p w14:paraId="64A8A633" w14:textId="77777777" w:rsidR="008D6614" w:rsidRDefault="008D6614">
            <w:pPr>
              <w:rPr>
                <w:rFonts w:ascii="宋体"/>
              </w:rPr>
            </w:pPr>
          </w:p>
        </w:tc>
        <w:tc>
          <w:tcPr>
            <w:tcW w:w="0" w:type="auto"/>
            <w:shd w:val="clear" w:color="auto" w:fill="auto"/>
            <w:vAlign w:val="center"/>
          </w:tcPr>
          <w:p w14:paraId="64A8A634" w14:textId="77777777" w:rsidR="008D6614" w:rsidRDefault="008D6614">
            <w:pPr>
              <w:rPr>
                <w:rFonts w:ascii="宋体"/>
              </w:rPr>
            </w:pPr>
          </w:p>
        </w:tc>
        <w:tc>
          <w:tcPr>
            <w:tcW w:w="0" w:type="auto"/>
            <w:shd w:val="clear" w:color="auto" w:fill="auto"/>
            <w:vAlign w:val="center"/>
          </w:tcPr>
          <w:p w14:paraId="64A8A635" w14:textId="77777777" w:rsidR="008D6614" w:rsidRDefault="008D6614">
            <w:pPr>
              <w:rPr>
                <w:rFonts w:ascii="宋体"/>
              </w:rPr>
            </w:pPr>
          </w:p>
        </w:tc>
        <w:tc>
          <w:tcPr>
            <w:tcW w:w="0" w:type="auto"/>
            <w:shd w:val="clear" w:color="auto" w:fill="auto"/>
            <w:vAlign w:val="center"/>
          </w:tcPr>
          <w:p w14:paraId="64A8A636" w14:textId="77777777" w:rsidR="008D6614" w:rsidRDefault="008D6614">
            <w:pPr>
              <w:rPr>
                <w:rFonts w:ascii="宋体"/>
              </w:rPr>
            </w:pPr>
          </w:p>
        </w:tc>
      </w:tr>
      <w:tr w:rsidR="008D6614" w14:paraId="64A8A64A" w14:textId="77777777">
        <w:trPr>
          <w:jc w:val="center"/>
        </w:trPr>
        <w:tc>
          <w:tcPr>
            <w:tcW w:w="0" w:type="auto"/>
            <w:gridSpan w:val="3"/>
            <w:shd w:val="clear" w:color="auto" w:fill="FFFFFF"/>
            <w:tcMar>
              <w:top w:w="40" w:type="dxa"/>
              <w:left w:w="20" w:type="dxa"/>
              <w:bottom w:w="40" w:type="dxa"/>
              <w:right w:w="20" w:type="dxa"/>
            </w:tcMar>
            <w:vAlign w:val="bottom"/>
          </w:tcPr>
          <w:p w14:paraId="64A8A638" w14:textId="77777777" w:rsidR="008D6614" w:rsidRDefault="00866AF2">
            <w:pPr>
              <w:textAlignment w:val="bottom"/>
            </w:pPr>
            <w:r>
              <w:rPr>
                <w:rFonts w:ascii="Arial" w:eastAsia="宋体" w:hAnsi="Arial" w:cs="Arial"/>
                <w:color w:val="000000"/>
                <w:sz w:val="18"/>
                <w:szCs w:val="18"/>
              </w:rPr>
              <w:t>Capitalized in product development</w:t>
            </w:r>
          </w:p>
        </w:tc>
        <w:tc>
          <w:tcPr>
            <w:tcW w:w="0" w:type="auto"/>
            <w:shd w:val="clear" w:color="auto" w:fill="auto"/>
            <w:vAlign w:val="center"/>
          </w:tcPr>
          <w:p w14:paraId="64A8A639" w14:textId="77777777" w:rsidR="008D6614" w:rsidRDefault="008D6614">
            <w:pPr>
              <w:rPr>
                <w:rFonts w:ascii="宋体"/>
                <w:vanish/>
              </w:rPr>
            </w:pPr>
          </w:p>
        </w:tc>
        <w:tc>
          <w:tcPr>
            <w:tcW w:w="0" w:type="auto"/>
            <w:shd w:val="clear" w:color="auto" w:fill="auto"/>
            <w:vAlign w:val="center"/>
          </w:tcPr>
          <w:p w14:paraId="64A8A63A" w14:textId="77777777" w:rsidR="008D6614" w:rsidRDefault="008D6614">
            <w:pPr>
              <w:rPr>
                <w:rFonts w:ascii="宋体"/>
                <w:vanish/>
              </w:rPr>
            </w:pPr>
          </w:p>
        </w:tc>
        <w:tc>
          <w:tcPr>
            <w:tcW w:w="0" w:type="auto"/>
            <w:shd w:val="clear" w:color="auto" w:fill="auto"/>
            <w:vAlign w:val="center"/>
          </w:tcPr>
          <w:p w14:paraId="64A8A63B" w14:textId="77777777" w:rsidR="008D6614" w:rsidRDefault="008D6614">
            <w:pPr>
              <w:rPr>
                <w:rFonts w:ascii="宋体"/>
                <w:vanish/>
              </w:rPr>
            </w:pPr>
          </w:p>
        </w:tc>
        <w:tc>
          <w:tcPr>
            <w:tcW w:w="0" w:type="auto"/>
            <w:gridSpan w:val="3"/>
            <w:shd w:val="clear" w:color="auto" w:fill="FFFFFF"/>
            <w:tcMar>
              <w:left w:w="20" w:type="dxa"/>
              <w:right w:w="20" w:type="dxa"/>
            </w:tcMar>
            <w:vAlign w:val="bottom"/>
          </w:tcPr>
          <w:p w14:paraId="64A8A63C" w14:textId="77777777" w:rsidR="008D6614" w:rsidRDefault="008D6614">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tcMar>
            <w:vAlign w:val="bottom"/>
          </w:tcPr>
          <w:p w14:paraId="64A8A63D" w14:textId="77777777" w:rsidR="008D6614" w:rsidRDefault="00866AF2">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bottom w:w="40" w:type="dxa"/>
              <w:right w:w="0" w:type="dxa"/>
            </w:tcMar>
            <w:vAlign w:val="bottom"/>
          </w:tcPr>
          <w:p w14:paraId="64A8A63E" w14:textId="77777777" w:rsidR="008D6614" w:rsidRDefault="00866AF2">
            <w:pPr>
              <w:jc w:val="right"/>
              <w:textAlignment w:val="bottom"/>
            </w:pPr>
            <w:r>
              <w:rPr>
                <w:rFonts w:ascii="Arial" w:eastAsia="宋体" w:hAnsi="Arial" w:cs="Arial"/>
                <w:color w:val="000000"/>
                <w:sz w:val="18"/>
                <w:szCs w:val="18"/>
              </w:rPr>
              <w:t>4 </w:t>
            </w:r>
          </w:p>
        </w:tc>
        <w:tc>
          <w:tcPr>
            <w:tcW w:w="0" w:type="auto"/>
            <w:tcBorders>
              <w:top w:val="double" w:sz="6" w:space="0" w:color="000000"/>
              <w:bottom w:val="double" w:sz="6" w:space="0" w:color="000000"/>
            </w:tcBorders>
            <w:shd w:val="clear" w:color="auto" w:fill="FFFFFF"/>
            <w:tcMar>
              <w:top w:w="40" w:type="dxa"/>
              <w:bottom w:w="40" w:type="dxa"/>
              <w:right w:w="20" w:type="dxa"/>
            </w:tcMar>
            <w:vAlign w:val="bottom"/>
          </w:tcPr>
          <w:p w14:paraId="64A8A63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640" w14:textId="77777777" w:rsidR="008D6614" w:rsidRDefault="008D6614">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tcMar>
            <w:vAlign w:val="bottom"/>
          </w:tcPr>
          <w:p w14:paraId="64A8A641" w14:textId="77777777" w:rsidR="008D6614" w:rsidRDefault="00866AF2">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bottom w:w="40" w:type="dxa"/>
              <w:right w:w="0" w:type="dxa"/>
            </w:tcMar>
            <w:vAlign w:val="bottom"/>
          </w:tcPr>
          <w:p w14:paraId="64A8A642" w14:textId="77777777" w:rsidR="008D6614" w:rsidRDefault="00866AF2">
            <w:pPr>
              <w:jc w:val="right"/>
              <w:textAlignment w:val="bottom"/>
            </w:pPr>
            <w:r>
              <w:rPr>
                <w:rFonts w:ascii="Arial" w:eastAsia="宋体" w:hAnsi="Arial" w:cs="Arial"/>
                <w:color w:val="000000"/>
                <w:sz w:val="18"/>
                <w:szCs w:val="18"/>
              </w:rPr>
              <w:t>3 </w:t>
            </w:r>
          </w:p>
        </w:tc>
        <w:tc>
          <w:tcPr>
            <w:tcW w:w="0" w:type="auto"/>
            <w:tcBorders>
              <w:top w:val="double" w:sz="6" w:space="0" w:color="000000"/>
              <w:bottom w:val="double" w:sz="6" w:space="0" w:color="000000"/>
            </w:tcBorders>
            <w:shd w:val="clear" w:color="auto" w:fill="FFFFFF"/>
            <w:tcMar>
              <w:top w:w="40" w:type="dxa"/>
              <w:bottom w:w="40" w:type="dxa"/>
              <w:right w:w="20" w:type="dxa"/>
            </w:tcMar>
            <w:vAlign w:val="bottom"/>
          </w:tcPr>
          <w:p w14:paraId="64A8A643"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A644" w14:textId="77777777" w:rsidR="008D6614" w:rsidRDefault="008D6614">
            <w:pPr>
              <w:rPr>
                <w:rFonts w:ascii="宋体"/>
              </w:rPr>
            </w:pPr>
          </w:p>
        </w:tc>
        <w:tc>
          <w:tcPr>
            <w:tcW w:w="0" w:type="auto"/>
            <w:shd w:val="clear" w:color="auto" w:fill="auto"/>
            <w:vAlign w:val="center"/>
          </w:tcPr>
          <w:p w14:paraId="64A8A645" w14:textId="77777777" w:rsidR="008D6614" w:rsidRDefault="008D6614">
            <w:pPr>
              <w:rPr>
                <w:rFonts w:ascii="宋体"/>
              </w:rPr>
            </w:pPr>
          </w:p>
        </w:tc>
        <w:tc>
          <w:tcPr>
            <w:tcW w:w="0" w:type="auto"/>
            <w:shd w:val="clear" w:color="auto" w:fill="auto"/>
            <w:vAlign w:val="center"/>
          </w:tcPr>
          <w:p w14:paraId="64A8A646" w14:textId="77777777" w:rsidR="008D6614" w:rsidRDefault="008D6614">
            <w:pPr>
              <w:rPr>
                <w:rFonts w:ascii="宋体"/>
              </w:rPr>
            </w:pPr>
          </w:p>
        </w:tc>
        <w:tc>
          <w:tcPr>
            <w:tcW w:w="0" w:type="auto"/>
            <w:shd w:val="clear" w:color="auto" w:fill="auto"/>
            <w:vAlign w:val="center"/>
          </w:tcPr>
          <w:p w14:paraId="64A8A647" w14:textId="77777777" w:rsidR="008D6614" w:rsidRDefault="008D6614">
            <w:pPr>
              <w:rPr>
                <w:rFonts w:ascii="宋体"/>
              </w:rPr>
            </w:pPr>
          </w:p>
        </w:tc>
        <w:tc>
          <w:tcPr>
            <w:tcW w:w="0" w:type="auto"/>
            <w:shd w:val="clear" w:color="auto" w:fill="auto"/>
            <w:vAlign w:val="center"/>
          </w:tcPr>
          <w:p w14:paraId="64A8A648" w14:textId="77777777" w:rsidR="008D6614" w:rsidRDefault="008D6614">
            <w:pPr>
              <w:rPr>
                <w:rFonts w:ascii="宋体"/>
              </w:rPr>
            </w:pPr>
          </w:p>
        </w:tc>
        <w:tc>
          <w:tcPr>
            <w:tcW w:w="0" w:type="auto"/>
            <w:shd w:val="clear" w:color="auto" w:fill="auto"/>
            <w:vAlign w:val="center"/>
          </w:tcPr>
          <w:p w14:paraId="64A8A649" w14:textId="77777777" w:rsidR="008D6614" w:rsidRDefault="008D6614">
            <w:pPr>
              <w:rPr>
                <w:rFonts w:ascii="宋体"/>
              </w:rPr>
            </w:pPr>
          </w:p>
        </w:tc>
      </w:tr>
    </w:tbl>
    <w:p w14:paraId="64A8A64B" w14:textId="77777777" w:rsidR="008D6614" w:rsidRDefault="008D6614">
      <w:pPr>
        <w:jc w:val="center"/>
      </w:pPr>
    </w:p>
    <w:p w14:paraId="64A8A64C" w14:textId="77777777" w:rsidR="008D6614" w:rsidRDefault="00866AF2">
      <w:pPr>
        <w:jc w:val="both"/>
      </w:pPr>
      <w:r>
        <w:rPr>
          <w:rFonts w:ascii="Arial" w:eastAsia="宋体" w:hAnsi="Arial" w:cs="Arial"/>
          <w:b/>
          <w:bCs/>
          <w:color w:val="000000"/>
          <w:sz w:val="20"/>
          <w:szCs w:val="20"/>
        </w:rPr>
        <w:t xml:space="preserve">Note 15 — Income Taxes </w:t>
      </w:r>
    </w:p>
    <w:p w14:paraId="64A8A64D" w14:textId="77777777" w:rsidR="008D6614" w:rsidRDefault="008D6614">
      <w:pPr>
        <w:jc w:val="both"/>
      </w:pPr>
    </w:p>
    <w:p w14:paraId="64A8A64E" w14:textId="77777777" w:rsidR="008D6614" w:rsidRDefault="00866AF2">
      <w:pPr>
        <w:ind w:firstLine="540"/>
        <w:jc w:val="both"/>
      </w:pPr>
      <w:r>
        <w:rPr>
          <w:rFonts w:ascii="Arial" w:eastAsia="宋体" w:hAnsi="Arial" w:cs="Arial"/>
          <w:color w:val="000000"/>
          <w:sz w:val="20"/>
          <w:szCs w:val="20"/>
        </w:rPr>
        <w:t>We are subject to both direct and indirect taxation in the U.S. and various states and foreign jurisdictions. We are under examination by certain tax authorities for the 2008 to 2018 tax years. We believe that adequate amounts ha</w:t>
      </w:r>
      <w:r>
        <w:rPr>
          <w:rFonts w:ascii="Arial" w:eastAsia="宋体" w:hAnsi="Arial" w:cs="Arial"/>
          <w:color w:val="000000"/>
          <w:sz w:val="20"/>
          <w:szCs w:val="20"/>
        </w:rPr>
        <w:t xml:space="preserve">ve been reserved for any adjustments that may ultimately result from these or other examinations. The material jurisdictions where we are subject to potential examination by tax authorities for tax years after 2007 include, among others, the U.S. (Federal </w:t>
      </w:r>
      <w:r>
        <w:rPr>
          <w:rFonts w:ascii="Arial" w:eastAsia="宋体" w:hAnsi="Arial" w:cs="Arial"/>
          <w:color w:val="000000"/>
          <w:sz w:val="20"/>
          <w:szCs w:val="20"/>
        </w:rPr>
        <w:t xml:space="preserve">and California), Germany, Korea, Israel, Switzerland and the United Kingdom. </w:t>
      </w:r>
    </w:p>
    <w:p w14:paraId="64A8A64F" w14:textId="77777777" w:rsidR="008D6614" w:rsidRDefault="00866AF2">
      <w:pPr>
        <w:ind w:firstLine="540"/>
        <w:jc w:val="both"/>
      </w:pPr>
      <w:r>
        <w:rPr>
          <w:rFonts w:ascii="Arial" w:eastAsia="宋体" w:hAnsi="Arial" w:cs="Arial"/>
          <w:color w:val="000000"/>
          <w:sz w:val="20"/>
          <w:szCs w:val="20"/>
        </w:rPr>
        <w:t> </w:t>
      </w:r>
    </w:p>
    <w:p w14:paraId="64A8A650" w14:textId="77777777" w:rsidR="008D6614" w:rsidRDefault="00866AF2">
      <w:pPr>
        <w:ind w:firstLine="540"/>
        <w:jc w:val="both"/>
      </w:pPr>
      <w:r>
        <w:rPr>
          <w:rFonts w:ascii="Arial" w:eastAsia="宋体" w:hAnsi="Arial" w:cs="Arial"/>
          <w:color w:val="000000"/>
          <w:sz w:val="20"/>
          <w:szCs w:val="20"/>
        </w:rPr>
        <w:t>Although the timing of the resolution and/or closure of audits is highly uncertain, it is reasonably possible that the balance of gross unrecognized tax benefits could signific</w:t>
      </w:r>
      <w:r>
        <w:rPr>
          <w:rFonts w:ascii="Arial" w:eastAsia="宋体" w:hAnsi="Arial" w:cs="Arial"/>
          <w:color w:val="000000"/>
          <w:sz w:val="20"/>
          <w:szCs w:val="20"/>
        </w:rPr>
        <w:t xml:space="preserve">antly change in the next 12 months. Given the number of years remaining subject to examination and the number of matters being examined, we are unable to estimate the full range of possible adjustments to the balance of gross unrecognized tax benefits. We </w:t>
      </w:r>
      <w:r>
        <w:rPr>
          <w:rFonts w:ascii="Arial" w:eastAsia="宋体" w:hAnsi="Arial" w:cs="Arial"/>
          <w:color w:val="000000"/>
          <w:sz w:val="20"/>
          <w:szCs w:val="20"/>
        </w:rPr>
        <w:t>expect the gross amount of unrecognized tax benefits to be reduced within the next twelve months by at least $19 million.</w:t>
      </w:r>
    </w:p>
    <w:p w14:paraId="64A8A651" w14:textId="77777777" w:rsidR="008D6614" w:rsidRDefault="008D6614">
      <w:pPr>
        <w:ind w:firstLine="540"/>
        <w:jc w:val="both"/>
      </w:pPr>
    </w:p>
    <w:p w14:paraId="64A8A652" w14:textId="77777777" w:rsidR="008D6614" w:rsidRDefault="00866AF2">
      <w:pPr>
        <w:ind w:firstLine="540"/>
        <w:jc w:val="both"/>
      </w:pPr>
      <w:r>
        <w:rPr>
          <w:rFonts w:ascii="Arial" w:eastAsia="宋体" w:hAnsi="Arial" w:cs="Arial"/>
          <w:color w:val="000000"/>
          <w:sz w:val="20"/>
          <w:szCs w:val="20"/>
        </w:rPr>
        <w:t xml:space="preserve">On July 27, 2015, in </w:t>
      </w:r>
      <w:r>
        <w:rPr>
          <w:rFonts w:ascii="Arial" w:eastAsia="宋体" w:hAnsi="Arial" w:cs="Arial"/>
          <w:i/>
          <w:iCs/>
          <w:color w:val="000000"/>
          <w:sz w:val="20"/>
          <w:szCs w:val="20"/>
        </w:rPr>
        <w:t>Altera Corp. v. Commissioner</w:t>
      </w:r>
      <w:r>
        <w:rPr>
          <w:rFonts w:ascii="Arial" w:eastAsia="宋体" w:hAnsi="Arial" w:cs="Arial"/>
          <w:color w:val="000000"/>
          <w:sz w:val="20"/>
          <w:szCs w:val="20"/>
        </w:rPr>
        <w:t xml:space="preserve">, the U.S. Tax Court issued an opinion invalidating the regulations relating to the </w:t>
      </w:r>
      <w:r>
        <w:rPr>
          <w:rFonts w:ascii="Arial" w:eastAsia="宋体" w:hAnsi="Arial" w:cs="Arial"/>
          <w:color w:val="000000"/>
          <w:sz w:val="20"/>
          <w:szCs w:val="20"/>
        </w:rPr>
        <w:t>treatment of stock-based compensation expense in an intercompany cost-sharing arrangement. A final decision was issued by the Tax Court in December 2015. The Internal Revenue Service (“IRS”) appealed the decision in June 2016. On July 24, 2018, the Ninth C</w:t>
      </w:r>
      <w:r>
        <w:rPr>
          <w:rFonts w:ascii="Arial" w:eastAsia="宋体" w:hAnsi="Arial" w:cs="Arial"/>
          <w:color w:val="000000"/>
          <w:sz w:val="20"/>
          <w:szCs w:val="20"/>
        </w:rPr>
        <w:t>ircuit Federal Court issued a decision that was subsequently withdrawn and a reconstituted panel has conferred on the appeal. On June 7, 2019, the Ninth Circuit Federal Court upheld the cost-sharing regulations and on November 11, 2019 the U.S. Tax Court o</w:t>
      </w:r>
      <w:r>
        <w:rPr>
          <w:rFonts w:ascii="Arial" w:eastAsia="宋体" w:hAnsi="Arial" w:cs="Arial"/>
          <w:color w:val="000000"/>
          <w:sz w:val="20"/>
          <w:szCs w:val="20"/>
        </w:rPr>
        <w:t xml:space="preserve">f Appeals for the Ninth Circuit released a court order denying an </w:t>
      </w:r>
      <w:r>
        <w:rPr>
          <w:rFonts w:ascii="Arial" w:eastAsia="宋体" w:hAnsi="Arial" w:cs="Arial"/>
          <w:i/>
          <w:iCs/>
          <w:color w:val="000000"/>
          <w:sz w:val="20"/>
          <w:szCs w:val="20"/>
        </w:rPr>
        <w:t>en banc</w:t>
      </w:r>
      <w:r>
        <w:rPr>
          <w:rFonts w:ascii="Arial" w:eastAsia="宋体" w:hAnsi="Arial" w:cs="Arial"/>
          <w:color w:val="000000"/>
          <w:sz w:val="20"/>
          <w:szCs w:val="20"/>
        </w:rPr>
        <w:t xml:space="preserve"> rehearing of the case</w:t>
      </w:r>
      <w:r>
        <w:rPr>
          <w:rFonts w:ascii="Arial" w:eastAsia="宋体" w:hAnsi="Arial" w:cs="Arial"/>
          <w:i/>
          <w:iCs/>
          <w:color w:val="000000"/>
          <w:sz w:val="20"/>
          <w:szCs w:val="20"/>
        </w:rPr>
        <w:t xml:space="preserve"> Altera Corp. v Commissioner</w:t>
      </w:r>
      <w:r>
        <w:rPr>
          <w:rFonts w:ascii="Arial" w:eastAsia="宋体" w:hAnsi="Arial" w:cs="Arial"/>
          <w:color w:val="000000"/>
          <w:sz w:val="20"/>
          <w:szCs w:val="20"/>
        </w:rPr>
        <w:t xml:space="preserve"> following Altera’s petition filed on July 22, 2019. On February 10, 2020, a petition for writ of certiorari was filed with the U.S. </w:t>
      </w:r>
      <w:r>
        <w:rPr>
          <w:rFonts w:ascii="Arial" w:eastAsia="宋体" w:hAnsi="Arial" w:cs="Arial"/>
          <w:color w:val="000000"/>
          <w:sz w:val="20"/>
          <w:szCs w:val="20"/>
        </w:rPr>
        <w:t>Supreme Court. It has not been determined if this writ of certiorari will be heard by the U.S. Supreme Court as of the date of our filing. Due to the uncertainty surrounding the status of the current regulations, questions related to the scope of potential</w:t>
      </w:r>
      <w:r>
        <w:rPr>
          <w:rFonts w:ascii="Arial" w:eastAsia="宋体" w:hAnsi="Arial" w:cs="Arial"/>
          <w:color w:val="000000"/>
          <w:sz w:val="20"/>
          <w:szCs w:val="20"/>
        </w:rPr>
        <w:t xml:space="preserve"> benefits or obligations, and the risk of the Tax Court’s decision being overturned upon appeal, we have not recorded any benefit or expense as of March 31, 2020. We will continue to monitor ongoing developments and potential impacts to our consolidated fi</w:t>
      </w:r>
      <w:r>
        <w:rPr>
          <w:rFonts w:ascii="Arial" w:eastAsia="宋体" w:hAnsi="Arial" w:cs="Arial"/>
          <w:color w:val="000000"/>
          <w:sz w:val="20"/>
          <w:szCs w:val="20"/>
        </w:rPr>
        <w:t>nancial statements.</w:t>
      </w:r>
    </w:p>
    <w:p w14:paraId="64A8A653" w14:textId="77777777" w:rsidR="008D6614" w:rsidRDefault="008D6614">
      <w:pPr>
        <w:jc w:val="both"/>
      </w:pPr>
    </w:p>
    <w:p w14:paraId="64A8A654" w14:textId="77777777" w:rsidR="008D6614" w:rsidRDefault="008D6614">
      <w:pPr>
        <w:jc w:val="center"/>
      </w:pPr>
    </w:p>
    <w:p w14:paraId="64A8A655" w14:textId="77777777" w:rsidR="008D6614" w:rsidRDefault="00866AF2">
      <w:pPr>
        <w:jc w:val="center"/>
      </w:pPr>
      <w:r>
        <w:rPr>
          <w:rFonts w:ascii="Arial" w:eastAsia="宋体" w:hAnsi="Arial" w:cs="Arial"/>
          <w:color w:val="000000"/>
          <w:sz w:val="20"/>
          <w:szCs w:val="20"/>
        </w:rPr>
        <w:t>30</w:t>
      </w:r>
    </w:p>
    <w:p w14:paraId="64A8A656" w14:textId="77777777" w:rsidR="008D6614" w:rsidRDefault="00866AF2">
      <w:r>
        <w:pict w14:anchorId="64A8B9FB">
          <v:rect id="_x0000_i1054" style="width:415.3pt;height:1.5pt" o:hralign="center" o:hrstd="t" o:hr="t" fillcolor="#a0a0a0" stroked="f"/>
        </w:pict>
      </w:r>
    </w:p>
    <w:p w14:paraId="64A8A657" w14:textId="77777777" w:rsidR="008D6614" w:rsidRDefault="008D6614">
      <w:pPr>
        <w:jc w:val="center"/>
      </w:pPr>
    </w:p>
    <w:p w14:paraId="64A8A658" w14:textId="77777777" w:rsidR="008D6614" w:rsidRDefault="00866AF2">
      <w:pPr>
        <w:jc w:val="center"/>
      </w:pPr>
      <w:r>
        <w:rPr>
          <w:rFonts w:ascii="Arial" w:eastAsia="宋体" w:hAnsi="Arial" w:cs="Arial"/>
          <w:b/>
          <w:bCs/>
          <w:color w:val="000000"/>
          <w:sz w:val="20"/>
          <w:szCs w:val="20"/>
        </w:rPr>
        <w:t>eBay Inc.</w:t>
      </w:r>
    </w:p>
    <w:p w14:paraId="64A8A659"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A65A" w14:textId="77777777" w:rsidR="008D6614" w:rsidRDefault="00866AF2">
      <w:r>
        <w:rPr>
          <w:rFonts w:ascii="Arial" w:eastAsia="宋体" w:hAnsi="Arial" w:cs="Arial"/>
          <w:b/>
          <w:bCs/>
          <w:color w:val="000000"/>
          <w:sz w:val="20"/>
          <w:szCs w:val="20"/>
        </w:rPr>
        <w:t>Note 16 — Accumulated Other Comprehensive Income</w:t>
      </w:r>
    </w:p>
    <w:p w14:paraId="64A8A65B" w14:textId="77777777" w:rsidR="008D6614" w:rsidRDefault="008D6614">
      <w:pPr>
        <w:ind w:firstLine="540"/>
      </w:pPr>
    </w:p>
    <w:p w14:paraId="64A8A65C" w14:textId="77777777" w:rsidR="008D6614" w:rsidRDefault="00866AF2">
      <w:pPr>
        <w:ind w:firstLine="540"/>
      </w:pPr>
      <w:r>
        <w:rPr>
          <w:rFonts w:ascii="Arial" w:eastAsia="宋体" w:hAnsi="Arial" w:cs="Arial"/>
          <w:color w:val="000000"/>
          <w:sz w:val="20"/>
          <w:szCs w:val="20"/>
        </w:rPr>
        <w:t xml:space="preserve">The following tables summarize the changes in AOCI for the three months ended March 31, 2020 and 2019 (in millions): </w:t>
      </w:r>
    </w:p>
    <w:p w14:paraId="64A8A65D" w14:textId="77777777" w:rsidR="008D6614" w:rsidRDefault="008D6614">
      <w:pPr>
        <w:ind w:firstLine="540"/>
      </w:pPr>
    </w:p>
    <w:tbl>
      <w:tblPr>
        <w:tblW w:w="4985" w:type="pct"/>
        <w:tblCellMar>
          <w:top w:w="15" w:type="dxa"/>
          <w:left w:w="15" w:type="dxa"/>
          <w:bottom w:w="15" w:type="dxa"/>
          <w:right w:w="15" w:type="dxa"/>
        </w:tblCellMar>
        <w:tblLook w:val="04A0" w:firstRow="1" w:lastRow="0" w:firstColumn="1" w:lastColumn="0" w:noHBand="0" w:noVBand="1"/>
      </w:tblPr>
      <w:tblGrid>
        <w:gridCol w:w="42"/>
        <w:gridCol w:w="2827"/>
        <w:gridCol w:w="42"/>
        <w:gridCol w:w="137"/>
        <w:gridCol w:w="876"/>
        <w:gridCol w:w="86"/>
        <w:gridCol w:w="36"/>
        <w:gridCol w:w="36"/>
        <w:gridCol w:w="36"/>
        <w:gridCol w:w="137"/>
        <w:gridCol w:w="821"/>
        <w:gridCol w:w="86"/>
        <w:gridCol w:w="36"/>
        <w:gridCol w:w="36"/>
        <w:gridCol w:w="36"/>
        <w:gridCol w:w="137"/>
        <w:gridCol w:w="742"/>
        <w:gridCol w:w="86"/>
        <w:gridCol w:w="36"/>
        <w:gridCol w:w="36"/>
        <w:gridCol w:w="36"/>
        <w:gridCol w:w="137"/>
        <w:gridCol w:w="719"/>
        <w:gridCol w:w="86"/>
        <w:gridCol w:w="36"/>
        <w:gridCol w:w="36"/>
        <w:gridCol w:w="36"/>
        <w:gridCol w:w="136"/>
        <w:gridCol w:w="696"/>
        <w:gridCol w:w="86"/>
      </w:tblGrid>
      <w:tr w:rsidR="008D6614" w14:paraId="64A8A67C" w14:textId="77777777">
        <w:tc>
          <w:tcPr>
            <w:tcW w:w="50" w:type="pct"/>
            <w:shd w:val="clear" w:color="auto" w:fill="auto"/>
            <w:vAlign w:val="center"/>
          </w:tcPr>
          <w:p w14:paraId="64A8A65E" w14:textId="77777777" w:rsidR="008D6614" w:rsidRDefault="008D6614">
            <w:pPr>
              <w:rPr>
                <w:rFonts w:ascii="宋体"/>
              </w:rPr>
            </w:pPr>
          </w:p>
        </w:tc>
        <w:tc>
          <w:tcPr>
            <w:tcW w:w="1725" w:type="pct"/>
            <w:shd w:val="clear" w:color="auto" w:fill="auto"/>
            <w:vAlign w:val="center"/>
          </w:tcPr>
          <w:p w14:paraId="64A8A65F" w14:textId="77777777" w:rsidR="008D6614" w:rsidRDefault="008D6614">
            <w:pPr>
              <w:rPr>
                <w:rFonts w:ascii="宋体"/>
              </w:rPr>
            </w:pPr>
          </w:p>
        </w:tc>
        <w:tc>
          <w:tcPr>
            <w:tcW w:w="50" w:type="pct"/>
            <w:shd w:val="clear" w:color="auto" w:fill="auto"/>
            <w:vAlign w:val="center"/>
          </w:tcPr>
          <w:p w14:paraId="64A8A660" w14:textId="77777777" w:rsidR="008D6614" w:rsidRDefault="008D6614">
            <w:pPr>
              <w:rPr>
                <w:rFonts w:ascii="宋体"/>
              </w:rPr>
            </w:pPr>
          </w:p>
        </w:tc>
        <w:tc>
          <w:tcPr>
            <w:tcW w:w="50" w:type="pct"/>
            <w:shd w:val="clear" w:color="auto" w:fill="auto"/>
            <w:vAlign w:val="center"/>
          </w:tcPr>
          <w:p w14:paraId="64A8A661" w14:textId="77777777" w:rsidR="008D6614" w:rsidRDefault="008D6614">
            <w:pPr>
              <w:rPr>
                <w:rFonts w:ascii="宋体"/>
              </w:rPr>
            </w:pPr>
          </w:p>
        </w:tc>
        <w:tc>
          <w:tcPr>
            <w:tcW w:w="552" w:type="pct"/>
            <w:shd w:val="clear" w:color="auto" w:fill="auto"/>
            <w:vAlign w:val="center"/>
          </w:tcPr>
          <w:p w14:paraId="64A8A662" w14:textId="77777777" w:rsidR="008D6614" w:rsidRDefault="008D6614">
            <w:pPr>
              <w:rPr>
                <w:rFonts w:ascii="宋体"/>
              </w:rPr>
            </w:pPr>
          </w:p>
        </w:tc>
        <w:tc>
          <w:tcPr>
            <w:tcW w:w="50" w:type="pct"/>
            <w:shd w:val="clear" w:color="auto" w:fill="auto"/>
            <w:vAlign w:val="center"/>
          </w:tcPr>
          <w:p w14:paraId="64A8A663" w14:textId="77777777" w:rsidR="008D6614" w:rsidRDefault="008D6614">
            <w:pPr>
              <w:rPr>
                <w:rFonts w:ascii="宋体"/>
              </w:rPr>
            </w:pPr>
          </w:p>
        </w:tc>
        <w:tc>
          <w:tcPr>
            <w:tcW w:w="5" w:type="pct"/>
            <w:shd w:val="clear" w:color="auto" w:fill="auto"/>
            <w:vAlign w:val="center"/>
          </w:tcPr>
          <w:p w14:paraId="64A8A664" w14:textId="77777777" w:rsidR="008D6614" w:rsidRDefault="008D6614">
            <w:pPr>
              <w:rPr>
                <w:rFonts w:ascii="宋体"/>
              </w:rPr>
            </w:pPr>
          </w:p>
        </w:tc>
        <w:tc>
          <w:tcPr>
            <w:tcW w:w="26" w:type="pct"/>
            <w:shd w:val="clear" w:color="auto" w:fill="auto"/>
            <w:vAlign w:val="center"/>
          </w:tcPr>
          <w:p w14:paraId="64A8A665" w14:textId="77777777" w:rsidR="008D6614" w:rsidRDefault="008D6614">
            <w:pPr>
              <w:rPr>
                <w:rFonts w:ascii="宋体"/>
              </w:rPr>
            </w:pPr>
          </w:p>
        </w:tc>
        <w:tc>
          <w:tcPr>
            <w:tcW w:w="5" w:type="pct"/>
            <w:shd w:val="clear" w:color="auto" w:fill="auto"/>
            <w:vAlign w:val="center"/>
          </w:tcPr>
          <w:p w14:paraId="64A8A666" w14:textId="77777777" w:rsidR="008D6614" w:rsidRDefault="008D6614">
            <w:pPr>
              <w:rPr>
                <w:rFonts w:ascii="宋体"/>
              </w:rPr>
            </w:pPr>
          </w:p>
        </w:tc>
        <w:tc>
          <w:tcPr>
            <w:tcW w:w="50" w:type="pct"/>
            <w:shd w:val="clear" w:color="auto" w:fill="auto"/>
            <w:vAlign w:val="center"/>
          </w:tcPr>
          <w:p w14:paraId="64A8A667" w14:textId="77777777" w:rsidR="008D6614" w:rsidRDefault="008D6614">
            <w:pPr>
              <w:rPr>
                <w:rFonts w:ascii="宋体"/>
              </w:rPr>
            </w:pPr>
          </w:p>
        </w:tc>
        <w:tc>
          <w:tcPr>
            <w:tcW w:w="537" w:type="pct"/>
            <w:shd w:val="clear" w:color="auto" w:fill="auto"/>
            <w:vAlign w:val="center"/>
          </w:tcPr>
          <w:p w14:paraId="64A8A668" w14:textId="77777777" w:rsidR="008D6614" w:rsidRDefault="008D6614">
            <w:pPr>
              <w:rPr>
                <w:rFonts w:ascii="宋体"/>
              </w:rPr>
            </w:pPr>
          </w:p>
        </w:tc>
        <w:tc>
          <w:tcPr>
            <w:tcW w:w="50" w:type="pct"/>
            <w:shd w:val="clear" w:color="auto" w:fill="auto"/>
            <w:vAlign w:val="center"/>
          </w:tcPr>
          <w:p w14:paraId="64A8A669" w14:textId="77777777" w:rsidR="008D6614" w:rsidRDefault="008D6614">
            <w:pPr>
              <w:rPr>
                <w:rFonts w:ascii="宋体"/>
              </w:rPr>
            </w:pPr>
          </w:p>
        </w:tc>
        <w:tc>
          <w:tcPr>
            <w:tcW w:w="5" w:type="pct"/>
            <w:shd w:val="clear" w:color="auto" w:fill="auto"/>
            <w:vAlign w:val="center"/>
          </w:tcPr>
          <w:p w14:paraId="64A8A66A" w14:textId="77777777" w:rsidR="008D6614" w:rsidRDefault="008D6614">
            <w:pPr>
              <w:rPr>
                <w:rFonts w:ascii="宋体"/>
              </w:rPr>
            </w:pPr>
          </w:p>
        </w:tc>
        <w:tc>
          <w:tcPr>
            <w:tcW w:w="26" w:type="pct"/>
            <w:shd w:val="clear" w:color="auto" w:fill="auto"/>
            <w:vAlign w:val="center"/>
          </w:tcPr>
          <w:p w14:paraId="64A8A66B" w14:textId="77777777" w:rsidR="008D6614" w:rsidRDefault="008D6614">
            <w:pPr>
              <w:rPr>
                <w:rFonts w:ascii="宋体"/>
              </w:rPr>
            </w:pPr>
          </w:p>
        </w:tc>
        <w:tc>
          <w:tcPr>
            <w:tcW w:w="5" w:type="pct"/>
            <w:shd w:val="clear" w:color="auto" w:fill="auto"/>
            <w:vAlign w:val="center"/>
          </w:tcPr>
          <w:p w14:paraId="64A8A66C" w14:textId="77777777" w:rsidR="008D6614" w:rsidRDefault="008D6614">
            <w:pPr>
              <w:rPr>
                <w:rFonts w:ascii="宋体"/>
              </w:rPr>
            </w:pPr>
          </w:p>
        </w:tc>
        <w:tc>
          <w:tcPr>
            <w:tcW w:w="50" w:type="pct"/>
            <w:shd w:val="clear" w:color="auto" w:fill="auto"/>
            <w:vAlign w:val="center"/>
          </w:tcPr>
          <w:p w14:paraId="64A8A66D" w14:textId="77777777" w:rsidR="008D6614" w:rsidRDefault="008D6614">
            <w:pPr>
              <w:rPr>
                <w:rFonts w:ascii="宋体"/>
              </w:rPr>
            </w:pPr>
          </w:p>
        </w:tc>
        <w:tc>
          <w:tcPr>
            <w:tcW w:w="464" w:type="pct"/>
            <w:shd w:val="clear" w:color="auto" w:fill="auto"/>
            <w:vAlign w:val="center"/>
          </w:tcPr>
          <w:p w14:paraId="64A8A66E" w14:textId="77777777" w:rsidR="008D6614" w:rsidRDefault="008D6614">
            <w:pPr>
              <w:rPr>
                <w:rFonts w:ascii="宋体"/>
              </w:rPr>
            </w:pPr>
          </w:p>
        </w:tc>
        <w:tc>
          <w:tcPr>
            <w:tcW w:w="50" w:type="pct"/>
            <w:shd w:val="clear" w:color="auto" w:fill="auto"/>
            <w:vAlign w:val="center"/>
          </w:tcPr>
          <w:p w14:paraId="64A8A66F" w14:textId="77777777" w:rsidR="008D6614" w:rsidRDefault="008D6614">
            <w:pPr>
              <w:rPr>
                <w:rFonts w:ascii="宋体"/>
              </w:rPr>
            </w:pPr>
          </w:p>
        </w:tc>
        <w:tc>
          <w:tcPr>
            <w:tcW w:w="5" w:type="pct"/>
            <w:shd w:val="clear" w:color="auto" w:fill="auto"/>
            <w:vAlign w:val="center"/>
          </w:tcPr>
          <w:p w14:paraId="64A8A670" w14:textId="77777777" w:rsidR="008D6614" w:rsidRDefault="008D6614">
            <w:pPr>
              <w:rPr>
                <w:rFonts w:ascii="宋体"/>
              </w:rPr>
            </w:pPr>
          </w:p>
        </w:tc>
        <w:tc>
          <w:tcPr>
            <w:tcW w:w="26" w:type="pct"/>
            <w:shd w:val="clear" w:color="auto" w:fill="auto"/>
            <w:vAlign w:val="center"/>
          </w:tcPr>
          <w:p w14:paraId="64A8A671" w14:textId="77777777" w:rsidR="008D6614" w:rsidRDefault="008D6614">
            <w:pPr>
              <w:rPr>
                <w:rFonts w:ascii="宋体"/>
              </w:rPr>
            </w:pPr>
          </w:p>
        </w:tc>
        <w:tc>
          <w:tcPr>
            <w:tcW w:w="5" w:type="pct"/>
            <w:shd w:val="clear" w:color="auto" w:fill="auto"/>
            <w:vAlign w:val="center"/>
          </w:tcPr>
          <w:p w14:paraId="64A8A672" w14:textId="77777777" w:rsidR="008D6614" w:rsidRDefault="008D6614">
            <w:pPr>
              <w:rPr>
                <w:rFonts w:ascii="宋体"/>
              </w:rPr>
            </w:pPr>
          </w:p>
        </w:tc>
        <w:tc>
          <w:tcPr>
            <w:tcW w:w="50" w:type="pct"/>
            <w:shd w:val="clear" w:color="auto" w:fill="auto"/>
            <w:vAlign w:val="center"/>
          </w:tcPr>
          <w:p w14:paraId="64A8A673" w14:textId="77777777" w:rsidR="008D6614" w:rsidRDefault="008D6614">
            <w:pPr>
              <w:rPr>
                <w:rFonts w:ascii="宋体"/>
              </w:rPr>
            </w:pPr>
          </w:p>
        </w:tc>
        <w:tc>
          <w:tcPr>
            <w:tcW w:w="508" w:type="pct"/>
            <w:shd w:val="clear" w:color="auto" w:fill="auto"/>
            <w:vAlign w:val="center"/>
          </w:tcPr>
          <w:p w14:paraId="64A8A674" w14:textId="77777777" w:rsidR="008D6614" w:rsidRDefault="008D6614">
            <w:pPr>
              <w:rPr>
                <w:rFonts w:ascii="宋体"/>
              </w:rPr>
            </w:pPr>
          </w:p>
        </w:tc>
        <w:tc>
          <w:tcPr>
            <w:tcW w:w="50" w:type="pct"/>
            <w:shd w:val="clear" w:color="auto" w:fill="auto"/>
            <w:vAlign w:val="center"/>
          </w:tcPr>
          <w:p w14:paraId="64A8A675" w14:textId="77777777" w:rsidR="008D6614" w:rsidRDefault="008D6614">
            <w:pPr>
              <w:rPr>
                <w:rFonts w:ascii="宋体"/>
              </w:rPr>
            </w:pPr>
          </w:p>
        </w:tc>
        <w:tc>
          <w:tcPr>
            <w:tcW w:w="5" w:type="pct"/>
            <w:shd w:val="clear" w:color="auto" w:fill="auto"/>
            <w:vAlign w:val="center"/>
          </w:tcPr>
          <w:p w14:paraId="64A8A676" w14:textId="77777777" w:rsidR="008D6614" w:rsidRDefault="008D6614">
            <w:pPr>
              <w:rPr>
                <w:rFonts w:ascii="宋体"/>
              </w:rPr>
            </w:pPr>
          </w:p>
        </w:tc>
        <w:tc>
          <w:tcPr>
            <w:tcW w:w="26" w:type="pct"/>
            <w:shd w:val="clear" w:color="auto" w:fill="auto"/>
            <w:vAlign w:val="center"/>
          </w:tcPr>
          <w:p w14:paraId="64A8A677" w14:textId="77777777" w:rsidR="008D6614" w:rsidRDefault="008D6614">
            <w:pPr>
              <w:rPr>
                <w:rFonts w:ascii="宋体"/>
              </w:rPr>
            </w:pPr>
          </w:p>
        </w:tc>
        <w:tc>
          <w:tcPr>
            <w:tcW w:w="5" w:type="pct"/>
            <w:shd w:val="clear" w:color="auto" w:fill="auto"/>
            <w:vAlign w:val="center"/>
          </w:tcPr>
          <w:p w14:paraId="64A8A678" w14:textId="77777777" w:rsidR="008D6614" w:rsidRDefault="008D6614">
            <w:pPr>
              <w:rPr>
                <w:rFonts w:ascii="宋体"/>
              </w:rPr>
            </w:pPr>
          </w:p>
        </w:tc>
        <w:tc>
          <w:tcPr>
            <w:tcW w:w="50" w:type="pct"/>
            <w:shd w:val="clear" w:color="auto" w:fill="auto"/>
            <w:vAlign w:val="center"/>
          </w:tcPr>
          <w:p w14:paraId="64A8A679" w14:textId="77777777" w:rsidR="008D6614" w:rsidRDefault="008D6614">
            <w:pPr>
              <w:rPr>
                <w:rFonts w:ascii="宋体"/>
              </w:rPr>
            </w:pPr>
          </w:p>
        </w:tc>
        <w:tc>
          <w:tcPr>
            <w:tcW w:w="464" w:type="pct"/>
            <w:shd w:val="clear" w:color="auto" w:fill="auto"/>
            <w:vAlign w:val="center"/>
          </w:tcPr>
          <w:p w14:paraId="64A8A67A" w14:textId="77777777" w:rsidR="008D6614" w:rsidRDefault="008D6614">
            <w:pPr>
              <w:rPr>
                <w:rFonts w:ascii="宋体"/>
              </w:rPr>
            </w:pPr>
          </w:p>
        </w:tc>
        <w:tc>
          <w:tcPr>
            <w:tcW w:w="50" w:type="pct"/>
            <w:shd w:val="clear" w:color="auto" w:fill="auto"/>
            <w:vAlign w:val="center"/>
          </w:tcPr>
          <w:p w14:paraId="64A8A67B" w14:textId="77777777" w:rsidR="008D6614" w:rsidRDefault="008D6614">
            <w:pPr>
              <w:rPr>
                <w:rFonts w:ascii="宋体"/>
              </w:rPr>
            </w:pPr>
          </w:p>
        </w:tc>
      </w:tr>
      <w:tr w:rsidR="008D6614" w14:paraId="64A8A687" w14:textId="77777777">
        <w:tc>
          <w:tcPr>
            <w:tcW w:w="0" w:type="auto"/>
            <w:gridSpan w:val="3"/>
            <w:shd w:val="clear" w:color="auto" w:fill="auto"/>
            <w:tcMar>
              <w:left w:w="20" w:type="dxa"/>
              <w:right w:w="20" w:type="dxa"/>
            </w:tcMar>
            <w:vAlign w:val="bottom"/>
          </w:tcPr>
          <w:p w14:paraId="64A8A67D"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67E" w14:textId="77777777" w:rsidR="008D6614" w:rsidRDefault="00866AF2">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left w:w="20" w:type="dxa"/>
              <w:right w:w="20" w:type="dxa"/>
            </w:tcMar>
            <w:vAlign w:val="bottom"/>
          </w:tcPr>
          <w:p w14:paraId="64A8A67F"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680" w14:textId="77777777" w:rsidR="008D6614" w:rsidRDefault="00866AF2">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left w:w="20" w:type="dxa"/>
              <w:right w:w="20" w:type="dxa"/>
            </w:tcMar>
            <w:vAlign w:val="bottom"/>
          </w:tcPr>
          <w:p w14:paraId="64A8A681"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682" w14:textId="77777777" w:rsidR="008D6614" w:rsidRDefault="00866AF2">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left w:w="20" w:type="dxa"/>
              <w:right w:w="20" w:type="dxa"/>
            </w:tcMar>
            <w:vAlign w:val="bottom"/>
          </w:tcPr>
          <w:p w14:paraId="64A8A683"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684" w14:textId="77777777" w:rsidR="008D6614" w:rsidRDefault="00866AF2">
            <w:pPr>
              <w:jc w:val="center"/>
              <w:textAlignment w:val="bottom"/>
            </w:pPr>
            <w:r>
              <w:rPr>
                <w:rFonts w:ascii="Arial" w:eastAsia="宋体" w:hAnsi="Arial" w:cs="Arial"/>
                <w:b/>
                <w:bCs/>
                <w:color w:val="000000"/>
                <w:sz w:val="16"/>
                <w:szCs w:val="16"/>
              </w:rPr>
              <w:t>Estimated Tax (Expe</w:t>
            </w:r>
            <w:r>
              <w:rPr>
                <w:rFonts w:ascii="Arial" w:eastAsia="宋体" w:hAnsi="Arial" w:cs="Arial"/>
                <w:b/>
                <w:bCs/>
                <w:color w:val="000000"/>
                <w:sz w:val="16"/>
                <w:szCs w:val="16"/>
              </w:rPr>
              <w:t>nse) Benefit</w:t>
            </w:r>
          </w:p>
        </w:tc>
        <w:tc>
          <w:tcPr>
            <w:tcW w:w="0" w:type="auto"/>
            <w:gridSpan w:val="3"/>
            <w:shd w:val="clear" w:color="auto" w:fill="auto"/>
            <w:tcMar>
              <w:left w:w="20" w:type="dxa"/>
              <w:right w:w="20" w:type="dxa"/>
            </w:tcMar>
            <w:vAlign w:val="bottom"/>
          </w:tcPr>
          <w:p w14:paraId="64A8A685"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686" w14:textId="77777777" w:rsidR="008D6614" w:rsidRDefault="00866AF2">
            <w:pPr>
              <w:jc w:val="center"/>
              <w:textAlignment w:val="bottom"/>
            </w:pPr>
            <w:r>
              <w:rPr>
                <w:rFonts w:ascii="Arial" w:eastAsia="宋体" w:hAnsi="Arial" w:cs="Arial"/>
                <w:b/>
                <w:bCs/>
                <w:color w:val="000000"/>
                <w:sz w:val="16"/>
                <w:szCs w:val="16"/>
              </w:rPr>
              <w:t>Total</w:t>
            </w:r>
          </w:p>
        </w:tc>
      </w:tr>
      <w:tr w:rsidR="008D6614" w14:paraId="64A8A69C" w14:textId="77777777">
        <w:tc>
          <w:tcPr>
            <w:tcW w:w="0" w:type="auto"/>
            <w:gridSpan w:val="3"/>
            <w:shd w:val="clear" w:color="auto" w:fill="E2E2E2"/>
            <w:tcMar>
              <w:top w:w="40" w:type="dxa"/>
              <w:left w:w="20" w:type="dxa"/>
              <w:bottom w:w="40" w:type="dxa"/>
              <w:right w:w="20" w:type="dxa"/>
            </w:tcMar>
            <w:vAlign w:val="bottom"/>
          </w:tcPr>
          <w:p w14:paraId="64A8A688" w14:textId="77777777" w:rsidR="008D6614" w:rsidRDefault="00866AF2">
            <w:pPr>
              <w:textAlignment w:val="bottom"/>
            </w:pPr>
            <w:r>
              <w:rPr>
                <w:rFonts w:ascii="Arial" w:eastAsia="宋体" w:hAnsi="Arial" w:cs="Arial"/>
                <w:color w:val="000000"/>
                <w:sz w:val="18"/>
                <w:szCs w:val="18"/>
              </w:rPr>
              <w:t>Balance as of December 31, 2019</w:t>
            </w:r>
          </w:p>
        </w:tc>
        <w:tc>
          <w:tcPr>
            <w:tcW w:w="0" w:type="auto"/>
            <w:tcBorders>
              <w:top w:val="single" w:sz="8" w:space="0" w:color="000000"/>
            </w:tcBorders>
            <w:shd w:val="clear" w:color="auto" w:fill="E2E2E2"/>
            <w:tcMar>
              <w:top w:w="40" w:type="dxa"/>
              <w:left w:w="20" w:type="dxa"/>
              <w:bottom w:w="40" w:type="dxa"/>
            </w:tcMar>
            <w:vAlign w:val="bottom"/>
          </w:tcPr>
          <w:p w14:paraId="64A8A68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68A" w14:textId="77777777" w:rsidR="008D6614" w:rsidRDefault="00866AF2">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bottom w:w="40" w:type="dxa"/>
              <w:right w:w="20" w:type="dxa"/>
            </w:tcMar>
            <w:vAlign w:val="bottom"/>
          </w:tcPr>
          <w:p w14:paraId="64A8A68B"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8C"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68D"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68E" w14:textId="77777777" w:rsidR="008D6614" w:rsidRDefault="00866AF2">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bottom w:w="40" w:type="dxa"/>
              <w:right w:w="20" w:type="dxa"/>
            </w:tcMar>
            <w:vAlign w:val="bottom"/>
          </w:tcPr>
          <w:p w14:paraId="64A8A68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90"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691"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692" w14:textId="77777777" w:rsidR="008D6614" w:rsidRDefault="00866AF2">
            <w:pPr>
              <w:jc w:val="right"/>
              <w:textAlignment w:val="bottom"/>
            </w:pPr>
            <w:r>
              <w:rPr>
                <w:rFonts w:ascii="Arial" w:eastAsia="宋体" w:hAnsi="Arial" w:cs="Arial"/>
                <w:color w:val="000000"/>
                <w:sz w:val="18"/>
                <w:szCs w:val="18"/>
              </w:rPr>
              <w:t>363 </w:t>
            </w:r>
          </w:p>
        </w:tc>
        <w:tc>
          <w:tcPr>
            <w:tcW w:w="0" w:type="auto"/>
            <w:tcBorders>
              <w:top w:val="single" w:sz="8" w:space="0" w:color="000000"/>
            </w:tcBorders>
            <w:shd w:val="clear" w:color="auto" w:fill="E2E2E2"/>
            <w:tcMar>
              <w:top w:w="40" w:type="dxa"/>
              <w:bottom w:w="40" w:type="dxa"/>
              <w:right w:w="20" w:type="dxa"/>
            </w:tcMar>
            <w:vAlign w:val="bottom"/>
          </w:tcPr>
          <w:p w14:paraId="64A8A693"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94"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695"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696" w14:textId="77777777" w:rsidR="008D6614" w:rsidRDefault="00866AF2">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bottom w:w="40" w:type="dxa"/>
              <w:right w:w="20" w:type="dxa"/>
            </w:tcMar>
            <w:vAlign w:val="bottom"/>
          </w:tcPr>
          <w:p w14:paraId="64A8A69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98"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699"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69A" w14:textId="77777777" w:rsidR="008D6614" w:rsidRDefault="00866AF2">
            <w:pPr>
              <w:jc w:val="right"/>
              <w:textAlignment w:val="bottom"/>
            </w:pPr>
            <w:r>
              <w:rPr>
                <w:rFonts w:ascii="Arial" w:eastAsia="宋体" w:hAnsi="Arial" w:cs="Arial"/>
                <w:color w:val="000000"/>
                <w:sz w:val="18"/>
                <w:szCs w:val="18"/>
              </w:rPr>
              <w:t>384 </w:t>
            </w:r>
          </w:p>
        </w:tc>
        <w:tc>
          <w:tcPr>
            <w:tcW w:w="0" w:type="auto"/>
            <w:tcBorders>
              <w:top w:val="single" w:sz="8" w:space="0" w:color="000000"/>
            </w:tcBorders>
            <w:shd w:val="clear" w:color="auto" w:fill="E2E2E2"/>
            <w:tcMar>
              <w:top w:w="40" w:type="dxa"/>
              <w:bottom w:w="40" w:type="dxa"/>
              <w:right w:w="20" w:type="dxa"/>
            </w:tcMar>
            <w:vAlign w:val="bottom"/>
          </w:tcPr>
          <w:p w14:paraId="64A8A69B" w14:textId="77777777" w:rsidR="008D6614" w:rsidRDefault="00866AF2">
            <w:pPr>
              <w:jc w:val="right"/>
              <w:textAlignment w:val="bottom"/>
            </w:pPr>
            <w:r>
              <w:rPr>
                <w:rFonts w:ascii="Arial" w:eastAsia="宋体" w:hAnsi="Arial" w:cs="Arial"/>
                <w:color w:val="000000"/>
                <w:sz w:val="18"/>
                <w:szCs w:val="18"/>
              </w:rPr>
              <w:t> </w:t>
            </w:r>
          </w:p>
        </w:tc>
      </w:tr>
      <w:tr w:rsidR="008D6614" w14:paraId="64A8A6AC" w14:textId="77777777">
        <w:tc>
          <w:tcPr>
            <w:tcW w:w="0" w:type="auto"/>
            <w:gridSpan w:val="3"/>
            <w:shd w:val="clear" w:color="auto" w:fill="FFFFFF"/>
            <w:tcMar>
              <w:top w:w="40" w:type="dxa"/>
              <w:left w:w="225" w:type="dxa"/>
              <w:bottom w:w="40" w:type="dxa"/>
              <w:right w:w="20" w:type="dxa"/>
            </w:tcMar>
            <w:vAlign w:val="bottom"/>
          </w:tcPr>
          <w:p w14:paraId="64A8A69D" w14:textId="77777777" w:rsidR="008D6614" w:rsidRDefault="00866AF2">
            <w:pPr>
              <w:textAlignment w:val="bottom"/>
            </w:pPr>
            <w:r>
              <w:rPr>
                <w:rFonts w:ascii="Arial" w:eastAsia="宋体" w:hAnsi="Arial" w:cs="Arial"/>
                <w:color w:val="000000"/>
                <w:sz w:val="18"/>
                <w:szCs w:val="18"/>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64A8A69E" w14:textId="77777777" w:rsidR="008D6614" w:rsidRDefault="00866AF2">
            <w:pPr>
              <w:jc w:val="right"/>
              <w:textAlignment w:val="bottom"/>
            </w:pPr>
            <w:r>
              <w:rPr>
                <w:rFonts w:ascii="Arial" w:eastAsia="宋体" w:hAnsi="Arial" w:cs="Arial"/>
                <w:color w:val="000000"/>
                <w:sz w:val="18"/>
                <w:szCs w:val="18"/>
              </w:rPr>
              <w:t>47 </w:t>
            </w:r>
          </w:p>
        </w:tc>
        <w:tc>
          <w:tcPr>
            <w:tcW w:w="0" w:type="auto"/>
            <w:shd w:val="clear" w:color="auto" w:fill="FFFFFF"/>
            <w:tcMar>
              <w:top w:w="40" w:type="dxa"/>
              <w:bottom w:w="40" w:type="dxa"/>
              <w:right w:w="20" w:type="dxa"/>
            </w:tcMar>
            <w:vAlign w:val="bottom"/>
          </w:tcPr>
          <w:p w14:paraId="64A8A69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6A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6A1" w14:textId="77777777" w:rsidR="008D6614" w:rsidRDefault="00866AF2">
            <w:pPr>
              <w:jc w:val="right"/>
              <w:textAlignment w:val="bottom"/>
            </w:pPr>
            <w:r>
              <w:rPr>
                <w:rFonts w:ascii="Arial" w:eastAsia="宋体" w:hAnsi="Arial" w:cs="Arial"/>
                <w:color w:val="000000"/>
                <w:sz w:val="18"/>
                <w:szCs w:val="18"/>
              </w:rPr>
              <w:t>(31)</w:t>
            </w:r>
          </w:p>
        </w:tc>
        <w:tc>
          <w:tcPr>
            <w:tcW w:w="0" w:type="auto"/>
            <w:shd w:val="clear" w:color="auto" w:fill="FFFFFF"/>
            <w:tcMar>
              <w:top w:w="40" w:type="dxa"/>
              <w:bottom w:w="40" w:type="dxa"/>
              <w:right w:w="20" w:type="dxa"/>
            </w:tcMar>
            <w:vAlign w:val="bottom"/>
          </w:tcPr>
          <w:p w14:paraId="64A8A6A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6A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6A4" w14:textId="77777777" w:rsidR="008D6614" w:rsidRDefault="00866AF2">
            <w:pPr>
              <w:jc w:val="right"/>
              <w:textAlignment w:val="bottom"/>
            </w:pPr>
            <w:r>
              <w:rPr>
                <w:rFonts w:ascii="Arial" w:eastAsia="宋体" w:hAnsi="Arial" w:cs="Arial"/>
                <w:color w:val="000000"/>
                <w:sz w:val="18"/>
                <w:szCs w:val="18"/>
              </w:rPr>
              <w:t>(113)</w:t>
            </w:r>
          </w:p>
        </w:tc>
        <w:tc>
          <w:tcPr>
            <w:tcW w:w="0" w:type="auto"/>
            <w:shd w:val="clear" w:color="auto" w:fill="FFFFFF"/>
            <w:tcMar>
              <w:top w:w="40" w:type="dxa"/>
              <w:bottom w:w="40" w:type="dxa"/>
              <w:right w:w="20" w:type="dxa"/>
            </w:tcMar>
            <w:vAlign w:val="bottom"/>
          </w:tcPr>
          <w:p w14:paraId="64A8A6A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6A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6A7" w14:textId="77777777" w:rsidR="008D6614" w:rsidRDefault="00866AF2">
            <w:pPr>
              <w:jc w:val="right"/>
              <w:textAlignment w:val="bottom"/>
            </w:pPr>
            <w:r>
              <w:rPr>
                <w:rFonts w:ascii="Arial" w:eastAsia="宋体" w:hAnsi="Arial" w:cs="Arial"/>
                <w:color w:val="000000"/>
                <w:sz w:val="18"/>
                <w:szCs w:val="18"/>
              </w:rPr>
              <w:t>(2)</w:t>
            </w:r>
          </w:p>
        </w:tc>
        <w:tc>
          <w:tcPr>
            <w:tcW w:w="0" w:type="auto"/>
            <w:shd w:val="clear" w:color="auto" w:fill="FFFFFF"/>
            <w:tcMar>
              <w:top w:w="40" w:type="dxa"/>
              <w:bottom w:w="40" w:type="dxa"/>
              <w:right w:w="20" w:type="dxa"/>
            </w:tcMar>
            <w:vAlign w:val="bottom"/>
          </w:tcPr>
          <w:p w14:paraId="64A8A6A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6A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6AA" w14:textId="77777777" w:rsidR="008D6614" w:rsidRDefault="00866AF2">
            <w:pPr>
              <w:jc w:val="right"/>
              <w:textAlignment w:val="bottom"/>
            </w:pPr>
            <w:r>
              <w:rPr>
                <w:rFonts w:ascii="Arial" w:eastAsia="宋体" w:hAnsi="Arial" w:cs="Arial"/>
                <w:color w:val="000000"/>
                <w:sz w:val="18"/>
                <w:szCs w:val="18"/>
              </w:rPr>
              <w:t>(99)</w:t>
            </w:r>
          </w:p>
        </w:tc>
        <w:tc>
          <w:tcPr>
            <w:tcW w:w="0" w:type="auto"/>
            <w:shd w:val="clear" w:color="auto" w:fill="FFFFFF"/>
            <w:tcMar>
              <w:top w:w="40" w:type="dxa"/>
              <w:bottom w:w="40" w:type="dxa"/>
              <w:right w:w="20" w:type="dxa"/>
            </w:tcMar>
            <w:vAlign w:val="bottom"/>
          </w:tcPr>
          <w:p w14:paraId="64A8A6AB" w14:textId="77777777" w:rsidR="008D6614" w:rsidRDefault="00866AF2">
            <w:pPr>
              <w:jc w:val="right"/>
              <w:textAlignment w:val="bottom"/>
            </w:pPr>
            <w:r>
              <w:rPr>
                <w:rFonts w:ascii="Arial" w:eastAsia="宋体" w:hAnsi="Arial" w:cs="Arial"/>
                <w:color w:val="000000"/>
                <w:sz w:val="18"/>
                <w:szCs w:val="18"/>
              </w:rPr>
              <w:t> </w:t>
            </w:r>
          </w:p>
        </w:tc>
      </w:tr>
      <w:tr w:rsidR="008D6614" w14:paraId="64A8A6BC" w14:textId="77777777">
        <w:tc>
          <w:tcPr>
            <w:tcW w:w="0" w:type="auto"/>
            <w:gridSpan w:val="3"/>
            <w:shd w:val="clear" w:color="auto" w:fill="E2E2E2"/>
            <w:tcMar>
              <w:top w:w="40" w:type="dxa"/>
              <w:left w:w="225" w:type="dxa"/>
              <w:bottom w:w="40" w:type="dxa"/>
              <w:right w:w="20" w:type="dxa"/>
            </w:tcMar>
            <w:vAlign w:val="bottom"/>
          </w:tcPr>
          <w:p w14:paraId="64A8A6AD" w14:textId="77777777" w:rsidR="008D6614" w:rsidRDefault="00866AF2">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64A8A6AE"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A6A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B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6B1"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A6B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B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6B4"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A6B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B6"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6B7"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A6B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B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6BA"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A6BB" w14:textId="77777777" w:rsidR="008D6614" w:rsidRDefault="00866AF2">
            <w:pPr>
              <w:jc w:val="right"/>
              <w:textAlignment w:val="bottom"/>
            </w:pPr>
            <w:r>
              <w:rPr>
                <w:rFonts w:ascii="Arial" w:eastAsia="宋体" w:hAnsi="Arial" w:cs="Arial"/>
                <w:color w:val="000000"/>
                <w:sz w:val="18"/>
                <w:szCs w:val="18"/>
              </w:rPr>
              <w:t> </w:t>
            </w:r>
          </w:p>
        </w:tc>
      </w:tr>
      <w:tr w:rsidR="008D6614" w14:paraId="64A8A6CC" w14:textId="77777777">
        <w:tc>
          <w:tcPr>
            <w:tcW w:w="0" w:type="auto"/>
            <w:gridSpan w:val="3"/>
            <w:shd w:val="clear" w:color="auto" w:fill="FFFFFF"/>
            <w:tcMar>
              <w:top w:w="40" w:type="dxa"/>
              <w:left w:w="20" w:type="dxa"/>
              <w:bottom w:w="40" w:type="dxa"/>
              <w:right w:w="20" w:type="dxa"/>
            </w:tcMar>
            <w:vAlign w:val="bottom"/>
          </w:tcPr>
          <w:p w14:paraId="64A8A6BD" w14:textId="77777777" w:rsidR="008D6614" w:rsidRDefault="00866AF2">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6BE" w14:textId="77777777" w:rsidR="008D6614" w:rsidRDefault="00866AF2">
            <w:pPr>
              <w:jc w:val="right"/>
              <w:textAlignment w:val="bottom"/>
            </w:pPr>
            <w:r>
              <w:rPr>
                <w:rFonts w:ascii="Arial" w:eastAsia="宋体" w:hAnsi="Arial" w:cs="Arial"/>
                <w:color w:val="000000"/>
                <w:sz w:val="18"/>
                <w:szCs w:val="18"/>
              </w:rPr>
              <w:t>47 </w:t>
            </w:r>
          </w:p>
        </w:tc>
        <w:tc>
          <w:tcPr>
            <w:tcW w:w="0" w:type="auto"/>
            <w:tcBorders>
              <w:top w:val="single" w:sz="8" w:space="0" w:color="000000"/>
            </w:tcBorders>
            <w:shd w:val="clear" w:color="auto" w:fill="FFFFFF"/>
            <w:tcMar>
              <w:top w:w="40" w:type="dxa"/>
              <w:bottom w:w="40" w:type="dxa"/>
              <w:right w:w="20" w:type="dxa"/>
            </w:tcMar>
            <w:vAlign w:val="bottom"/>
          </w:tcPr>
          <w:p w14:paraId="64A8A6B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6C0"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6C1" w14:textId="77777777" w:rsidR="008D6614" w:rsidRDefault="00866AF2">
            <w:pPr>
              <w:jc w:val="right"/>
              <w:textAlignment w:val="bottom"/>
            </w:pPr>
            <w:r>
              <w:rPr>
                <w:rFonts w:ascii="Arial" w:eastAsia="宋体" w:hAnsi="Arial" w:cs="Arial"/>
                <w:color w:val="000000"/>
                <w:sz w:val="18"/>
                <w:szCs w:val="18"/>
              </w:rPr>
              <w:t>(31)</w:t>
            </w:r>
          </w:p>
        </w:tc>
        <w:tc>
          <w:tcPr>
            <w:tcW w:w="0" w:type="auto"/>
            <w:tcBorders>
              <w:top w:val="single" w:sz="8" w:space="0" w:color="000000"/>
            </w:tcBorders>
            <w:shd w:val="clear" w:color="auto" w:fill="FFFFFF"/>
            <w:tcMar>
              <w:top w:w="40" w:type="dxa"/>
              <w:bottom w:w="40" w:type="dxa"/>
              <w:right w:w="20" w:type="dxa"/>
            </w:tcMar>
            <w:vAlign w:val="bottom"/>
          </w:tcPr>
          <w:p w14:paraId="64A8A6C2"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6C3"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6C4" w14:textId="77777777" w:rsidR="008D6614" w:rsidRDefault="00866AF2">
            <w:pPr>
              <w:jc w:val="right"/>
              <w:textAlignment w:val="bottom"/>
            </w:pPr>
            <w:r>
              <w:rPr>
                <w:rFonts w:ascii="Arial" w:eastAsia="宋体" w:hAnsi="Arial" w:cs="Arial"/>
                <w:color w:val="000000"/>
                <w:sz w:val="18"/>
                <w:szCs w:val="18"/>
              </w:rPr>
              <w:t>(113)</w:t>
            </w:r>
          </w:p>
        </w:tc>
        <w:tc>
          <w:tcPr>
            <w:tcW w:w="0" w:type="auto"/>
            <w:tcBorders>
              <w:top w:val="single" w:sz="8" w:space="0" w:color="000000"/>
            </w:tcBorders>
            <w:shd w:val="clear" w:color="auto" w:fill="FFFFFF"/>
            <w:tcMar>
              <w:top w:w="40" w:type="dxa"/>
              <w:bottom w:w="40" w:type="dxa"/>
              <w:right w:w="20" w:type="dxa"/>
            </w:tcMar>
            <w:vAlign w:val="bottom"/>
          </w:tcPr>
          <w:p w14:paraId="64A8A6C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6C6"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6C7" w14:textId="77777777" w:rsidR="008D6614" w:rsidRDefault="00866AF2">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FFFFFF"/>
            <w:tcMar>
              <w:top w:w="40" w:type="dxa"/>
              <w:bottom w:w="40" w:type="dxa"/>
              <w:right w:w="20" w:type="dxa"/>
            </w:tcMar>
            <w:vAlign w:val="bottom"/>
          </w:tcPr>
          <w:p w14:paraId="64A8A6C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6C9"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6CA" w14:textId="77777777" w:rsidR="008D6614" w:rsidRDefault="00866AF2">
            <w:pPr>
              <w:jc w:val="right"/>
              <w:textAlignment w:val="bottom"/>
            </w:pPr>
            <w:r>
              <w:rPr>
                <w:rFonts w:ascii="Arial" w:eastAsia="宋体" w:hAnsi="Arial" w:cs="Arial"/>
                <w:color w:val="000000"/>
                <w:sz w:val="18"/>
                <w:szCs w:val="18"/>
              </w:rPr>
              <w:t>(99)</w:t>
            </w:r>
          </w:p>
        </w:tc>
        <w:tc>
          <w:tcPr>
            <w:tcW w:w="0" w:type="auto"/>
            <w:tcBorders>
              <w:top w:val="single" w:sz="8" w:space="0" w:color="000000"/>
            </w:tcBorders>
            <w:shd w:val="clear" w:color="auto" w:fill="FFFFFF"/>
            <w:tcMar>
              <w:top w:w="40" w:type="dxa"/>
              <w:bottom w:w="40" w:type="dxa"/>
              <w:right w:w="20" w:type="dxa"/>
            </w:tcMar>
            <w:vAlign w:val="bottom"/>
          </w:tcPr>
          <w:p w14:paraId="64A8A6CB" w14:textId="77777777" w:rsidR="008D6614" w:rsidRDefault="00866AF2">
            <w:pPr>
              <w:jc w:val="right"/>
              <w:textAlignment w:val="bottom"/>
            </w:pPr>
            <w:r>
              <w:rPr>
                <w:rFonts w:ascii="Arial" w:eastAsia="宋体" w:hAnsi="Arial" w:cs="Arial"/>
                <w:color w:val="000000"/>
                <w:sz w:val="18"/>
                <w:szCs w:val="18"/>
              </w:rPr>
              <w:t> </w:t>
            </w:r>
          </w:p>
        </w:tc>
      </w:tr>
      <w:tr w:rsidR="008D6614" w14:paraId="64A8A6E1" w14:textId="77777777">
        <w:tc>
          <w:tcPr>
            <w:tcW w:w="0" w:type="auto"/>
            <w:gridSpan w:val="3"/>
            <w:shd w:val="clear" w:color="auto" w:fill="E2E2E2"/>
            <w:tcMar>
              <w:top w:w="40" w:type="dxa"/>
              <w:left w:w="20" w:type="dxa"/>
              <w:bottom w:w="40" w:type="dxa"/>
              <w:right w:w="20" w:type="dxa"/>
            </w:tcMar>
            <w:vAlign w:val="bottom"/>
          </w:tcPr>
          <w:p w14:paraId="64A8A6CD" w14:textId="77777777" w:rsidR="008D6614" w:rsidRDefault="00866AF2">
            <w:pPr>
              <w:textAlignment w:val="bottom"/>
            </w:pPr>
            <w:r>
              <w:rPr>
                <w:rFonts w:ascii="Arial" w:eastAsia="宋体" w:hAnsi="Arial" w:cs="Arial"/>
                <w:color w:val="000000"/>
                <w:sz w:val="18"/>
                <w:szCs w:val="18"/>
              </w:rPr>
              <w:t>Balance as of March 31, 2020</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6C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6CF" w14:textId="77777777" w:rsidR="008D6614" w:rsidRDefault="00866AF2">
            <w:pPr>
              <w:jc w:val="right"/>
              <w:textAlignment w:val="bottom"/>
            </w:pPr>
            <w:r>
              <w:rPr>
                <w:rFonts w:ascii="Arial" w:eastAsia="宋体" w:hAnsi="Arial" w:cs="Arial"/>
                <w:color w:val="000000"/>
                <w:sz w:val="18"/>
                <w:szCs w:val="18"/>
              </w:rPr>
              <w:t>38 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6D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D1"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6D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6D3" w14:textId="77777777" w:rsidR="008D6614" w:rsidRDefault="00866AF2">
            <w:pPr>
              <w:jc w:val="right"/>
              <w:textAlignment w:val="bottom"/>
            </w:pPr>
            <w:r>
              <w:rPr>
                <w:rFonts w:ascii="Arial" w:eastAsia="宋体" w:hAnsi="Arial" w:cs="Arial"/>
                <w:color w:val="000000"/>
                <w:sz w:val="18"/>
                <w:szCs w:val="18"/>
              </w:rPr>
              <w:t>(26)</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6D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D5"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6D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6D7" w14:textId="77777777" w:rsidR="008D6614" w:rsidRDefault="00866AF2">
            <w:pPr>
              <w:jc w:val="right"/>
              <w:textAlignment w:val="bottom"/>
            </w:pPr>
            <w:r>
              <w:rPr>
                <w:rFonts w:ascii="Arial" w:eastAsia="宋体" w:hAnsi="Arial" w:cs="Arial"/>
                <w:color w:val="000000"/>
                <w:sz w:val="18"/>
                <w:szCs w:val="18"/>
              </w:rPr>
              <w:t>250 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6D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D9"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6D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6DB" w14:textId="77777777" w:rsidR="008D6614" w:rsidRDefault="00866AF2">
            <w:pPr>
              <w:jc w:val="right"/>
              <w:textAlignment w:val="bottom"/>
            </w:pPr>
            <w:r>
              <w:rPr>
                <w:rFonts w:ascii="Arial" w:eastAsia="宋体" w:hAnsi="Arial" w:cs="Arial"/>
                <w:color w:val="000000"/>
                <w:sz w:val="18"/>
                <w:szCs w:val="18"/>
              </w:rPr>
              <w:t>23 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6D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6DD"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6D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6DF" w14:textId="77777777" w:rsidR="008D6614" w:rsidRDefault="00866AF2">
            <w:pPr>
              <w:jc w:val="right"/>
              <w:textAlignment w:val="bottom"/>
            </w:pPr>
            <w:r>
              <w:rPr>
                <w:rFonts w:ascii="Arial" w:eastAsia="宋体" w:hAnsi="Arial" w:cs="Arial"/>
                <w:color w:val="000000"/>
                <w:sz w:val="18"/>
                <w:szCs w:val="18"/>
              </w:rPr>
              <w:t>285 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6E0" w14:textId="77777777" w:rsidR="008D6614" w:rsidRDefault="00866AF2">
            <w:pPr>
              <w:jc w:val="right"/>
              <w:textAlignment w:val="bottom"/>
            </w:pPr>
            <w:r>
              <w:rPr>
                <w:rFonts w:ascii="Arial" w:eastAsia="宋体" w:hAnsi="Arial" w:cs="Arial"/>
                <w:color w:val="000000"/>
                <w:sz w:val="18"/>
                <w:szCs w:val="18"/>
              </w:rPr>
              <w:t> </w:t>
            </w:r>
          </w:p>
        </w:tc>
      </w:tr>
    </w:tbl>
    <w:p w14:paraId="64A8A6E2" w14:textId="77777777" w:rsidR="008D6614" w:rsidRDefault="008D6614"/>
    <w:tbl>
      <w:tblPr>
        <w:tblW w:w="4993" w:type="pct"/>
        <w:jc w:val="center"/>
        <w:tblCellMar>
          <w:top w:w="15" w:type="dxa"/>
          <w:left w:w="15" w:type="dxa"/>
          <w:bottom w:w="15" w:type="dxa"/>
          <w:right w:w="15" w:type="dxa"/>
        </w:tblCellMar>
        <w:tblLook w:val="04A0" w:firstRow="1" w:lastRow="0" w:firstColumn="1" w:lastColumn="0" w:noHBand="0" w:noVBand="1"/>
      </w:tblPr>
      <w:tblGrid>
        <w:gridCol w:w="42"/>
        <w:gridCol w:w="2852"/>
        <w:gridCol w:w="42"/>
        <w:gridCol w:w="137"/>
        <w:gridCol w:w="876"/>
        <w:gridCol w:w="86"/>
        <w:gridCol w:w="36"/>
        <w:gridCol w:w="36"/>
        <w:gridCol w:w="36"/>
        <w:gridCol w:w="137"/>
        <w:gridCol w:w="821"/>
        <w:gridCol w:w="86"/>
        <w:gridCol w:w="36"/>
        <w:gridCol w:w="36"/>
        <w:gridCol w:w="36"/>
        <w:gridCol w:w="137"/>
        <w:gridCol w:w="740"/>
        <w:gridCol w:w="86"/>
        <w:gridCol w:w="36"/>
        <w:gridCol w:w="36"/>
        <w:gridCol w:w="36"/>
        <w:gridCol w:w="137"/>
        <w:gridCol w:w="709"/>
        <w:gridCol w:w="86"/>
        <w:gridCol w:w="36"/>
        <w:gridCol w:w="36"/>
        <w:gridCol w:w="36"/>
        <w:gridCol w:w="136"/>
        <w:gridCol w:w="696"/>
        <w:gridCol w:w="86"/>
      </w:tblGrid>
      <w:tr w:rsidR="008D6614" w14:paraId="64A8A701" w14:textId="77777777">
        <w:trPr>
          <w:jc w:val="center"/>
        </w:trPr>
        <w:tc>
          <w:tcPr>
            <w:tcW w:w="50" w:type="pct"/>
            <w:shd w:val="clear" w:color="auto" w:fill="auto"/>
            <w:vAlign w:val="center"/>
          </w:tcPr>
          <w:p w14:paraId="64A8A6E3" w14:textId="77777777" w:rsidR="008D6614" w:rsidRDefault="008D6614">
            <w:pPr>
              <w:rPr>
                <w:rFonts w:ascii="宋体"/>
              </w:rPr>
            </w:pPr>
          </w:p>
        </w:tc>
        <w:tc>
          <w:tcPr>
            <w:tcW w:w="1737" w:type="pct"/>
            <w:shd w:val="clear" w:color="auto" w:fill="auto"/>
            <w:vAlign w:val="center"/>
          </w:tcPr>
          <w:p w14:paraId="64A8A6E4" w14:textId="77777777" w:rsidR="008D6614" w:rsidRDefault="008D6614">
            <w:pPr>
              <w:rPr>
                <w:rFonts w:ascii="宋体"/>
              </w:rPr>
            </w:pPr>
          </w:p>
        </w:tc>
        <w:tc>
          <w:tcPr>
            <w:tcW w:w="50" w:type="pct"/>
            <w:shd w:val="clear" w:color="auto" w:fill="auto"/>
            <w:vAlign w:val="center"/>
          </w:tcPr>
          <w:p w14:paraId="64A8A6E5" w14:textId="77777777" w:rsidR="008D6614" w:rsidRDefault="008D6614">
            <w:pPr>
              <w:rPr>
                <w:rFonts w:ascii="宋体"/>
              </w:rPr>
            </w:pPr>
          </w:p>
        </w:tc>
        <w:tc>
          <w:tcPr>
            <w:tcW w:w="50" w:type="pct"/>
            <w:shd w:val="clear" w:color="auto" w:fill="auto"/>
            <w:vAlign w:val="center"/>
          </w:tcPr>
          <w:p w14:paraId="64A8A6E6" w14:textId="77777777" w:rsidR="008D6614" w:rsidRDefault="008D6614">
            <w:pPr>
              <w:rPr>
                <w:rFonts w:ascii="宋体"/>
              </w:rPr>
            </w:pPr>
          </w:p>
        </w:tc>
        <w:tc>
          <w:tcPr>
            <w:tcW w:w="551" w:type="pct"/>
            <w:shd w:val="clear" w:color="auto" w:fill="auto"/>
            <w:vAlign w:val="center"/>
          </w:tcPr>
          <w:p w14:paraId="64A8A6E7" w14:textId="77777777" w:rsidR="008D6614" w:rsidRDefault="008D6614">
            <w:pPr>
              <w:rPr>
                <w:rFonts w:ascii="宋体"/>
              </w:rPr>
            </w:pPr>
          </w:p>
        </w:tc>
        <w:tc>
          <w:tcPr>
            <w:tcW w:w="50" w:type="pct"/>
            <w:shd w:val="clear" w:color="auto" w:fill="auto"/>
            <w:vAlign w:val="center"/>
          </w:tcPr>
          <w:p w14:paraId="64A8A6E8" w14:textId="77777777" w:rsidR="008D6614" w:rsidRDefault="008D6614">
            <w:pPr>
              <w:rPr>
                <w:rFonts w:ascii="宋体"/>
              </w:rPr>
            </w:pPr>
          </w:p>
        </w:tc>
        <w:tc>
          <w:tcPr>
            <w:tcW w:w="5" w:type="pct"/>
            <w:shd w:val="clear" w:color="auto" w:fill="auto"/>
            <w:vAlign w:val="center"/>
          </w:tcPr>
          <w:p w14:paraId="64A8A6E9" w14:textId="77777777" w:rsidR="008D6614" w:rsidRDefault="008D6614">
            <w:pPr>
              <w:rPr>
                <w:rFonts w:ascii="宋体"/>
              </w:rPr>
            </w:pPr>
          </w:p>
        </w:tc>
        <w:tc>
          <w:tcPr>
            <w:tcW w:w="26" w:type="pct"/>
            <w:shd w:val="clear" w:color="auto" w:fill="auto"/>
            <w:vAlign w:val="center"/>
          </w:tcPr>
          <w:p w14:paraId="64A8A6EA" w14:textId="77777777" w:rsidR="008D6614" w:rsidRDefault="008D6614">
            <w:pPr>
              <w:rPr>
                <w:rFonts w:ascii="宋体"/>
              </w:rPr>
            </w:pPr>
          </w:p>
        </w:tc>
        <w:tc>
          <w:tcPr>
            <w:tcW w:w="5" w:type="pct"/>
            <w:shd w:val="clear" w:color="auto" w:fill="auto"/>
            <w:vAlign w:val="center"/>
          </w:tcPr>
          <w:p w14:paraId="64A8A6EB" w14:textId="77777777" w:rsidR="008D6614" w:rsidRDefault="008D6614">
            <w:pPr>
              <w:rPr>
                <w:rFonts w:ascii="宋体"/>
              </w:rPr>
            </w:pPr>
          </w:p>
        </w:tc>
        <w:tc>
          <w:tcPr>
            <w:tcW w:w="50" w:type="pct"/>
            <w:shd w:val="clear" w:color="auto" w:fill="auto"/>
            <w:vAlign w:val="center"/>
          </w:tcPr>
          <w:p w14:paraId="64A8A6EC" w14:textId="77777777" w:rsidR="008D6614" w:rsidRDefault="008D6614">
            <w:pPr>
              <w:rPr>
                <w:rFonts w:ascii="宋体"/>
              </w:rPr>
            </w:pPr>
          </w:p>
        </w:tc>
        <w:tc>
          <w:tcPr>
            <w:tcW w:w="536" w:type="pct"/>
            <w:shd w:val="clear" w:color="auto" w:fill="auto"/>
            <w:vAlign w:val="center"/>
          </w:tcPr>
          <w:p w14:paraId="64A8A6ED" w14:textId="77777777" w:rsidR="008D6614" w:rsidRDefault="008D6614">
            <w:pPr>
              <w:rPr>
                <w:rFonts w:ascii="宋体"/>
              </w:rPr>
            </w:pPr>
          </w:p>
        </w:tc>
        <w:tc>
          <w:tcPr>
            <w:tcW w:w="50" w:type="pct"/>
            <w:shd w:val="clear" w:color="auto" w:fill="auto"/>
            <w:vAlign w:val="center"/>
          </w:tcPr>
          <w:p w14:paraId="64A8A6EE" w14:textId="77777777" w:rsidR="008D6614" w:rsidRDefault="008D6614">
            <w:pPr>
              <w:rPr>
                <w:rFonts w:ascii="宋体"/>
              </w:rPr>
            </w:pPr>
          </w:p>
        </w:tc>
        <w:tc>
          <w:tcPr>
            <w:tcW w:w="5" w:type="pct"/>
            <w:shd w:val="clear" w:color="auto" w:fill="auto"/>
            <w:vAlign w:val="center"/>
          </w:tcPr>
          <w:p w14:paraId="64A8A6EF" w14:textId="77777777" w:rsidR="008D6614" w:rsidRDefault="008D6614">
            <w:pPr>
              <w:rPr>
                <w:rFonts w:ascii="宋体"/>
              </w:rPr>
            </w:pPr>
          </w:p>
        </w:tc>
        <w:tc>
          <w:tcPr>
            <w:tcW w:w="26" w:type="pct"/>
            <w:shd w:val="clear" w:color="auto" w:fill="auto"/>
            <w:vAlign w:val="center"/>
          </w:tcPr>
          <w:p w14:paraId="64A8A6F0" w14:textId="77777777" w:rsidR="008D6614" w:rsidRDefault="008D6614">
            <w:pPr>
              <w:rPr>
                <w:rFonts w:ascii="宋体"/>
              </w:rPr>
            </w:pPr>
          </w:p>
        </w:tc>
        <w:tc>
          <w:tcPr>
            <w:tcW w:w="5" w:type="pct"/>
            <w:shd w:val="clear" w:color="auto" w:fill="auto"/>
            <w:vAlign w:val="center"/>
          </w:tcPr>
          <w:p w14:paraId="64A8A6F1" w14:textId="77777777" w:rsidR="008D6614" w:rsidRDefault="008D6614">
            <w:pPr>
              <w:rPr>
                <w:rFonts w:ascii="宋体"/>
              </w:rPr>
            </w:pPr>
          </w:p>
        </w:tc>
        <w:tc>
          <w:tcPr>
            <w:tcW w:w="50" w:type="pct"/>
            <w:shd w:val="clear" w:color="auto" w:fill="auto"/>
            <w:vAlign w:val="center"/>
          </w:tcPr>
          <w:p w14:paraId="64A8A6F2" w14:textId="77777777" w:rsidR="008D6614" w:rsidRDefault="008D6614">
            <w:pPr>
              <w:rPr>
                <w:rFonts w:ascii="宋体"/>
              </w:rPr>
            </w:pPr>
          </w:p>
        </w:tc>
        <w:tc>
          <w:tcPr>
            <w:tcW w:w="456" w:type="pct"/>
            <w:shd w:val="clear" w:color="auto" w:fill="auto"/>
            <w:vAlign w:val="center"/>
          </w:tcPr>
          <w:p w14:paraId="64A8A6F3" w14:textId="77777777" w:rsidR="008D6614" w:rsidRDefault="008D6614">
            <w:pPr>
              <w:rPr>
                <w:rFonts w:ascii="宋体"/>
              </w:rPr>
            </w:pPr>
          </w:p>
        </w:tc>
        <w:tc>
          <w:tcPr>
            <w:tcW w:w="50" w:type="pct"/>
            <w:shd w:val="clear" w:color="auto" w:fill="auto"/>
            <w:vAlign w:val="center"/>
          </w:tcPr>
          <w:p w14:paraId="64A8A6F4" w14:textId="77777777" w:rsidR="008D6614" w:rsidRDefault="008D6614">
            <w:pPr>
              <w:rPr>
                <w:rFonts w:ascii="宋体"/>
              </w:rPr>
            </w:pPr>
          </w:p>
        </w:tc>
        <w:tc>
          <w:tcPr>
            <w:tcW w:w="5" w:type="pct"/>
            <w:shd w:val="clear" w:color="auto" w:fill="auto"/>
            <w:vAlign w:val="center"/>
          </w:tcPr>
          <w:p w14:paraId="64A8A6F5" w14:textId="77777777" w:rsidR="008D6614" w:rsidRDefault="008D6614">
            <w:pPr>
              <w:rPr>
                <w:rFonts w:ascii="宋体"/>
              </w:rPr>
            </w:pPr>
          </w:p>
        </w:tc>
        <w:tc>
          <w:tcPr>
            <w:tcW w:w="26" w:type="pct"/>
            <w:shd w:val="clear" w:color="auto" w:fill="auto"/>
            <w:vAlign w:val="center"/>
          </w:tcPr>
          <w:p w14:paraId="64A8A6F6" w14:textId="77777777" w:rsidR="008D6614" w:rsidRDefault="008D6614">
            <w:pPr>
              <w:rPr>
                <w:rFonts w:ascii="宋体"/>
              </w:rPr>
            </w:pPr>
          </w:p>
        </w:tc>
        <w:tc>
          <w:tcPr>
            <w:tcW w:w="5" w:type="pct"/>
            <w:shd w:val="clear" w:color="auto" w:fill="auto"/>
            <w:vAlign w:val="center"/>
          </w:tcPr>
          <w:p w14:paraId="64A8A6F7" w14:textId="77777777" w:rsidR="008D6614" w:rsidRDefault="008D6614">
            <w:pPr>
              <w:rPr>
                <w:rFonts w:ascii="宋体"/>
              </w:rPr>
            </w:pPr>
          </w:p>
        </w:tc>
        <w:tc>
          <w:tcPr>
            <w:tcW w:w="50" w:type="pct"/>
            <w:shd w:val="clear" w:color="auto" w:fill="auto"/>
            <w:vAlign w:val="center"/>
          </w:tcPr>
          <w:p w14:paraId="64A8A6F8" w14:textId="77777777" w:rsidR="008D6614" w:rsidRDefault="008D6614">
            <w:pPr>
              <w:rPr>
                <w:rFonts w:ascii="宋体"/>
              </w:rPr>
            </w:pPr>
          </w:p>
        </w:tc>
        <w:tc>
          <w:tcPr>
            <w:tcW w:w="507" w:type="pct"/>
            <w:shd w:val="clear" w:color="auto" w:fill="auto"/>
            <w:vAlign w:val="center"/>
          </w:tcPr>
          <w:p w14:paraId="64A8A6F9" w14:textId="77777777" w:rsidR="008D6614" w:rsidRDefault="008D6614">
            <w:pPr>
              <w:rPr>
                <w:rFonts w:ascii="宋体"/>
              </w:rPr>
            </w:pPr>
          </w:p>
        </w:tc>
        <w:tc>
          <w:tcPr>
            <w:tcW w:w="50" w:type="pct"/>
            <w:shd w:val="clear" w:color="auto" w:fill="auto"/>
            <w:vAlign w:val="center"/>
          </w:tcPr>
          <w:p w14:paraId="64A8A6FA" w14:textId="77777777" w:rsidR="008D6614" w:rsidRDefault="008D6614">
            <w:pPr>
              <w:rPr>
                <w:rFonts w:ascii="宋体"/>
              </w:rPr>
            </w:pPr>
          </w:p>
        </w:tc>
        <w:tc>
          <w:tcPr>
            <w:tcW w:w="5" w:type="pct"/>
            <w:shd w:val="clear" w:color="auto" w:fill="auto"/>
            <w:vAlign w:val="center"/>
          </w:tcPr>
          <w:p w14:paraId="64A8A6FB" w14:textId="77777777" w:rsidR="008D6614" w:rsidRDefault="008D6614">
            <w:pPr>
              <w:rPr>
                <w:rFonts w:ascii="宋体"/>
              </w:rPr>
            </w:pPr>
          </w:p>
        </w:tc>
        <w:tc>
          <w:tcPr>
            <w:tcW w:w="26" w:type="pct"/>
            <w:shd w:val="clear" w:color="auto" w:fill="auto"/>
            <w:vAlign w:val="center"/>
          </w:tcPr>
          <w:p w14:paraId="64A8A6FC" w14:textId="77777777" w:rsidR="008D6614" w:rsidRDefault="008D6614">
            <w:pPr>
              <w:rPr>
                <w:rFonts w:ascii="宋体"/>
              </w:rPr>
            </w:pPr>
          </w:p>
        </w:tc>
        <w:tc>
          <w:tcPr>
            <w:tcW w:w="5" w:type="pct"/>
            <w:shd w:val="clear" w:color="auto" w:fill="auto"/>
            <w:vAlign w:val="center"/>
          </w:tcPr>
          <w:p w14:paraId="64A8A6FD" w14:textId="77777777" w:rsidR="008D6614" w:rsidRDefault="008D6614">
            <w:pPr>
              <w:rPr>
                <w:rFonts w:ascii="宋体"/>
              </w:rPr>
            </w:pPr>
          </w:p>
        </w:tc>
        <w:tc>
          <w:tcPr>
            <w:tcW w:w="50" w:type="pct"/>
            <w:shd w:val="clear" w:color="auto" w:fill="auto"/>
            <w:vAlign w:val="center"/>
          </w:tcPr>
          <w:p w14:paraId="64A8A6FE" w14:textId="77777777" w:rsidR="008D6614" w:rsidRDefault="008D6614">
            <w:pPr>
              <w:rPr>
                <w:rFonts w:ascii="宋体"/>
              </w:rPr>
            </w:pPr>
          </w:p>
        </w:tc>
        <w:tc>
          <w:tcPr>
            <w:tcW w:w="463" w:type="pct"/>
            <w:shd w:val="clear" w:color="auto" w:fill="auto"/>
            <w:vAlign w:val="center"/>
          </w:tcPr>
          <w:p w14:paraId="64A8A6FF" w14:textId="77777777" w:rsidR="008D6614" w:rsidRDefault="008D6614">
            <w:pPr>
              <w:rPr>
                <w:rFonts w:ascii="宋体"/>
              </w:rPr>
            </w:pPr>
          </w:p>
        </w:tc>
        <w:tc>
          <w:tcPr>
            <w:tcW w:w="50" w:type="pct"/>
            <w:shd w:val="clear" w:color="auto" w:fill="auto"/>
            <w:vAlign w:val="center"/>
          </w:tcPr>
          <w:p w14:paraId="64A8A700" w14:textId="77777777" w:rsidR="008D6614" w:rsidRDefault="008D6614">
            <w:pPr>
              <w:rPr>
                <w:rFonts w:ascii="宋体"/>
              </w:rPr>
            </w:pPr>
          </w:p>
        </w:tc>
      </w:tr>
      <w:tr w:rsidR="008D6614" w14:paraId="64A8A70C" w14:textId="77777777">
        <w:trPr>
          <w:jc w:val="center"/>
        </w:trPr>
        <w:tc>
          <w:tcPr>
            <w:tcW w:w="0" w:type="auto"/>
            <w:gridSpan w:val="3"/>
            <w:shd w:val="clear" w:color="auto" w:fill="auto"/>
            <w:tcMar>
              <w:left w:w="20" w:type="dxa"/>
              <w:right w:w="20" w:type="dxa"/>
            </w:tcMar>
            <w:vAlign w:val="bottom"/>
          </w:tcPr>
          <w:p w14:paraId="64A8A702"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703" w14:textId="77777777" w:rsidR="008D6614" w:rsidRDefault="00866AF2">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left w:w="20" w:type="dxa"/>
              <w:right w:w="20" w:type="dxa"/>
            </w:tcMar>
            <w:vAlign w:val="bottom"/>
          </w:tcPr>
          <w:p w14:paraId="64A8A704"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705" w14:textId="77777777" w:rsidR="008D6614" w:rsidRDefault="00866AF2">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left w:w="20" w:type="dxa"/>
              <w:right w:w="20" w:type="dxa"/>
            </w:tcMar>
            <w:vAlign w:val="bottom"/>
          </w:tcPr>
          <w:p w14:paraId="64A8A706"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707" w14:textId="77777777" w:rsidR="008D6614" w:rsidRDefault="00866AF2">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left w:w="20" w:type="dxa"/>
              <w:right w:w="20" w:type="dxa"/>
            </w:tcMar>
            <w:vAlign w:val="bottom"/>
          </w:tcPr>
          <w:p w14:paraId="64A8A708"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709" w14:textId="77777777" w:rsidR="008D6614" w:rsidRDefault="00866AF2">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left w:w="20" w:type="dxa"/>
              <w:right w:w="20" w:type="dxa"/>
            </w:tcMar>
            <w:vAlign w:val="bottom"/>
          </w:tcPr>
          <w:p w14:paraId="64A8A70A"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70B" w14:textId="77777777" w:rsidR="008D6614" w:rsidRDefault="00866AF2">
            <w:pPr>
              <w:jc w:val="center"/>
              <w:textAlignment w:val="bottom"/>
            </w:pPr>
            <w:r>
              <w:rPr>
                <w:rFonts w:ascii="Arial" w:eastAsia="宋体" w:hAnsi="Arial" w:cs="Arial"/>
                <w:b/>
                <w:bCs/>
                <w:color w:val="000000"/>
                <w:sz w:val="16"/>
                <w:szCs w:val="16"/>
              </w:rPr>
              <w:t>Total</w:t>
            </w:r>
          </w:p>
        </w:tc>
      </w:tr>
      <w:tr w:rsidR="008D6614" w14:paraId="64A8A721" w14:textId="77777777">
        <w:trPr>
          <w:jc w:val="center"/>
        </w:trPr>
        <w:tc>
          <w:tcPr>
            <w:tcW w:w="0" w:type="auto"/>
            <w:gridSpan w:val="3"/>
            <w:shd w:val="clear" w:color="auto" w:fill="E2E2E2"/>
            <w:tcMar>
              <w:top w:w="40" w:type="dxa"/>
              <w:left w:w="20" w:type="dxa"/>
              <w:bottom w:w="40" w:type="dxa"/>
              <w:right w:w="20" w:type="dxa"/>
            </w:tcMar>
            <w:vAlign w:val="bottom"/>
          </w:tcPr>
          <w:p w14:paraId="64A8A70D" w14:textId="77777777" w:rsidR="008D6614" w:rsidRDefault="00866AF2">
            <w:pPr>
              <w:textAlignment w:val="bottom"/>
            </w:pPr>
            <w:r>
              <w:rPr>
                <w:rFonts w:ascii="Arial" w:eastAsia="宋体" w:hAnsi="Arial" w:cs="Arial"/>
                <w:color w:val="000000"/>
                <w:sz w:val="18"/>
                <w:szCs w:val="18"/>
              </w:rPr>
              <w:t>Balance as of December 31, 2018</w:t>
            </w:r>
          </w:p>
        </w:tc>
        <w:tc>
          <w:tcPr>
            <w:tcW w:w="0" w:type="auto"/>
            <w:tcBorders>
              <w:top w:val="single" w:sz="8" w:space="0" w:color="000000"/>
            </w:tcBorders>
            <w:shd w:val="clear" w:color="auto" w:fill="E2E2E2"/>
            <w:tcMar>
              <w:top w:w="40" w:type="dxa"/>
              <w:left w:w="20" w:type="dxa"/>
              <w:bottom w:w="40" w:type="dxa"/>
            </w:tcMar>
            <w:vAlign w:val="bottom"/>
          </w:tcPr>
          <w:p w14:paraId="64A8A70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70F" w14:textId="77777777" w:rsidR="008D6614" w:rsidRDefault="00866AF2">
            <w:pPr>
              <w:jc w:val="right"/>
              <w:textAlignment w:val="bottom"/>
            </w:pPr>
            <w:r>
              <w:rPr>
                <w:rFonts w:ascii="Arial" w:eastAsia="宋体" w:hAnsi="Arial" w:cs="Arial"/>
                <w:color w:val="000000"/>
                <w:sz w:val="18"/>
                <w:szCs w:val="18"/>
              </w:rPr>
              <w:t>68 </w:t>
            </w:r>
          </w:p>
        </w:tc>
        <w:tc>
          <w:tcPr>
            <w:tcW w:w="0" w:type="auto"/>
            <w:tcBorders>
              <w:top w:val="single" w:sz="8" w:space="0" w:color="000000"/>
            </w:tcBorders>
            <w:shd w:val="clear" w:color="auto" w:fill="E2E2E2"/>
            <w:tcMar>
              <w:top w:w="40" w:type="dxa"/>
              <w:bottom w:w="40" w:type="dxa"/>
              <w:right w:w="20" w:type="dxa"/>
            </w:tcMar>
            <w:vAlign w:val="bottom"/>
          </w:tcPr>
          <w:p w14:paraId="64A8A710"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11"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71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713" w14:textId="77777777" w:rsidR="008D6614" w:rsidRDefault="00866AF2">
            <w:pPr>
              <w:jc w:val="right"/>
              <w:textAlignment w:val="bottom"/>
            </w:pPr>
            <w:r>
              <w:rPr>
                <w:rFonts w:ascii="Arial" w:eastAsia="宋体" w:hAnsi="Arial" w:cs="Arial"/>
                <w:color w:val="000000"/>
                <w:sz w:val="18"/>
                <w:szCs w:val="18"/>
              </w:rPr>
              <w:t>(56)</w:t>
            </w:r>
          </w:p>
        </w:tc>
        <w:tc>
          <w:tcPr>
            <w:tcW w:w="0" w:type="auto"/>
            <w:tcBorders>
              <w:top w:val="single" w:sz="8" w:space="0" w:color="000000"/>
            </w:tcBorders>
            <w:shd w:val="clear" w:color="auto" w:fill="E2E2E2"/>
            <w:tcMar>
              <w:top w:w="40" w:type="dxa"/>
              <w:bottom w:w="40" w:type="dxa"/>
              <w:right w:w="20" w:type="dxa"/>
            </w:tcMar>
            <w:vAlign w:val="bottom"/>
          </w:tcPr>
          <w:p w14:paraId="64A8A71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15"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71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717" w14:textId="77777777" w:rsidR="008D6614" w:rsidRDefault="00866AF2">
            <w:pPr>
              <w:jc w:val="right"/>
              <w:textAlignment w:val="bottom"/>
            </w:pPr>
            <w:r>
              <w:rPr>
                <w:rFonts w:ascii="Arial" w:eastAsia="宋体" w:hAnsi="Arial" w:cs="Arial"/>
                <w:color w:val="000000"/>
                <w:sz w:val="18"/>
                <w:szCs w:val="18"/>
              </w:rPr>
              <w:t>462 </w:t>
            </w:r>
          </w:p>
        </w:tc>
        <w:tc>
          <w:tcPr>
            <w:tcW w:w="0" w:type="auto"/>
            <w:tcBorders>
              <w:top w:val="single" w:sz="8" w:space="0" w:color="000000"/>
            </w:tcBorders>
            <w:shd w:val="clear" w:color="auto" w:fill="E2E2E2"/>
            <w:tcMar>
              <w:top w:w="40" w:type="dxa"/>
              <w:bottom w:w="40" w:type="dxa"/>
              <w:right w:w="20" w:type="dxa"/>
            </w:tcMar>
            <w:vAlign w:val="bottom"/>
          </w:tcPr>
          <w:p w14:paraId="64A8A71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19"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71A"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71B" w14:textId="77777777" w:rsidR="008D6614" w:rsidRDefault="00866AF2">
            <w:pPr>
              <w:jc w:val="right"/>
              <w:textAlignment w:val="bottom"/>
            </w:pPr>
            <w:r>
              <w:rPr>
                <w:rFonts w:ascii="Arial" w:eastAsia="宋体" w:hAnsi="Arial" w:cs="Arial"/>
                <w:color w:val="000000"/>
                <w:sz w:val="18"/>
                <w:szCs w:val="18"/>
              </w:rPr>
              <w:t>24 </w:t>
            </w:r>
          </w:p>
        </w:tc>
        <w:tc>
          <w:tcPr>
            <w:tcW w:w="0" w:type="auto"/>
            <w:tcBorders>
              <w:top w:val="single" w:sz="8" w:space="0" w:color="000000"/>
            </w:tcBorders>
            <w:shd w:val="clear" w:color="auto" w:fill="E2E2E2"/>
            <w:tcMar>
              <w:top w:w="40" w:type="dxa"/>
              <w:bottom w:w="40" w:type="dxa"/>
              <w:right w:w="20" w:type="dxa"/>
            </w:tcMar>
            <w:vAlign w:val="bottom"/>
          </w:tcPr>
          <w:p w14:paraId="64A8A71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1D"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71E"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71F" w14:textId="77777777" w:rsidR="008D6614" w:rsidRDefault="00866AF2">
            <w:pPr>
              <w:jc w:val="right"/>
              <w:textAlignment w:val="bottom"/>
            </w:pPr>
            <w:r>
              <w:rPr>
                <w:rFonts w:ascii="Arial" w:eastAsia="宋体" w:hAnsi="Arial" w:cs="Arial"/>
                <w:color w:val="000000"/>
                <w:sz w:val="18"/>
                <w:szCs w:val="18"/>
              </w:rPr>
              <w:t>498 </w:t>
            </w:r>
          </w:p>
        </w:tc>
        <w:tc>
          <w:tcPr>
            <w:tcW w:w="0" w:type="auto"/>
            <w:tcBorders>
              <w:top w:val="single" w:sz="8" w:space="0" w:color="000000"/>
            </w:tcBorders>
            <w:shd w:val="clear" w:color="auto" w:fill="E2E2E2"/>
            <w:tcMar>
              <w:top w:w="40" w:type="dxa"/>
              <w:bottom w:w="40" w:type="dxa"/>
              <w:right w:w="20" w:type="dxa"/>
            </w:tcMar>
            <w:vAlign w:val="bottom"/>
          </w:tcPr>
          <w:p w14:paraId="64A8A720" w14:textId="77777777" w:rsidR="008D6614" w:rsidRDefault="00866AF2">
            <w:pPr>
              <w:jc w:val="right"/>
              <w:textAlignment w:val="bottom"/>
            </w:pPr>
            <w:r>
              <w:rPr>
                <w:rFonts w:ascii="Arial" w:eastAsia="宋体" w:hAnsi="Arial" w:cs="Arial"/>
                <w:color w:val="000000"/>
                <w:sz w:val="18"/>
                <w:szCs w:val="18"/>
              </w:rPr>
              <w:t> </w:t>
            </w:r>
          </w:p>
        </w:tc>
      </w:tr>
      <w:tr w:rsidR="008D6614" w14:paraId="64A8A731" w14:textId="77777777">
        <w:trPr>
          <w:jc w:val="center"/>
        </w:trPr>
        <w:tc>
          <w:tcPr>
            <w:tcW w:w="0" w:type="auto"/>
            <w:gridSpan w:val="3"/>
            <w:shd w:val="clear" w:color="auto" w:fill="FFFFFF"/>
            <w:tcMar>
              <w:top w:w="40" w:type="dxa"/>
              <w:left w:w="225" w:type="dxa"/>
              <w:bottom w:w="40" w:type="dxa"/>
              <w:right w:w="20" w:type="dxa"/>
            </w:tcMar>
            <w:vAlign w:val="bottom"/>
          </w:tcPr>
          <w:p w14:paraId="64A8A722" w14:textId="77777777" w:rsidR="008D6614" w:rsidRDefault="00866AF2">
            <w:pPr>
              <w:textAlignment w:val="bottom"/>
            </w:pPr>
            <w:r>
              <w:rPr>
                <w:rFonts w:ascii="Arial" w:eastAsia="宋体" w:hAnsi="Arial" w:cs="Arial"/>
                <w:color w:val="000000"/>
                <w:sz w:val="18"/>
                <w:szCs w:val="18"/>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64A8A723" w14:textId="77777777" w:rsidR="008D6614" w:rsidRDefault="00866AF2">
            <w:pPr>
              <w:jc w:val="right"/>
              <w:textAlignment w:val="bottom"/>
            </w:pPr>
            <w:r>
              <w:rPr>
                <w:rFonts w:ascii="Arial" w:eastAsia="宋体" w:hAnsi="Arial" w:cs="Arial"/>
                <w:color w:val="000000"/>
                <w:sz w:val="18"/>
                <w:szCs w:val="18"/>
              </w:rPr>
              <w:t>(21)</w:t>
            </w:r>
          </w:p>
        </w:tc>
        <w:tc>
          <w:tcPr>
            <w:tcW w:w="0" w:type="auto"/>
            <w:shd w:val="clear" w:color="auto" w:fill="FFFFFF"/>
            <w:tcMar>
              <w:top w:w="40" w:type="dxa"/>
              <w:bottom w:w="40" w:type="dxa"/>
              <w:right w:w="20" w:type="dxa"/>
            </w:tcMar>
            <w:vAlign w:val="bottom"/>
          </w:tcPr>
          <w:p w14:paraId="64A8A72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725"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726" w14:textId="77777777" w:rsidR="008D6614" w:rsidRDefault="00866AF2">
            <w:pPr>
              <w:jc w:val="right"/>
              <w:textAlignment w:val="bottom"/>
            </w:pPr>
            <w:r>
              <w:rPr>
                <w:rFonts w:ascii="Arial" w:eastAsia="宋体" w:hAnsi="Arial" w:cs="Arial"/>
                <w:color w:val="000000"/>
                <w:sz w:val="18"/>
                <w:szCs w:val="18"/>
              </w:rPr>
              <w:t>40 </w:t>
            </w:r>
          </w:p>
        </w:tc>
        <w:tc>
          <w:tcPr>
            <w:tcW w:w="0" w:type="auto"/>
            <w:shd w:val="clear" w:color="auto" w:fill="FFFFFF"/>
            <w:tcMar>
              <w:top w:w="40" w:type="dxa"/>
              <w:bottom w:w="40" w:type="dxa"/>
              <w:right w:w="20" w:type="dxa"/>
            </w:tcMar>
            <w:vAlign w:val="bottom"/>
          </w:tcPr>
          <w:p w14:paraId="64A8A72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728"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729" w14:textId="77777777" w:rsidR="008D6614" w:rsidRDefault="00866AF2">
            <w:pPr>
              <w:jc w:val="right"/>
              <w:textAlignment w:val="bottom"/>
            </w:pPr>
            <w:r>
              <w:rPr>
                <w:rFonts w:ascii="Arial" w:eastAsia="宋体" w:hAnsi="Arial" w:cs="Arial"/>
                <w:color w:val="000000"/>
                <w:sz w:val="18"/>
                <w:szCs w:val="18"/>
              </w:rPr>
              <w:t>(32)</w:t>
            </w:r>
          </w:p>
        </w:tc>
        <w:tc>
          <w:tcPr>
            <w:tcW w:w="0" w:type="auto"/>
            <w:shd w:val="clear" w:color="auto" w:fill="FFFFFF"/>
            <w:tcMar>
              <w:top w:w="40" w:type="dxa"/>
              <w:bottom w:w="40" w:type="dxa"/>
              <w:right w:w="20" w:type="dxa"/>
            </w:tcMar>
            <w:vAlign w:val="bottom"/>
          </w:tcPr>
          <w:p w14:paraId="64A8A72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72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72C" w14:textId="77777777" w:rsidR="008D6614" w:rsidRDefault="00866AF2">
            <w:pPr>
              <w:jc w:val="right"/>
              <w:textAlignment w:val="bottom"/>
            </w:pPr>
            <w:r>
              <w:rPr>
                <w:rFonts w:ascii="Arial" w:eastAsia="宋体" w:hAnsi="Arial" w:cs="Arial"/>
                <w:color w:val="000000"/>
                <w:sz w:val="18"/>
                <w:szCs w:val="18"/>
              </w:rPr>
              <w:t>(5)</w:t>
            </w:r>
          </w:p>
        </w:tc>
        <w:tc>
          <w:tcPr>
            <w:tcW w:w="0" w:type="auto"/>
            <w:shd w:val="clear" w:color="auto" w:fill="FFFFFF"/>
            <w:tcMar>
              <w:top w:w="40" w:type="dxa"/>
              <w:bottom w:w="40" w:type="dxa"/>
              <w:right w:w="20" w:type="dxa"/>
            </w:tcMar>
            <w:vAlign w:val="bottom"/>
          </w:tcPr>
          <w:p w14:paraId="64A8A72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72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72F" w14:textId="77777777" w:rsidR="008D6614" w:rsidRDefault="00866AF2">
            <w:pPr>
              <w:jc w:val="right"/>
              <w:textAlignment w:val="bottom"/>
            </w:pPr>
            <w:r>
              <w:rPr>
                <w:rFonts w:ascii="Arial" w:eastAsia="宋体" w:hAnsi="Arial" w:cs="Arial"/>
                <w:color w:val="000000"/>
                <w:sz w:val="18"/>
                <w:szCs w:val="18"/>
              </w:rPr>
              <w:t>(18)</w:t>
            </w:r>
          </w:p>
        </w:tc>
        <w:tc>
          <w:tcPr>
            <w:tcW w:w="0" w:type="auto"/>
            <w:shd w:val="clear" w:color="auto" w:fill="FFFFFF"/>
            <w:tcMar>
              <w:top w:w="40" w:type="dxa"/>
              <w:bottom w:w="40" w:type="dxa"/>
              <w:right w:w="20" w:type="dxa"/>
            </w:tcMar>
            <w:vAlign w:val="bottom"/>
          </w:tcPr>
          <w:p w14:paraId="64A8A730" w14:textId="77777777" w:rsidR="008D6614" w:rsidRDefault="00866AF2">
            <w:pPr>
              <w:jc w:val="right"/>
              <w:textAlignment w:val="bottom"/>
            </w:pPr>
            <w:r>
              <w:rPr>
                <w:rFonts w:ascii="Arial" w:eastAsia="宋体" w:hAnsi="Arial" w:cs="Arial"/>
                <w:color w:val="000000"/>
                <w:sz w:val="18"/>
                <w:szCs w:val="18"/>
              </w:rPr>
              <w:t> </w:t>
            </w:r>
          </w:p>
        </w:tc>
      </w:tr>
      <w:tr w:rsidR="008D6614" w14:paraId="64A8A741" w14:textId="77777777">
        <w:trPr>
          <w:jc w:val="center"/>
        </w:trPr>
        <w:tc>
          <w:tcPr>
            <w:tcW w:w="0" w:type="auto"/>
            <w:gridSpan w:val="3"/>
            <w:shd w:val="clear" w:color="auto" w:fill="E2E2E2"/>
            <w:tcMar>
              <w:top w:w="40" w:type="dxa"/>
              <w:left w:w="225" w:type="dxa"/>
              <w:bottom w:w="40" w:type="dxa"/>
              <w:right w:w="20" w:type="dxa"/>
            </w:tcMar>
            <w:vAlign w:val="bottom"/>
          </w:tcPr>
          <w:p w14:paraId="64A8A732" w14:textId="77777777" w:rsidR="008D6614" w:rsidRDefault="00866AF2">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64A8A733" w14:textId="77777777" w:rsidR="008D6614" w:rsidRDefault="00866AF2">
            <w:pPr>
              <w:jc w:val="right"/>
              <w:textAlignment w:val="bottom"/>
            </w:pPr>
            <w:r>
              <w:rPr>
                <w:rFonts w:ascii="Arial" w:eastAsia="宋体" w:hAnsi="Arial" w:cs="Arial"/>
                <w:color w:val="000000"/>
                <w:sz w:val="18"/>
                <w:szCs w:val="18"/>
              </w:rPr>
              <w:t>20 </w:t>
            </w:r>
          </w:p>
        </w:tc>
        <w:tc>
          <w:tcPr>
            <w:tcW w:w="0" w:type="auto"/>
            <w:shd w:val="clear" w:color="auto" w:fill="E2E2E2"/>
            <w:tcMar>
              <w:top w:w="40" w:type="dxa"/>
              <w:bottom w:w="40" w:type="dxa"/>
              <w:right w:w="20" w:type="dxa"/>
            </w:tcMar>
            <w:vAlign w:val="bottom"/>
          </w:tcPr>
          <w:p w14:paraId="64A8A73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3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736"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A73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38"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73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E2E2E2"/>
            <w:tcMar>
              <w:top w:w="40" w:type="dxa"/>
              <w:bottom w:w="40" w:type="dxa"/>
              <w:right w:w="20" w:type="dxa"/>
            </w:tcMar>
            <w:vAlign w:val="bottom"/>
          </w:tcPr>
          <w:p w14:paraId="64A8A73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3B"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73C" w14:textId="77777777" w:rsidR="008D6614" w:rsidRDefault="00866AF2">
            <w:pPr>
              <w:jc w:val="right"/>
              <w:textAlignment w:val="bottom"/>
            </w:pPr>
            <w:r>
              <w:rPr>
                <w:rFonts w:ascii="Arial" w:eastAsia="宋体" w:hAnsi="Arial" w:cs="Arial"/>
                <w:color w:val="000000"/>
                <w:sz w:val="18"/>
                <w:szCs w:val="18"/>
              </w:rPr>
              <w:t>(4)</w:t>
            </w:r>
          </w:p>
        </w:tc>
        <w:tc>
          <w:tcPr>
            <w:tcW w:w="0" w:type="auto"/>
            <w:shd w:val="clear" w:color="auto" w:fill="E2E2E2"/>
            <w:tcMar>
              <w:top w:w="40" w:type="dxa"/>
              <w:bottom w:w="40" w:type="dxa"/>
              <w:right w:w="20" w:type="dxa"/>
            </w:tcMar>
            <w:vAlign w:val="bottom"/>
          </w:tcPr>
          <w:p w14:paraId="64A8A73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3E"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73F" w14:textId="77777777" w:rsidR="008D6614" w:rsidRDefault="00866AF2">
            <w:pPr>
              <w:jc w:val="right"/>
              <w:textAlignment w:val="bottom"/>
            </w:pPr>
            <w:r>
              <w:rPr>
                <w:rFonts w:ascii="Arial" w:eastAsia="宋体" w:hAnsi="Arial" w:cs="Arial"/>
                <w:color w:val="000000"/>
                <w:sz w:val="18"/>
                <w:szCs w:val="18"/>
              </w:rPr>
              <w:t>16 </w:t>
            </w:r>
          </w:p>
        </w:tc>
        <w:tc>
          <w:tcPr>
            <w:tcW w:w="0" w:type="auto"/>
            <w:shd w:val="clear" w:color="auto" w:fill="E2E2E2"/>
            <w:tcMar>
              <w:top w:w="40" w:type="dxa"/>
              <w:bottom w:w="40" w:type="dxa"/>
              <w:right w:w="20" w:type="dxa"/>
            </w:tcMar>
            <w:vAlign w:val="bottom"/>
          </w:tcPr>
          <w:p w14:paraId="64A8A740" w14:textId="77777777" w:rsidR="008D6614" w:rsidRDefault="00866AF2">
            <w:pPr>
              <w:jc w:val="right"/>
              <w:textAlignment w:val="bottom"/>
            </w:pPr>
            <w:r>
              <w:rPr>
                <w:rFonts w:ascii="Arial" w:eastAsia="宋体" w:hAnsi="Arial" w:cs="Arial"/>
                <w:color w:val="000000"/>
                <w:sz w:val="18"/>
                <w:szCs w:val="18"/>
              </w:rPr>
              <w:t> </w:t>
            </w:r>
          </w:p>
        </w:tc>
      </w:tr>
      <w:tr w:rsidR="008D6614" w14:paraId="64A8A751" w14:textId="77777777">
        <w:trPr>
          <w:jc w:val="center"/>
        </w:trPr>
        <w:tc>
          <w:tcPr>
            <w:tcW w:w="0" w:type="auto"/>
            <w:gridSpan w:val="3"/>
            <w:shd w:val="clear" w:color="auto" w:fill="FFFFFF"/>
            <w:tcMar>
              <w:top w:w="40" w:type="dxa"/>
              <w:left w:w="20" w:type="dxa"/>
              <w:bottom w:w="40" w:type="dxa"/>
              <w:right w:w="20" w:type="dxa"/>
            </w:tcMar>
            <w:vAlign w:val="bottom"/>
          </w:tcPr>
          <w:p w14:paraId="64A8A742" w14:textId="77777777" w:rsidR="008D6614" w:rsidRDefault="00866AF2">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743" w14:textId="77777777" w:rsidR="008D6614" w:rsidRDefault="00866AF2">
            <w:pPr>
              <w:jc w:val="right"/>
              <w:textAlignment w:val="bottom"/>
            </w:pPr>
            <w:r>
              <w:rPr>
                <w:rFonts w:ascii="Arial" w:eastAsia="宋体" w:hAnsi="Arial" w:cs="Arial"/>
                <w:color w:val="000000"/>
                <w:sz w:val="18"/>
                <w:szCs w:val="18"/>
              </w:rPr>
              <w:t>(41)</w:t>
            </w:r>
          </w:p>
        </w:tc>
        <w:tc>
          <w:tcPr>
            <w:tcW w:w="0" w:type="auto"/>
            <w:tcBorders>
              <w:top w:val="single" w:sz="8" w:space="0" w:color="000000"/>
            </w:tcBorders>
            <w:shd w:val="clear" w:color="auto" w:fill="FFFFFF"/>
            <w:tcMar>
              <w:top w:w="40" w:type="dxa"/>
              <w:bottom w:w="40" w:type="dxa"/>
              <w:right w:w="20" w:type="dxa"/>
            </w:tcMar>
            <w:vAlign w:val="bottom"/>
          </w:tcPr>
          <w:p w14:paraId="64A8A74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745"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746" w14:textId="77777777" w:rsidR="008D6614" w:rsidRDefault="00866AF2">
            <w:pPr>
              <w:jc w:val="right"/>
              <w:textAlignment w:val="bottom"/>
            </w:pPr>
            <w:r>
              <w:rPr>
                <w:rFonts w:ascii="Arial" w:eastAsia="宋体" w:hAnsi="Arial" w:cs="Arial"/>
                <w:color w:val="000000"/>
                <w:sz w:val="18"/>
                <w:szCs w:val="18"/>
              </w:rPr>
              <w:t>40 </w:t>
            </w:r>
          </w:p>
        </w:tc>
        <w:tc>
          <w:tcPr>
            <w:tcW w:w="0" w:type="auto"/>
            <w:tcBorders>
              <w:top w:val="single" w:sz="8" w:space="0" w:color="000000"/>
            </w:tcBorders>
            <w:shd w:val="clear" w:color="auto" w:fill="FFFFFF"/>
            <w:tcMar>
              <w:top w:w="40" w:type="dxa"/>
              <w:bottom w:w="40" w:type="dxa"/>
              <w:right w:w="20" w:type="dxa"/>
            </w:tcMar>
            <w:vAlign w:val="bottom"/>
          </w:tcPr>
          <w:p w14:paraId="64A8A747"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748"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749" w14:textId="77777777" w:rsidR="008D6614" w:rsidRDefault="00866AF2">
            <w:pPr>
              <w:jc w:val="right"/>
              <w:textAlignment w:val="bottom"/>
            </w:pPr>
            <w:r>
              <w:rPr>
                <w:rFonts w:ascii="Arial" w:eastAsia="宋体" w:hAnsi="Arial" w:cs="Arial"/>
                <w:color w:val="000000"/>
                <w:sz w:val="18"/>
                <w:szCs w:val="18"/>
              </w:rPr>
              <w:t>(32)</w:t>
            </w:r>
          </w:p>
        </w:tc>
        <w:tc>
          <w:tcPr>
            <w:tcW w:w="0" w:type="auto"/>
            <w:tcBorders>
              <w:top w:val="single" w:sz="8" w:space="0" w:color="000000"/>
            </w:tcBorders>
            <w:shd w:val="clear" w:color="auto" w:fill="FFFFFF"/>
            <w:tcMar>
              <w:top w:w="40" w:type="dxa"/>
              <w:bottom w:w="40" w:type="dxa"/>
              <w:right w:w="20" w:type="dxa"/>
            </w:tcMar>
            <w:vAlign w:val="bottom"/>
          </w:tcPr>
          <w:p w14:paraId="64A8A74A"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74B"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74C" w14:textId="77777777" w:rsidR="008D6614" w:rsidRDefault="00866AF2">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FFFFFF"/>
            <w:tcMar>
              <w:top w:w="40" w:type="dxa"/>
              <w:bottom w:w="40" w:type="dxa"/>
              <w:right w:w="20" w:type="dxa"/>
            </w:tcMar>
            <w:vAlign w:val="bottom"/>
          </w:tcPr>
          <w:p w14:paraId="64A8A74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A74E"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74F" w14:textId="77777777" w:rsidR="008D6614" w:rsidRDefault="00866AF2">
            <w:pPr>
              <w:jc w:val="right"/>
              <w:textAlignment w:val="bottom"/>
            </w:pPr>
            <w:r>
              <w:rPr>
                <w:rFonts w:ascii="Arial" w:eastAsia="宋体" w:hAnsi="Arial" w:cs="Arial"/>
                <w:color w:val="000000"/>
                <w:sz w:val="18"/>
                <w:szCs w:val="18"/>
              </w:rPr>
              <w:t>(34)</w:t>
            </w:r>
          </w:p>
        </w:tc>
        <w:tc>
          <w:tcPr>
            <w:tcW w:w="0" w:type="auto"/>
            <w:tcBorders>
              <w:top w:val="single" w:sz="8" w:space="0" w:color="000000"/>
            </w:tcBorders>
            <w:shd w:val="clear" w:color="auto" w:fill="FFFFFF"/>
            <w:tcMar>
              <w:top w:w="40" w:type="dxa"/>
              <w:bottom w:w="40" w:type="dxa"/>
              <w:right w:w="20" w:type="dxa"/>
            </w:tcMar>
            <w:vAlign w:val="bottom"/>
          </w:tcPr>
          <w:p w14:paraId="64A8A750" w14:textId="77777777" w:rsidR="008D6614" w:rsidRDefault="00866AF2">
            <w:pPr>
              <w:jc w:val="right"/>
              <w:textAlignment w:val="bottom"/>
            </w:pPr>
            <w:r>
              <w:rPr>
                <w:rFonts w:ascii="Arial" w:eastAsia="宋体" w:hAnsi="Arial" w:cs="Arial"/>
                <w:color w:val="000000"/>
                <w:sz w:val="18"/>
                <w:szCs w:val="18"/>
              </w:rPr>
              <w:t> </w:t>
            </w:r>
          </w:p>
        </w:tc>
      </w:tr>
      <w:tr w:rsidR="008D6614" w14:paraId="64A8A766" w14:textId="77777777">
        <w:trPr>
          <w:jc w:val="center"/>
        </w:trPr>
        <w:tc>
          <w:tcPr>
            <w:tcW w:w="0" w:type="auto"/>
            <w:gridSpan w:val="3"/>
            <w:shd w:val="clear" w:color="auto" w:fill="E2E2E2"/>
            <w:tcMar>
              <w:top w:w="40" w:type="dxa"/>
              <w:left w:w="20" w:type="dxa"/>
              <w:bottom w:w="40" w:type="dxa"/>
              <w:right w:w="20" w:type="dxa"/>
            </w:tcMar>
            <w:vAlign w:val="bottom"/>
          </w:tcPr>
          <w:p w14:paraId="64A8A752" w14:textId="77777777" w:rsidR="008D6614" w:rsidRDefault="00866AF2">
            <w:pPr>
              <w:textAlignment w:val="bottom"/>
            </w:pPr>
            <w:r>
              <w:rPr>
                <w:rFonts w:ascii="Arial" w:eastAsia="宋体" w:hAnsi="Arial" w:cs="Arial"/>
                <w:color w:val="000000"/>
                <w:sz w:val="18"/>
                <w:szCs w:val="18"/>
              </w:rPr>
              <w:t>Balance as of March 31, 2019</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753"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754" w14:textId="77777777" w:rsidR="008D6614" w:rsidRDefault="00866AF2">
            <w:pPr>
              <w:jc w:val="right"/>
              <w:textAlignment w:val="bottom"/>
            </w:pPr>
            <w:r>
              <w:rPr>
                <w:rFonts w:ascii="Arial" w:eastAsia="宋体" w:hAnsi="Arial" w:cs="Arial"/>
                <w:color w:val="000000"/>
                <w:sz w:val="18"/>
                <w:szCs w:val="18"/>
              </w:rPr>
              <w:t>27 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755"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56"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757"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758" w14:textId="77777777" w:rsidR="008D6614" w:rsidRDefault="00866AF2">
            <w:pPr>
              <w:jc w:val="right"/>
              <w:textAlignment w:val="bottom"/>
            </w:pPr>
            <w:r>
              <w:rPr>
                <w:rFonts w:ascii="Arial" w:eastAsia="宋体" w:hAnsi="Arial" w:cs="Arial"/>
                <w:color w:val="000000"/>
                <w:sz w:val="18"/>
                <w:szCs w:val="18"/>
              </w:rPr>
              <w:t>(16)</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75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5A"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75B"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75C" w14:textId="77777777" w:rsidR="008D6614" w:rsidRDefault="00866AF2">
            <w:pPr>
              <w:jc w:val="right"/>
              <w:textAlignment w:val="bottom"/>
            </w:pPr>
            <w:r>
              <w:rPr>
                <w:rFonts w:ascii="Arial" w:eastAsia="宋体" w:hAnsi="Arial" w:cs="Arial"/>
                <w:color w:val="000000"/>
                <w:sz w:val="18"/>
                <w:szCs w:val="18"/>
              </w:rPr>
              <w:t>430 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75D"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5E"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75F"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760" w14:textId="77777777" w:rsidR="008D6614" w:rsidRDefault="00866AF2">
            <w:pPr>
              <w:jc w:val="right"/>
              <w:textAlignment w:val="bottom"/>
            </w:pPr>
            <w:r>
              <w:rPr>
                <w:rFonts w:ascii="Arial" w:eastAsia="宋体" w:hAnsi="Arial" w:cs="Arial"/>
                <w:color w:val="000000"/>
                <w:sz w:val="18"/>
                <w:szCs w:val="18"/>
              </w:rPr>
              <w:t>23 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76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A762"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763"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764" w14:textId="77777777" w:rsidR="008D6614" w:rsidRDefault="00866AF2">
            <w:pPr>
              <w:jc w:val="right"/>
              <w:textAlignment w:val="bottom"/>
            </w:pPr>
            <w:r>
              <w:rPr>
                <w:rFonts w:ascii="Arial" w:eastAsia="宋体" w:hAnsi="Arial" w:cs="Arial"/>
                <w:color w:val="000000"/>
                <w:sz w:val="18"/>
                <w:szCs w:val="18"/>
              </w:rPr>
              <w:t>464 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765" w14:textId="77777777" w:rsidR="008D6614" w:rsidRDefault="00866AF2">
            <w:pPr>
              <w:jc w:val="right"/>
              <w:textAlignment w:val="bottom"/>
            </w:pPr>
            <w:r>
              <w:rPr>
                <w:rFonts w:ascii="Arial" w:eastAsia="宋体" w:hAnsi="Arial" w:cs="Arial"/>
                <w:color w:val="000000"/>
                <w:sz w:val="18"/>
                <w:szCs w:val="18"/>
              </w:rPr>
              <w:t> </w:t>
            </w:r>
          </w:p>
        </w:tc>
      </w:tr>
    </w:tbl>
    <w:p w14:paraId="64A8A767" w14:textId="77777777" w:rsidR="008D6614" w:rsidRDefault="008D6614">
      <w:pPr>
        <w:jc w:val="center"/>
      </w:pPr>
    </w:p>
    <w:p w14:paraId="64A8A768" w14:textId="77777777" w:rsidR="008D6614" w:rsidRDefault="00866AF2">
      <w:pPr>
        <w:ind w:firstLine="540"/>
        <w:jc w:val="both"/>
      </w:pPr>
      <w:r>
        <w:rPr>
          <w:rFonts w:ascii="Arial" w:eastAsia="宋体" w:hAnsi="Arial" w:cs="Arial"/>
          <w:color w:val="000000"/>
          <w:sz w:val="20"/>
          <w:szCs w:val="20"/>
        </w:rPr>
        <w:t>The following table provides a summary of reclassifications out of AOCI (in mill</w:t>
      </w:r>
      <w:r>
        <w:rPr>
          <w:rFonts w:ascii="Arial" w:eastAsia="宋体" w:hAnsi="Arial" w:cs="Arial"/>
          <w:color w:val="000000"/>
          <w:sz w:val="20"/>
          <w:szCs w:val="20"/>
        </w:rPr>
        <w:t xml:space="preserve">ions): </w:t>
      </w:r>
    </w:p>
    <w:p w14:paraId="64A8A769" w14:textId="77777777" w:rsidR="008D6614" w:rsidRDefault="008D6614">
      <w:pPr>
        <w:ind w:firstLine="540"/>
        <w:jc w:val="both"/>
      </w:pPr>
    </w:p>
    <w:tbl>
      <w:tblPr>
        <w:tblW w:w="4949" w:type="pct"/>
        <w:jc w:val="center"/>
        <w:tblCellMar>
          <w:top w:w="15" w:type="dxa"/>
          <w:left w:w="15" w:type="dxa"/>
          <w:bottom w:w="15" w:type="dxa"/>
          <w:right w:w="15" w:type="dxa"/>
        </w:tblCellMar>
        <w:tblLook w:val="04A0" w:firstRow="1" w:lastRow="0" w:firstColumn="1" w:lastColumn="0" w:noHBand="0" w:noVBand="1"/>
      </w:tblPr>
      <w:tblGrid>
        <w:gridCol w:w="55"/>
        <w:gridCol w:w="2303"/>
        <w:gridCol w:w="55"/>
        <w:gridCol w:w="36"/>
        <w:gridCol w:w="36"/>
        <w:gridCol w:w="36"/>
        <w:gridCol w:w="37"/>
        <w:gridCol w:w="3025"/>
        <w:gridCol w:w="55"/>
        <w:gridCol w:w="36"/>
        <w:gridCol w:w="36"/>
        <w:gridCol w:w="36"/>
        <w:gridCol w:w="124"/>
        <w:gridCol w:w="814"/>
        <w:gridCol w:w="80"/>
        <w:gridCol w:w="36"/>
        <w:gridCol w:w="36"/>
        <w:gridCol w:w="36"/>
        <w:gridCol w:w="124"/>
        <w:gridCol w:w="815"/>
        <w:gridCol w:w="80"/>
        <w:gridCol w:w="36"/>
        <w:gridCol w:w="36"/>
        <w:gridCol w:w="36"/>
        <w:gridCol w:w="36"/>
        <w:gridCol w:w="36"/>
        <w:gridCol w:w="36"/>
        <w:gridCol w:w="36"/>
        <w:gridCol w:w="36"/>
        <w:gridCol w:w="36"/>
        <w:gridCol w:w="36"/>
      </w:tblGrid>
      <w:tr w:rsidR="008D6614" w14:paraId="64A8A783" w14:textId="77777777">
        <w:trPr>
          <w:gridAfter w:val="6"/>
          <w:jc w:val="center"/>
        </w:trPr>
        <w:tc>
          <w:tcPr>
            <w:tcW w:w="50" w:type="pct"/>
            <w:shd w:val="clear" w:color="auto" w:fill="auto"/>
            <w:vAlign w:val="center"/>
          </w:tcPr>
          <w:p w14:paraId="64A8A76A" w14:textId="77777777" w:rsidR="008D6614" w:rsidRDefault="008D6614">
            <w:pPr>
              <w:rPr>
                <w:rFonts w:ascii="宋体"/>
              </w:rPr>
            </w:pPr>
          </w:p>
        </w:tc>
        <w:tc>
          <w:tcPr>
            <w:tcW w:w="1473" w:type="pct"/>
            <w:shd w:val="clear" w:color="auto" w:fill="auto"/>
            <w:vAlign w:val="center"/>
          </w:tcPr>
          <w:p w14:paraId="64A8A76B" w14:textId="77777777" w:rsidR="008D6614" w:rsidRDefault="008D6614">
            <w:pPr>
              <w:rPr>
                <w:rFonts w:ascii="宋体"/>
              </w:rPr>
            </w:pPr>
          </w:p>
        </w:tc>
        <w:tc>
          <w:tcPr>
            <w:tcW w:w="50" w:type="pct"/>
            <w:shd w:val="clear" w:color="auto" w:fill="auto"/>
            <w:vAlign w:val="center"/>
          </w:tcPr>
          <w:p w14:paraId="64A8A76C" w14:textId="77777777" w:rsidR="008D6614" w:rsidRDefault="008D6614">
            <w:pPr>
              <w:rPr>
                <w:rFonts w:ascii="宋体"/>
              </w:rPr>
            </w:pPr>
          </w:p>
        </w:tc>
        <w:tc>
          <w:tcPr>
            <w:tcW w:w="5" w:type="pct"/>
            <w:shd w:val="clear" w:color="auto" w:fill="auto"/>
            <w:vAlign w:val="center"/>
          </w:tcPr>
          <w:p w14:paraId="64A8A76D" w14:textId="77777777" w:rsidR="008D6614" w:rsidRDefault="008D6614">
            <w:pPr>
              <w:rPr>
                <w:rFonts w:ascii="宋体"/>
              </w:rPr>
            </w:pPr>
          </w:p>
        </w:tc>
        <w:tc>
          <w:tcPr>
            <w:tcW w:w="26" w:type="pct"/>
            <w:shd w:val="clear" w:color="auto" w:fill="auto"/>
            <w:vAlign w:val="center"/>
          </w:tcPr>
          <w:p w14:paraId="64A8A76E" w14:textId="77777777" w:rsidR="008D6614" w:rsidRDefault="008D6614">
            <w:pPr>
              <w:rPr>
                <w:rFonts w:ascii="宋体"/>
              </w:rPr>
            </w:pPr>
          </w:p>
        </w:tc>
        <w:tc>
          <w:tcPr>
            <w:tcW w:w="5" w:type="pct"/>
            <w:shd w:val="clear" w:color="auto" w:fill="auto"/>
            <w:vAlign w:val="center"/>
          </w:tcPr>
          <w:p w14:paraId="64A8A76F" w14:textId="77777777" w:rsidR="008D6614" w:rsidRDefault="008D6614">
            <w:pPr>
              <w:rPr>
                <w:rFonts w:ascii="宋体"/>
              </w:rPr>
            </w:pPr>
          </w:p>
        </w:tc>
        <w:tc>
          <w:tcPr>
            <w:tcW w:w="50" w:type="pct"/>
            <w:shd w:val="clear" w:color="auto" w:fill="auto"/>
            <w:vAlign w:val="center"/>
          </w:tcPr>
          <w:p w14:paraId="64A8A770" w14:textId="77777777" w:rsidR="008D6614" w:rsidRDefault="008D6614">
            <w:pPr>
              <w:rPr>
                <w:rFonts w:ascii="宋体"/>
              </w:rPr>
            </w:pPr>
          </w:p>
        </w:tc>
        <w:tc>
          <w:tcPr>
            <w:tcW w:w="1931" w:type="pct"/>
            <w:shd w:val="clear" w:color="auto" w:fill="auto"/>
            <w:vAlign w:val="center"/>
          </w:tcPr>
          <w:p w14:paraId="64A8A771" w14:textId="77777777" w:rsidR="008D6614" w:rsidRDefault="008D6614">
            <w:pPr>
              <w:rPr>
                <w:rFonts w:ascii="宋体"/>
              </w:rPr>
            </w:pPr>
          </w:p>
        </w:tc>
        <w:tc>
          <w:tcPr>
            <w:tcW w:w="50" w:type="pct"/>
            <w:shd w:val="clear" w:color="auto" w:fill="auto"/>
            <w:vAlign w:val="center"/>
          </w:tcPr>
          <w:p w14:paraId="64A8A772" w14:textId="77777777" w:rsidR="008D6614" w:rsidRDefault="008D6614">
            <w:pPr>
              <w:rPr>
                <w:rFonts w:ascii="宋体"/>
              </w:rPr>
            </w:pPr>
          </w:p>
        </w:tc>
        <w:tc>
          <w:tcPr>
            <w:tcW w:w="5" w:type="pct"/>
            <w:shd w:val="clear" w:color="auto" w:fill="auto"/>
            <w:vAlign w:val="center"/>
          </w:tcPr>
          <w:p w14:paraId="64A8A773" w14:textId="77777777" w:rsidR="008D6614" w:rsidRDefault="008D6614">
            <w:pPr>
              <w:rPr>
                <w:rFonts w:ascii="宋体"/>
              </w:rPr>
            </w:pPr>
          </w:p>
        </w:tc>
        <w:tc>
          <w:tcPr>
            <w:tcW w:w="26" w:type="pct"/>
            <w:shd w:val="clear" w:color="auto" w:fill="auto"/>
            <w:vAlign w:val="center"/>
          </w:tcPr>
          <w:p w14:paraId="64A8A774" w14:textId="77777777" w:rsidR="008D6614" w:rsidRDefault="008D6614">
            <w:pPr>
              <w:rPr>
                <w:rFonts w:ascii="宋体"/>
              </w:rPr>
            </w:pPr>
          </w:p>
        </w:tc>
        <w:tc>
          <w:tcPr>
            <w:tcW w:w="5" w:type="pct"/>
            <w:shd w:val="clear" w:color="auto" w:fill="auto"/>
            <w:vAlign w:val="center"/>
          </w:tcPr>
          <w:p w14:paraId="64A8A775" w14:textId="77777777" w:rsidR="008D6614" w:rsidRDefault="008D6614">
            <w:pPr>
              <w:rPr>
                <w:rFonts w:ascii="宋体"/>
              </w:rPr>
            </w:pPr>
          </w:p>
        </w:tc>
        <w:tc>
          <w:tcPr>
            <w:tcW w:w="50" w:type="pct"/>
            <w:shd w:val="clear" w:color="auto" w:fill="auto"/>
            <w:vAlign w:val="center"/>
          </w:tcPr>
          <w:p w14:paraId="64A8A776" w14:textId="77777777" w:rsidR="008D6614" w:rsidRDefault="008D6614">
            <w:pPr>
              <w:rPr>
                <w:rFonts w:ascii="宋体"/>
              </w:rPr>
            </w:pPr>
          </w:p>
        </w:tc>
        <w:tc>
          <w:tcPr>
            <w:tcW w:w="542" w:type="pct"/>
            <w:shd w:val="clear" w:color="auto" w:fill="auto"/>
            <w:vAlign w:val="center"/>
          </w:tcPr>
          <w:p w14:paraId="64A8A777" w14:textId="77777777" w:rsidR="008D6614" w:rsidRDefault="008D6614">
            <w:pPr>
              <w:rPr>
                <w:rFonts w:ascii="宋体"/>
              </w:rPr>
            </w:pPr>
          </w:p>
        </w:tc>
        <w:tc>
          <w:tcPr>
            <w:tcW w:w="50" w:type="pct"/>
            <w:shd w:val="clear" w:color="auto" w:fill="auto"/>
            <w:vAlign w:val="center"/>
          </w:tcPr>
          <w:p w14:paraId="64A8A778" w14:textId="77777777" w:rsidR="008D6614" w:rsidRDefault="008D6614">
            <w:pPr>
              <w:rPr>
                <w:rFonts w:ascii="宋体"/>
              </w:rPr>
            </w:pPr>
          </w:p>
        </w:tc>
        <w:tc>
          <w:tcPr>
            <w:tcW w:w="5" w:type="pct"/>
            <w:shd w:val="clear" w:color="auto" w:fill="auto"/>
            <w:vAlign w:val="center"/>
          </w:tcPr>
          <w:p w14:paraId="64A8A779" w14:textId="77777777" w:rsidR="008D6614" w:rsidRDefault="008D6614">
            <w:pPr>
              <w:rPr>
                <w:rFonts w:ascii="宋体"/>
              </w:rPr>
            </w:pPr>
          </w:p>
        </w:tc>
        <w:tc>
          <w:tcPr>
            <w:tcW w:w="26" w:type="pct"/>
            <w:shd w:val="clear" w:color="auto" w:fill="auto"/>
            <w:vAlign w:val="center"/>
          </w:tcPr>
          <w:p w14:paraId="64A8A77A" w14:textId="77777777" w:rsidR="008D6614" w:rsidRDefault="008D6614">
            <w:pPr>
              <w:rPr>
                <w:rFonts w:ascii="宋体"/>
              </w:rPr>
            </w:pPr>
          </w:p>
        </w:tc>
        <w:tc>
          <w:tcPr>
            <w:tcW w:w="5" w:type="pct"/>
            <w:shd w:val="clear" w:color="auto" w:fill="auto"/>
            <w:vAlign w:val="center"/>
          </w:tcPr>
          <w:p w14:paraId="64A8A77B" w14:textId="77777777" w:rsidR="008D6614" w:rsidRDefault="008D6614">
            <w:pPr>
              <w:rPr>
                <w:rFonts w:ascii="宋体"/>
              </w:rPr>
            </w:pPr>
          </w:p>
        </w:tc>
        <w:tc>
          <w:tcPr>
            <w:tcW w:w="50" w:type="pct"/>
            <w:shd w:val="clear" w:color="auto" w:fill="auto"/>
            <w:vAlign w:val="center"/>
          </w:tcPr>
          <w:p w14:paraId="64A8A77C" w14:textId="77777777" w:rsidR="008D6614" w:rsidRDefault="008D6614">
            <w:pPr>
              <w:rPr>
                <w:rFonts w:ascii="宋体"/>
              </w:rPr>
            </w:pPr>
          </w:p>
        </w:tc>
        <w:tc>
          <w:tcPr>
            <w:tcW w:w="542" w:type="pct"/>
            <w:shd w:val="clear" w:color="auto" w:fill="auto"/>
            <w:vAlign w:val="center"/>
          </w:tcPr>
          <w:p w14:paraId="64A8A77D" w14:textId="77777777" w:rsidR="008D6614" w:rsidRDefault="008D6614">
            <w:pPr>
              <w:rPr>
                <w:rFonts w:ascii="宋体"/>
              </w:rPr>
            </w:pPr>
          </w:p>
        </w:tc>
        <w:tc>
          <w:tcPr>
            <w:tcW w:w="50" w:type="pct"/>
            <w:shd w:val="clear" w:color="auto" w:fill="auto"/>
            <w:vAlign w:val="center"/>
          </w:tcPr>
          <w:p w14:paraId="64A8A77E" w14:textId="77777777" w:rsidR="008D6614" w:rsidRDefault="008D6614">
            <w:pPr>
              <w:rPr>
                <w:rFonts w:ascii="宋体"/>
              </w:rPr>
            </w:pPr>
          </w:p>
        </w:tc>
        <w:tc>
          <w:tcPr>
            <w:tcW w:w="0" w:type="auto"/>
            <w:shd w:val="clear" w:color="auto" w:fill="auto"/>
            <w:vAlign w:val="center"/>
          </w:tcPr>
          <w:p w14:paraId="64A8A77F" w14:textId="77777777" w:rsidR="008D6614" w:rsidRDefault="008D6614">
            <w:pPr>
              <w:rPr>
                <w:rFonts w:ascii="宋体"/>
                <w:vanish/>
              </w:rPr>
            </w:pPr>
          </w:p>
        </w:tc>
        <w:tc>
          <w:tcPr>
            <w:tcW w:w="0" w:type="auto"/>
            <w:shd w:val="clear" w:color="auto" w:fill="auto"/>
            <w:vAlign w:val="center"/>
          </w:tcPr>
          <w:p w14:paraId="64A8A780" w14:textId="77777777" w:rsidR="008D6614" w:rsidRDefault="008D6614">
            <w:pPr>
              <w:rPr>
                <w:rFonts w:ascii="宋体"/>
                <w:vanish/>
              </w:rPr>
            </w:pPr>
          </w:p>
        </w:tc>
        <w:tc>
          <w:tcPr>
            <w:tcW w:w="0" w:type="auto"/>
            <w:shd w:val="clear" w:color="auto" w:fill="auto"/>
            <w:vAlign w:val="center"/>
          </w:tcPr>
          <w:p w14:paraId="64A8A781" w14:textId="77777777" w:rsidR="008D6614" w:rsidRDefault="008D6614">
            <w:pPr>
              <w:rPr>
                <w:rFonts w:ascii="宋体"/>
                <w:vanish/>
              </w:rPr>
            </w:pPr>
          </w:p>
        </w:tc>
        <w:tc>
          <w:tcPr>
            <w:tcW w:w="0" w:type="auto"/>
            <w:shd w:val="clear" w:color="auto" w:fill="auto"/>
            <w:vAlign w:val="center"/>
          </w:tcPr>
          <w:p w14:paraId="64A8A782" w14:textId="77777777" w:rsidR="008D6614" w:rsidRDefault="008D6614">
            <w:pPr>
              <w:rPr>
                <w:rFonts w:ascii="宋体"/>
                <w:vanish/>
              </w:rPr>
            </w:pPr>
          </w:p>
        </w:tc>
      </w:tr>
      <w:tr w:rsidR="008D6614" w14:paraId="64A8A78F" w14:textId="77777777">
        <w:trPr>
          <w:jc w:val="center"/>
        </w:trPr>
        <w:tc>
          <w:tcPr>
            <w:tcW w:w="0" w:type="auto"/>
            <w:gridSpan w:val="3"/>
            <w:shd w:val="clear" w:color="auto" w:fill="auto"/>
            <w:tcMar>
              <w:top w:w="40" w:type="dxa"/>
              <w:left w:w="20" w:type="dxa"/>
              <w:bottom w:w="40" w:type="dxa"/>
              <w:right w:w="20" w:type="dxa"/>
            </w:tcMar>
            <w:vAlign w:val="bottom"/>
          </w:tcPr>
          <w:p w14:paraId="64A8A784" w14:textId="77777777" w:rsidR="008D6614" w:rsidRDefault="00866AF2">
            <w:pPr>
              <w:jc w:val="center"/>
              <w:textAlignment w:val="bottom"/>
            </w:pPr>
            <w:r>
              <w:rPr>
                <w:rFonts w:ascii="Arial" w:eastAsia="宋体" w:hAnsi="Arial" w:cs="Arial"/>
                <w:b/>
                <w:bCs/>
                <w:color w:val="000000"/>
                <w:sz w:val="16"/>
                <w:szCs w:val="16"/>
              </w:rPr>
              <w:t>Details about AOCI Components</w:t>
            </w:r>
          </w:p>
        </w:tc>
        <w:tc>
          <w:tcPr>
            <w:tcW w:w="0" w:type="auto"/>
            <w:gridSpan w:val="3"/>
            <w:shd w:val="clear" w:color="auto" w:fill="auto"/>
            <w:tcMar>
              <w:top w:w="40" w:type="dxa"/>
              <w:left w:w="20" w:type="dxa"/>
              <w:bottom w:w="40" w:type="dxa"/>
              <w:right w:w="20" w:type="dxa"/>
            </w:tcMar>
            <w:vAlign w:val="bottom"/>
          </w:tcPr>
          <w:p w14:paraId="64A8A785" w14:textId="77777777" w:rsidR="008D6614" w:rsidRDefault="00866AF2">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A786" w14:textId="77777777" w:rsidR="008D6614" w:rsidRDefault="00866AF2">
            <w:pPr>
              <w:jc w:val="center"/>
              <w:textAlignment w:val="bottom"/>
            </w:pPr>
            <w:r>
              <w:rPr>
                <w:rFonts w:ascii="Arial" w:eastAsia="宋体" w:hAnsi="Arial" w:cs="Arial"/>
                <w:b/>
                <w:bCs/>
                <w:color w:val="000000"/>
                <w:sz w:val="16"/>
                <w:szCs w:val="16"/>
              </w:rPr>
              <w:t>Affected Line Item in the Statement of Income</w:t>
            </w:r>
          </w:p>
        </w:tc>
        <w:tc>
          <w:tcPr>
            <w:tcW w:w="0" w:type="auto"/>
            <w:gridSpan w:val="3"/>
            <w:shd w:val="clear" w:color="auto" w:fill="auto"/>
            <w:tcMar>
              <w:left w:w="20" w:type="dxa"/>
              <w:right w:w="20" w:type="dxa"/>
            </w:tcMar>
            <w:vAlign w:val="bottom"/>
          </w:tcPr>
          <w:p w14:paraId="64A8A787" w14:textId="77777777" w:rsidR="008D6614" w:rsidRDefault="008D6614">
            <w:pPr>
              <w:rPr>
                <w:rFonts w:ascii="宋体"/>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64A8A788" w14:textId="77777777" w:rsidR="008D6614" w:rsidRDefault="00866AF2">
            <w:pPr>
              <w:jc w:val="center"/>
              <w:textAlignment w:val="bottom"/>
            </w:pPr>
            <w:r>
              <w:rPr>
                <w:rFonts w:ascii="Arial" w:eastAsia="宋体" w:hAnsi="Arial" w:cs="Arial"/>
                <w:b/>
                <w:bCs/>
                <w:color w:val="000000"/>
                <w:sz w:val="16"/>
                <w:szCs w:val="16"/>
              </w:rPr>
              <w:t>Amount of Gain (Loss) Reclassified From AOCI</w:t>
            </w:r>
          </w:p>
        </w:tc>
        <w:tc>
          <w:tcPr>
            <w:tcW w:w="0" w:type="auto"/>
            <w:shd w:val="clear" w:color="auto" w:fill="auto"/>
            <w:vAlign w:val="center"/>
          </w:tcPr>
          <w:p w14:paraId="64A8A789" w14:textId="77777777" w:rsidR="008D6614" w:rsidRDefault="008D6614">
            <w:pPr>
              <w:rPr>
                <w:rFonts w:ascii="宋体"/>
                <w:vanish/>
              </w:rPr>
            </w:pPr>
          </w:p>
        </w:tc>
        <w:tc>
          <w:tcPr>
            <w:tcW w:w="0" w:type="auto"/>
            <w:shd w:val="clear" w:color="auto" w:fill="auto"/>
            <w:vAlign w:val="center"/>
          </w:tcPr>
          <w:p w14:paraId="64A8A78A" w14:textId="77777777" w:rsidR="008D6614" w:rsidRDefault="008D6614">
            <w:pPr>
              <w:rPr>
                <w:rFonts w:ascii="宋体"/>
                <w:vanish/>
              </w:rPr>
            </w:pPr>
          </w:p>
        </w:tc>
        <w:tc>
          <w:tcPr>
            <w:tcW w:w="0" w:type="auto"/>
            <w:shd w:val="clear" w:color="auto" w:fill="auto"/>
            <w:vAlign w:val="center"/>
          </w:tcPr>
          <w:p w14:paraId="64A8A78B" w14:textId="77777777" w:rsidR="008D6614" w:rsidRDefault="008D6614">
            <w:pPr>
              <w:rPr>
                <w:rFonts w:ascii="宋体"/>
                <w:vanish/>
              </w:rPr>
            </w:pPr>
          </w:p>
        </w:tc>
        <w:tc>
          <w:tcPr>
            <w:tcW w:w="0" w:type="auto"/>
            <w:shd w:val="clear" w:color="auto" w:fill="auto"/>
            <w:vAlign w:val="center"/>
          </w:tcPr>
          <w:p w14:paraId="64A8A78C" w14:textId="77777777" w:rsidR="008D6614" w:rsidRDefault="008D6614">
            <w:pPr>
              <w:rPr>
                <w:rFonts w:ascii="宋体"/>
                <w:vanish/>
              </w:rPr>
            </w:pPr>
          </w:p>
        </w:tc>
        <w:tc>
          <w:tcPr>
            <w:tcW w:w="0" w:type="auto"/>
            <w:gridSpan w:val="3"/>
            <w:shd w:val="clear" w:color="auto" w:fill="auto"/>
            <w:vAlign w:val="center"/>
          </w:tcPr>
          <w:p w14:paraId="64A8A78D" w14:textId="77777777" w:rsidR="008D6614" w:rsidRDefault="008D6614">
            <w:pPr>
              <w:rPr>
                <w:rFonts w:ascii="宋体"/>
                <w:vanish/>
              </w:rPr>
            </w:pPr>
          </w:p>
        </w:tc>
        <w:tc>
          <w:tcPr>
            <w:tcW w:w="0" w:type="auto"/>
            <w:gridSpan w:val="3"/>
            <w:shd w:val="clear" w:color="auto" w:fill="auto"/>
            <w:vAlign w:val="center"/>
          </w:tcPr>
          <w:p w14:paraId="64A8A78E" w14:textId="77777777" w:rsidR="008D6614" w:rsidRDefault="008D6614">
            <w:pPr>
              <w:rPr>
                <w:rFonts w:ascii="宋体"/>
                <w:vanish/>
              </w:rPr>
            </w:pPr>
          </w:p>
        </w:tc>
      </w:tr>
      <w:tr w:rsidR="008D6614" w14:paraId="64A8A79B" w14:textId="77777777">
        <w:trPr>
          <w:jc w:val="center"/>
        </w:trPr>
        <w:tc>
          <w:tcPr>
            <w:tcW w:w="0" w:type="auto"/>
            <w:gridSpan w:val="3"/>
            <w:tcBorders>
              <w:top w:val="single" w:sz="8" w:space="0" w:color="000000"/>
            </w:tcBorders>
            <w:shd w:val="clear" w:color="auto" w:fill="auto"/>
            <w:tcMar>
              <w:left w:w="20" w:type="dxa"/>
              <w:right w:w="20" w:type="dxa"/>
            </w:tcMar>
            <w:vAlign w:val="bottom"/>
          </w:tcPr>
          <w:p w14:paraId="64A8A790"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791" w14:textId="77777777" w:rsidR="008D6614" w:rsidRDefault="008D661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64A8A792"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793" w14:textId="77777777" w:rsidR="008D6614" w:rsidRDefault="008D661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A8A794" w14:textId="77777777" w:rsidR="008D6614" w:rsidRDefault="00866AF2">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vAlign w:val="center"/>
          </w:tcPr>
          <w:p w14:paraId="64A8A795" w14:textId="77777777" w:rsidR="008D6614" w:rsidRDefault="008D6614">
            <w:pPr>
              <w:rPr>
                <w:rFonts w:ascii="宋体"/>
                <w:vanish/>
              </w:rPr>
            </w:pPr>
          </w:p>
        </w:tc>
        <w:tc>
          <w:tcPr>
            <w:tcW w:w="0" w:type="auto"/>
            <w:shd w:val="clear" w:color="auto" w:fill="auto"/>
            <w:vAlign w:val="center"/>
          </w:tcPr>
          <w:p w14:paraId="64A8A796" w14:textId="77777777" w:rsidR="008D6614" w:rsidRDefault="008D6614">
            <w:pPr>
              <w:rPr>
                <w:rFonts w:ascii="宋体"/>
                <w:vanish/>
              </w:rPr>
            </w:pPr>
          </w:p>
        </w:tc>
        <w:tc>
          <w:tcPr>
            <w:tcW w:w="0" w:type="auto"/>
            <w:shd w:val="clear" w:color="auto" w:fill="auto"/>
            <w:vAlign w:val="center"/>
          </w:tcPr>
          <w:p w14:paraId="64A8A797" w14:textId="77777777" w:rsidR="008D6614" w:rsidRDefault="008D6614">
            <w:pPr>
              <w:rPr>
                <w:rFonts w:ascii="宋体"/>
                <w:vanish/>
              </w:rPr>
            </w:pPr>
          </w:p>
        </w:tc>
        <w:tc>
          <w:tcPr>
            <w:tcW w:w="0" w:type="auto"/>
            <w:shd w:val="clear" w:color="auto" w:fill="auto"/>
            <w:vAlign w:val="center"/>
          </w:tcPr>
          <w:p w14:paraId="64A8A798" w14:textId="77777777" w:rsidR="008D6614" w:rsidRDefault="008D6614">
            <w:pPr>
              <w:rPr>
                <w:rFonts w:ascii="宋体"/>
                <w:vanish/>
              </w:rPr>
            </w:pPr>
          </w:p>
        </w:tc>
        <w:tc>
          <w:tcPr>
            <w:tcW w:w="0" w:type="auto"/>
            <w:gridSpan w:val="3"/>
            <w:shd w:val="clear" w:color="auto" w:fill="auto"/>
            <w:vAlign w:val="center"/>
          </w:tcPr>
          <w:p w14:paraId="64A8A799" w14:textId="77777777" w:rsidR="008D6614" w:rsidRDefault="008D6614">
            <w:pPr>
              <w:rPr>
                <w:rFonts w:ascii="宋体"/>
                <w:vanish/>
              </w:rPr>
            </w:pPr>
          </w:p>
        </w:tc>
        <w:tc>
          <w:tcPr>
            <w:tcW w:w="0" w:type="auto"/>
            <w:gridSpan w:val="3"/>
            <w:shd w:val="clear" w:color="auto" w:fill="auto"/>
            <w:vAlign w:val="center"/>
          </w:tcPr>
          <w:p w14:paraId="64A8A79A" w14:textId="77777777" w:rsidR="008D6614" w:rsidRDefault="008D6614">
            <w:pPr>
              <w:rPr>
                <w:rFonts w:ascii="宋体"/>
                <w:vanish/>
              </w:rPr>
            </w:pPr>
          </w:p>
        </w:tc>
      </w:tr>
      <w:tr w:rsidR="008D6614" w14:paraId="64A8A7AD" w14:textId="77777777">
        <w:trPr>
          <w:jc w:val="center"/>
        </w:trPr>
        <w:tc>
          <w:tcPr>
            <w:tcW w:w="0" w:type="auto"/>
            <w:gridSpan w:val="3"/>
            <w:shd w:val="clear" w:color="auto" w:fill="auto"/>
            <w:tcMar>
              <w:left w:w="20" w:type="dxa"/>
              <w:right w:w="20" w:type="dxa"/>
            </w:tcMar>
            <w:vAlign w:val="bottom"/>
          </w:tcPr>
          <w:p w14:paraId="64A8A79C"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79D"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79E"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79F"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7A0"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64A8A7A1"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7A2"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A7A3" w14:textId="77777777" w:rsidR="008D6614" w:rsidRDefault="008D6614">
            <w:pPr>
              <w:rPr>
                <w:rFonts w:ascii="宋体"/>
                <w:vanish/>
              </w:rPr>
            </w:pPr>
          </w:p>
        </w:tc>
        <w:tc>
          <w:tcPr>
            <w:tcW w:w="0" w:type="auto"/>
            <w:shd w:val="clear" w:color="auto" w:fill="auto"/>
            <w:vAlign w:val="center"/>
          </w:tcPr>
          <w:p w14:paraId="64A8A7A4" w14:textId="77777777" w:rsidR="008D6614" w:rsidRDefault="008D6614">
            <w:pPr>
              <w:rPr>
                <w:rFonts w:ascii="宋体"/>
                <w:vanish/>
              </w:rPr>
            </w:pPr>
          </w:p>
        </w:tc>
        <w:tc>
          <w:tcPr>
            <w:tcW w:w="0" w:type="auto"/>
            <w:shd w:val="clear" w:color="auto" w:fill="auto"/>
            <w:vAlign w:val="center"/>
          </w:tcPr>
          <w:p w14:paraId="64A8A7A5" w14:textId="77777777" w:rsidR="008D6614" w:rsidRDefault="008D6614">
            <w:pPr>
              <w:rPr>
                <w:rFonts w:ascii="宋体"/>
                <w:vanish/>
              </w:rPr>
            </w:pPr>
          </w:p>
        </w:tc>
        <w:tc>
          <w:tcPr>
            <w:tcW w:w="0" w:type="auto"/>
            <w:shd w:val="clear" w:color="auto" w:fill="auto"/>
            <w:vAlign w:val="center"/>
          </w:tcPr>
          <w:p w14:paraId="64A8A7A6" w14:textId="77777777" w:rsidR="008D6614" w:rsidRDefault="008D6614">
            <w:pPr>
              <w:rPr>
                <w:rFonts w:ascii="宋体"/>
                <w:vanish/>
              </w:rPr>
            </w:pPr>
          </w:p>
        </w:tc>
        <w:tc>
          <w:tcPr>
            <w:tcW w:w="0" w:type="auto"/>
            <w:shd w:val="clear" w:color="auto" w:fill="auto"/>
            <w:vAlign w:val="center"/>
          </w:tcPr>
          <w:p w14:paraId="64A8A7A7" w14:textId="77777777" w:rsidR="008D6614" w:rsidRDefault="008D6614">
            <w:pPr>
              <w:rPr>
                <w:rFonts w:ascii="宋体"/>
              </w:rPr>
            </w:pPr>
          </w:p>
        </w:tc>
        <w:tc>
          <w:tcPr>
            <w:tcW w:w="0" w:type="auto"/>
            <w:shd w:val="clear" w:color="auto" w:fill="auto"/>
            <w:vAlign w:val="center"/>
          </w:tcPr>
          <w:p w14:paraId="64A8A7A8" w14:textId="77777777" w:rsidR="008D6614" w:rsidRDefault="008D6614">
            <w:pPr>
              <w:rPr>
                <w:rFonts w:ascii="宋体"/>
              </w:rPr>
            </w:pPr>
          </w:p>
        </w:tc>
        <w:tc>
          <w:tcPr>
            <w:tcW w:w="0" w:type="auto"/>
            <w:shd w:val="clear" w:color="auto" w:fill="auto"/>
            <w:vAlign w:val="center"/>
          </w:tcPr>
          <w:p w14:paraId="64A8A7A9" w14:textId="77777777" w:rsidR="008D6614" w:rsidRDefault="008D6614">
            <w:pPr>
              <w:rPr>
                <w:rFonts w:ascii="宋体"/>
              </w:rPr>
            </w:pPr>
          </w:p>
        </w:tc>
        <w:tc>
          <w:tcPr>
            <w:tcW w:w="0" w:type="auto"/>
            <w:shd w:val="clear" w:color="auto" w:fill="auto"/>
            <w:vAlign w:val="center"/>
          </w:tcPr>
          <w:p w14:paraId="64A8A7AA" w14:textId="77777777" w:rsidR="008D6614" w:rsidRDefault="008D6614">
            <w:pPr>
              <w:rPr>
                <w:rFonts w:ascii="宋体"/>
              </w:rPr>
            </w:pPr>
          </w:p>
        </w:tc>
        <w:tc>
          <w:tcPr>
            <w:tcW w:w="0" w:type="auto"/>
            <w:shd w:val="clear" w:color="auto" w:fill="auto"/>
            <w:vAlign w:val="center"/>
          </w:tcPr>
          <w:p w14:paraId="64A8A7AB" w14:textId="77777777" w:rsidR="008D6614" w:rsidRDefault="008D6614">
            <w:pPr>
              <w:rPr>
                <w:rFonts w:ascii="宋体"/>
              </w:rPr>
            </w:pPr>
          </w:p>
        </w:tc>
        <w:tc>
          <w:tcPr>
            <w:tcW w:w="0" w:type="auto"/>
            <w:shd w:val="clear" w:color="auto" w:fill="auto"/>
            <w:vAlign w:val="center"/>
          </w:tcPr>
          <w:p w14:paraId="64A8A7AC" w14:textId="77777777" w:rsidR="008D6614" w:rsidRDefault="008D6614">
            <w:pPr>
              <w:rPr>
                <w:rFonts w:ascii="宋体"/>
              </w:rPr>
            </w:pPr>
          </w:p>
        </w:tc>
      </w:tr>
      <w:tr w:rsidR="008D6614" w14:paraId="64A8A7C3" w14:textId="77777777">
        <w:trPr>
          <w:jc w:val="center"/>
        </w:trPr>
        <w:tc>
          <w:tcPr>
            <w:tcW w:w="0" w:type="auto"/>
            <w:gridSpan w:val="3"/>
            <w:shd w:val="clear" w:color="auto" w:fill="E2E2E2"/>
            <w:tcMar>
              <w:top w:w="40" w:type="dxa"/>
              <w:left w:w="20" w:type="dxa"/>
              <w:bottom w:w="40" w:type="dxa"/>
              <w:right w:w="20" w:type="dxa"/>
            </w:tcMar>
            <w:vAlign w:val="bottom"/>
          </w:tcPr>
          <w:p w14:paraId="64A8A7AE" w14:textId="77777777" w:rsidR="008D6614" w:rsidRDefault="00866AF2">
            <w:pPr>
              <w:textAlignment w:val="bottom"/>
            </w:pPr>
            <w:r>
              <w:rPr>
                <w:rFonts w:ascii="Arial" w:eastAsia="宋体" w:hAnsi="Arial" w:cs="Arial"/>
                <w:color w:val="000000"/>
                <w:sz w:val="16"/>
                <w:szCs w:val="16"/>
              </w:rPr>
              <w:t xml:space="preserve">Gains </w:t>
            </w:r>
            <w:r>
              <w:rPr>
                <w:rFonts w:ascii="Arial" w:eastAsia="宋体" w:hAnsi="Arial" w:cs="Arial"/>
                <w:color w:val="000000"/>
                <w:sz w:val="16"/>
                <w:szCs w:val="16"/>
              </w:rPr>
              <w:t>(losses) on cash flow hedges - foreign exchange contracts</w:t>
            </w:r>
          </w:p>
        </w:tc>
        <w:tc>
          <w:tcPr>
            <w:tcW w:w="0" w:type="auto"/>
            <w:gridSpan w:val="3"/>
            <w:shd w:val="clear" w:color="auto" w:fill="E2E2E2"/>
            <w:tcMar>
              <w:left w:w="20" w:type="dxa"/>
              <w:right w:w="20" w:type="dxa"/>
            </w:tcMar>
            <w:vAlign w:val="bottom"/>
          </w:tcPr>
          <w:p w14:paraId="64A8A7AF"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A7B0" w14:textId="77777777" w:rsidR="008D6614" w:rsidRDefault="00866AF2">
            <w:pPr>
              <w:textAlignment w:val="bottom"/>
            </w:pPr>
            <w:r>
              <w:rPr>
                <w:rFonts w:ascii="Arial" w:eastAsia="宋体" w:hAnsi="Arial" w:cs="Arial"/>
                <w:color w:val="000000"/>
                <w:sz w:val="16"/>
                <w:szCs w:val="16"/>
              </w:rPr>
              <w:t>Net Revenues</w:t>
            </w:r>
          </w:p>
        </w:tc>
        <w:tc>
          <w:tcPr>
            <w:tcW w:w="0" w:type="auto"/>
            <w:gridSpan w:val="3"/>
            <w:shd w:val="clear" w:color="auto" w:fill="E2E2E2"/>
            <w:tcMar>
              <w:left w:w="20" w:type="dxa"/>
              <w:right w:w="20" w:type="dxa"/>
            </w:tcMar>
            <w:vAlign w:val="bottom"/>
          </w:tcPr>
          <w:p w14:paraId="64A8A7B1"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7B2"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A7B3" w14:textId="77777777" w:rsidR="008D6614" w:rsidRDefault="00866AF2">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E2E2E2"/>
            <w:tcMar>
              <w:top w:w="40" w:type="dxa"/>
              <w:bottom w:w="40" w:type="dxa"/>
              <w:right w:w="20" w:type="dxa"/>
            </w:tcMar>
            <w:vAlign w:val="bottom"/>
          </w:tcPr>
          <w:p w14:paraId="64A8A7B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7B5"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7B6"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A7B7" w14:textId="77777777" w:rsidR="008D6614" w:rsidRDefault="00866AF2">
            <w:pPr>
              <w:jc w:val="right"/>
              <w:textAlignment w:val="bottom"/>
            </w:pPr>
            <w:r>
              <w:rPr>
                <w:rFonts w:ascii="Arial" w:eastAsia="宋体" w:hAnsi="Arial" w:cs="Arial"/>
                <w:color w:val="000000"/>
                <w:sz w:val="16"/>
                <w:szCs w:val="16"/>
              </w:rPr>
              <w:t>20 </w:t>
            </w:r>
          </w:p>
        </w:tc>
        <w:tc>
          <w:tcPr>
            <w:tcW w:w="0" w:type="auto"/>
            <w:tcBorders>
              <w:top w:val="single" w:sz="8" w:space="0" w:color="000000"/>
            </w:tcBorders>
            <w:shd w:val="clear" w:color="auto" w:fill="E2E2E2"/>
            <w:tcMar>
              <w:top w:w="40" w:type="dxa"/>
              <w:bottom w:w="40" w:type="dxa"/>
              <w:right w:w="20" w:type="dxa"/>
            </w:tcMar>
            <w:vAlign w:val="bottom"/>
          </w:tcPr>
          <w:p w14:paraId="64A8A7B8"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auto"/>
            <w:vAlign w:val="center"/>
          </w:tcPr>
          <w:p w14:paraId="64A8A7B9" w14:textId="77777777" w:rsidR="008D6614" w:rsidRDefault="008D6614">
            <w:pPr>
              <w:rPr>
                <w:rFonts w:ascii="宋体"/>
                <w:vanish/>
              </w:rPr>
            </w:pPr>
          </w:p>
        </w:tc>
        <w:tc>
          <w:tcPr>
            <w:tcW w:w="0" w:type="auto"/>
            <w:shd w:val="clear" w:color="auto" w:fill="auto"/>
            <w:vAlign w:val="center"/>
          </w:tcPr>
          <w:p w14:paraId="64A8A7BA" w14:textId="77777777" w:rsidR="008D6614" w:rsidRDefault="008D6614">
            <w:pPr>
              <w:rPr>
                <w:rFonts w:ascii="宋体"/>
                <w:vanish/>
              </w:rPr>
            </w:pPr>
          </w:p>
        </w:tc>
        <w:tc>
          <w:tcPr>
            <w:tcW w:w="0" w:type="auto"/>
            <w:shd w:val="clear" w:color="auto" w:fill="auto"/>
            <w:vAlign w:val="center"/>
          </w:tcPr>
          <w:p w14:paraId="64A8A7BB" w14:textId="77777777" w:rsidR="008D6614" w:rsidRDefault="008D6614">
            <w:pPr>
              <w:rPr>
                <w:rFonts w:ascii="宋体"/>
                <w:vanish/>
              </w:rPr>
            </w:pPr>
          </w:p>
        </w:tc>
        <w:tc>
          <w:tcPr>
            <w:tcW w:w="0" w:type="auto"/>
            <w:shd w:val="clear" w:color="auto" w:fill="auto"/>
            <w:vAlign w:val="center"/>
          </w:tcPr>
          <w:p w14:paraId="64A8A7BC" w14:textId="77777777" w:rsidR="008D6614" w:rsidRDefault="008D6614">
            <w:pPr>
              <w:rPr>
                <w:rFonts w:ascii="宋体"/>
                <w:vanish/>
              </w:rPr>
            </w:pPr>
          </w:p>
        </w:tc>
        <w:tc>
          <w:tcPr>
            <w:tcW w:w="0" w:type="auto"/>
            <w:shd w:val="clear" w:color="auto" w:fill="auto"/>
            <w:vAlign w:val="center"/>
          </w:tcPr>
          <w:p w14:paraId="64A8A7BD" w14:textId="77777777" w:rsidR="008D6614" w:rsidRDefault="008D6614">
            <w:pPr>
              <w:rPr>
                <w:rFonts w:ascii="宋体"/>
              </w:rPr>
            </w:pPr>
          </w:p>
        </w:tc>
        <w:tc>
          <w:tcPr>
            <w:tcW w:w="0" w:type="auto"/>
            <w:shd w:val="clear" w:color="auto" w:fill="auto"/>
            <w:vAlign w:val="center"/>
          </w:tcPr>
          <w:p w14:paraId="64A8A7BE" w14:textId="77777777" w:rsidR="008D6614" w:rsidRDefault="008D6614">
            <w:pPr>
              <w:rPr>
                <w:rFonts w:ascii="宋体"/>
              </w:rPr>
            </w:pPr>
          </w:p>
        </w:tc>
        <w:tc>
          <w:tcPr>
            <w:tcW w:w="0" w:type="auto"/>
            <w:shd w:val="clear" w:color="auto" w:fill="auto"/>
            <w:vAlign w:val="center"/>
          </w:tcPr>
          <w:p w14:paraId="64A8A7BF" w14:textId="77777777" w:rsidR="008D6614" w:rsidRDefault="008D6614">
            <w:pPr>
              <w:rPr>
                <w:rFonts w:ascii="宋体"/>
              </w:rPr>
            </w:pPr>
          </w:p>
        </w:tc>
        <w:tc>
          <w:tcPr>
            <w:tcW w:w="0" w:type="auto"/>
            <w:shd w:val="clear" w:color="auto" w:fill="auto"/>
            <w:vAlign w:val="center"/>
          </w:tcPr>
          <w:p w14:paraId="64A8A7C0" w14:textId="77777777" w:rsidR="008D6614" w:rsidRDefault="008D6614">
            <w:pPr>
              <w:rPr>
                <w:rFonts w:ascii="宋体"/>
              </w:rPr>
            </w:pPr>
          </w:p>
        </w:tc>
        <w:tc>
          <w:tcPr>
            <w:tcW w:w="0" w:type="auto"/>
            <w:shd w:val="clear" w:color="auto" w:fill="auto"/>
            <w:vAlign w:val="center"/>
          </w:tcPr>
          <w:p w14:paraId="64A8A7C1" w14:textId="77777777" w:rsidR="008D6614" w:rsidRDefault="008D6614">
            <w:pPr>
              <w:rPr>
                <w:rFonts w:ascii="宋体"/>
              </w:rPr>
            </w:pPr>
          </w:p>
        </w:tc>
        <w:tc>
          <w:tcPr>
            <w:tcW w:w="0" w:type="auto"/>
            <w:shd w:val="clear" w:color="auto" w:fill="auto"/>
            <w:vAlign w:val="center"/>
          </w:tcPr>
          <w:p w14:paraId="64A8A7C2" w14:textId="77777777" w:rsidR="008D6614" w:rsidRDefault="008D6614">
            <w:pPr>
              <w:rPr>
                <w:rFonts w:ascii="宋体"/>
              </w:rPr>
            </w:pPr>
          </w:p>
        </w:tc>
      </w:tr>
      <w:tr w:rsidR="008D6614" w14:paraId="64A8A7D5" w14:textId="77777777">
        <w:trPr>
          <w:jc w:val="center"/>
          <w:hidden/>
        </w:trPr>
        <w:tc>
          <w:tcPr>
            <w:tcW w:w="0" w:type="auto"/>
            <w:gridSpan w:val="3"/>
            <w:shd w:val="clear" w:color="auto" w:fill="auto"/>
            <w:vAlign w:val="center"/>
          </w:tcPr>
          <w:p w14:paraId="64A8A7C4" w14:textId="77777777" w:rsidR="008D6614" w:rsidRDefault="008D6614">
            <w:pPr>
              <w:rPr>
                <w:rFonts w:ascii="宋体"/>
                <w:vanish/>
              </w:rPr>
            </w:pPr>
          </w:p>
        </w:tc>
        <w:tc>
          <w:tcPr>
            <w:tcW w:w="0" w:type="auto"/>
            <w:gridSpan w:val="3"/>
            <w:shd w:val="clear" w:color="auto" w:fill="auto"/>
            <w:vAlign w:val="center"/>
          </w:tcPr>
          <w:p w14:paraId="64A8A7C5" w14:textId="77777777" w:rsidR="008D6614" w:rsidRDefault="008D6614">
            <w:pPr>
              <w:rPr>
                <w:rFonts w:ascii="宋体"/>
                <w:vanish/>
              </w:rPr>
            </w:pPr>
          </w:p>
        </w:tc>
        <w:tc>
          <w:tcPr>
            <w:tcW w:w="0" w:type="auto"/>
            <w:gridSpan w:val="3"/>
            <w:shd w:val="clear" w:color="auto" w:fill="auto"/>
            <w:vAlign w:val="center"/>
          </w:tcPr>
          <w:p w14:paraId="64A8A7C6" w14:textId="77777777" w:rsidR="008D6614" w:rsidRDefault="008D6614">
            <w:pPr>
              <w:rPr>
                <w:rFonts w:ascii="宋体"/>
                <w:vanish/>
              </w:rPr>
            </w:pPr>
          </w:p>
        </w:tc>
        <w:tc>
          <w:tcPr>
            <w:tcW w:w="0" w:type="auto"/>
            <w:gridSpan w:val="3"/>
            <w:shd w:val="clear" w:color="auto" w:fill="auto"/>
            <w:vAlign w:val="center"/>
          </w:tcPr>
          <w:p w14:paraId="64A8A7C7" w14:textId="77777777" w:rsidR="008D6614" w:rsidRDefault="008D6614">
            <w:pPr>
              <w:rPr>
                <w:rFonts w:ascii="宋体"/>
                <w:vanish/>
              </w:rPr>
            </w:pPr>
          </w:p>
        </w:tc>
        <w:tc>
          <w:tcPr>
            <w:tcW w:w="0" w:type="auto"/>
            <w:gridSpan w:val="3"/>
            <w:shd w:val="clear" w:color="auto" w:fill="auto"/>
            <w:vAlign w:val="center"/>
          </w:tcPr>
          <w:p w14:paraId="64A8A7C8" w14:textId="77777777" w:rsidR="008D6614" w:rsidRDefault="008D6614">
            <w:pPr>
              <w:rPr>
                <w:rFonts w:ascii="宋体"/>
                <w:vanish/>
              </w:rPr>
            </w:pPr>
          </w:p>
        </w:tc>
        <w:tc>
          <w:tcPr>
            <w:tcW w:w="0" w:type="auto"/>
            <w:gridSpan w:val="3"/>
            <w:shd w:val="clear" w:color="auto" w:fill="auto"/>
            <w:vAlign w:val="center"/>
          </w:tcPr>
          <w:p w14:paraId="64A8A7C9" w14:textId="77777777" w:rsidR="008D6614" w:rsidRDefault="008D6614">
            <w:pPr>
              <w:rPr>
                <w:rFonts w:ascii="宋体"/>
                <w:vanish/>
              </w:rPr>
            </w:pPr>
          </w:p>
        </w:tc>
        <w:tc>
          <w:tcPr>
            <w:tcW w:w="0" w:type="auto"/>
            <w:gridSpan w:val="3"/>
            <w:shd w:val="clear" w:color="auto" w:fill="auto"/>
            <w:vAlign w:val="center"/>
          </w:tcPr>
          <w:p w14:paraId="64A8A7CA" w14:textId="77777777" w:rsidR="008D6614" w:rsidRDefault="008D6614">
            <w:pPr>
              <w:rPr>
                <w:rFonts w:ascii="宋体"/>
                <w:vanish/>
              </w:rPr>
            </w:pPr>
          </w:p>
        </w:tc>
        <w:tc>
          <w:tcPr>
            <w:tcW w:w="0" w:type="auto"/>
            <w:shd w:val="clear" w:color="auto" w:fill="auto"/>
            <w:vAlign w:val="center"/>
          </w:tcPr>
          <w:p w14:paraId="64A8A7CB" w14:textId="77777777" w:rsidR="008D6614" w:rsidRDefault="008D6614">
            <w:pPr>
              <w:rPr>
                <w:rFonts w:ascii="宋体"/>
                <w:vanish/>
              </w:rPr>
            </w:pPr>
          </w:p>
        </w:tc>
        <w:tc>
          <w:tcPr>
            <w:tcW w:w="0" w:type="auto"/>
            <w:shd w:val="clear" w:color="auto" w:fill="auto"/>
            <w:vAlign w:val="center"/>
          </w:tcPr>
          <w:p w14:paraId="64A8A7CC" w14:textId="77777777" w:rsidR="008D6614" w:rsidRDefault="008D6614">
            <w:pPr>
              <w:rPr>
                <w:rFonts w:ascii="宋体"/>
                <w:vanish/>
              </w:rPr>
            </w:pPr>
          </w:p>
        </w:tc>
        <w:tc>
          <w:tcPr>
            <w:tcW w:w="0" w:type="auto"/>
            <w:shd w:val="clear" w:color="auto" w:fill="auto"/>
            <w:vAlign w:val="center"/>
          </w:tcPr>
          <w:p w14:paraId="64A8A7CD" w14:textId="77777777" w:rsidR="008D6614" w:rsidRDefault="008D6614">
            <w:pPr>
              <w:rPr>
                <w:rFonts w:ascii="宋体"/>
                <w:vanish/>
              </w:rPr>
            </w:pPr>
          </w:p>
        </w:tc>
        <w:tc>
          <w:tcPr>
            <w:tcW w:w="0" w:type="auto"/>
            <w:shd w:val="clear" w:color="auto" w:fill="auto"/>
            <w:vAlign w:val="center"/>
          </w:tcPr>
          <w:p w14:paraId="64A8A7CE" w14:textId="77777777" w:rsidR="008D6614" w:rsidRDefault="008D6614">
            <w:pPr>
              <w:rPr>
                <w:rFonts w:ascii="宋体"/>
                <w:vanish/>
              </w:rPr>
            </w:pPr>
          </w:p>
        </w:tc>
        <w:tc>
          <w:tcPr>
            <w:tcW w:w="0" w:type="auto"/>
            <w:shd w:val="clear" w:color="auto" w:fill="auto"/>
            <w:vAlign w:val="center"/>
          </w:tcPr>
          <w:p w14:paraId="64A8A7CF" w14:textId="77777777" w:rsidR="008D6614" w:rsidRDefault="008D6614">
            <w:pPr>
              <w:rPr>
                <w:rFonts w:ascii="宋体"/>
              </w:rPr>
            </w:pPr>
          </w:p>
        </w:tc>
        <w:tc>
          <w:tcPr>
            <w:tcW w:w="0" w:type="auto"/>
            <w:shd w:val="clear" w:color="auto" w:fill="auto"/>
            <w:vAlign w:val="center"/>
          </w:tcPr>
          <w:p w14:paraId="64A8A7D0" w14:textId="77777777" w:rsidR="008D6614" w:rsidRDefault="008D6614">
            <w:pPr>
              <w:rPr>
                <w:rFonts w:ascii="宋体"/>
              </w:rPr>
            </w:pPr>
          </w:p>
        </w:tc>
        <w:tc>
          <w:tcPr>
            <w:tcW w:w="0" w:type="auto"/>
            <w:shd w:val="clear" w:color="auto" w:fill="auto"/>
            <w:vAlign w:val="center"/>
          </w:tcPr>
          <w:p w14:paraId="64A8A7D1" w14:textId="77777777" w:rsidR="008D6614" w:rsidRDefault="008D6614">
            <w:pPr>
              <w:rPr>
                <w:rFonts w:ascii="宋体"/>
              </w:rPr>
            </w:pPr>
          </w:p>
        </w:tc>
        <w:tc>
          <w:tcPr>
            <w:tcW w:w="0" w:type="auto"/>
            <w:shd w:val="clear" w:color="auto" w:fill="auto"/>
            <w:vAlign w:val="center"/>
          </w:tcPr>
          <w:p w14:paraId="64A8A7D2" w14:textId="77777777" w:rsidR="008D6614" w:rsidRDefault="008D6614">
            <w:pPr>
              <w:rPr>
                <w:rFonts w:ascii="宋体"/>
              </w:rPr>
            </w:pPr>
          </w:p>
        </w:tc>
        <w:tc>
          <w:tcPr>
            <w:tcW w:w="0" w:type="auto"/>
            <w:shd w:val="clear" w:color="auto" w:fill="auto"/>
            <w:vAlign w:val="center"/>
          </w:tcPr>
          <w:p w14:paraId="64A8A7D3" w14:textId="77777777" w:rsidR="008D6614" w:rsidRDefault="008D6614">
            <w:pPr>
              <w:rPr>
                <w:rFonts w:ascii="宋体"/>
              </w:rPr>
            </w:pPr>
          </w:p>
        </w:tc>
        <w:tc>
          <w:tcPr>
            <w:tcW w:w="0" w:type="auto"/>
            <w:shd w:val="clear" w:color="auto" w:fill="auto"/>
            <w:vAlign w:val="center"/>
          </w:tcPr>
          <w:p w14:paraId="64A8A7D4" w14:textId="77777777" w:rsidR="008D6614" w:rsidRDefault="008D6614">
            <w:pPr>
              <w:rPr>
                <w:rFonts w:ascii="宋体"/>
              </w:rPr>
            </w:pPr>
          </w:p>
        </w:tc>
      </w:tr>
      <w:tr w:rsidR="008D6614" w14:paraId="64A8A7E7" w14:textId="77777777">
        <w:trPr>
          <w:jc w:val="center"/>
          <w:hidden/>
        </w:trPr>
        <w:tc>
          <w:tcPr>
            <w:tcW w:w="0" w:type="auto"/>
            <w:gridSpan w:val="3"/>
            <w:shd w:val="clear" w:color="auto" w:fill="auto"/>
            <w:vAlign w:val="center"/>
          </w:tcPr>
          <w:p w14:paraId="64A8A7D6" w14:textId="77777777" w:rsidR="008D6614" w:rsidRDefault="008D6614">
            <w:pPr>
              <w:rPr>
                <w:rFonts w:ascii="宋体"/>
                <w:vanish/>
              </w:rPr>
            </w:pPr>
          </w:p>
        </w:tc>
        <w:tc>
          <w:tcPr>
            <w:tcW w:w="0" w:type="auto"/>
            <w:gridSpan w:val="3"/>
            <w:shd w:val="clear" w:color="auto" w:fill="auto"/>
            <w:vAlign w:val="center"/>
          </w:tcPr>
          <w:p w14:paraId="64A8A7D7" w14:textId="77777777" w:rsidR="008D6614" w:rsidRDefault="008D6614">
            <w:pPr>
              <w:rPr>
                <w:rFonts w:ascii="宋体"/>
                <w:vanish/>
              </w:rPr>
            </w:pPr>
          </w:p>
        </w:tc>
        <w:tc>
          <w:tcPr>
            <w:tcW w:w="0" w:type="auto"/>
            <w:gridSpan w:val="3"/>
            <w:shd w:val="clear" w:color="auto" w:fill="auto"/>
            <w:vAlign w:val="center"/>
          </w:tcPr>
          <w:p w14:paraId="64A8A7D8" w14:textId="77777777" w:rsidR="008D6614" w:rsidRDefault="008D6614">
            <w:pPr>
              <w:rPr>
                <w:rFonts w:ascii="宋体"/>
                <w:vanish/>
              </w:rPr>
            </w:pPr>
          </w:p>
        </w:tc>
        <w:tc>
          <w:tcPr>
            <w:tcW w:w="0" w:type="auto"/>
            <w:gridSpan w:val="3"/>
            <w:shd w:val="clear" w:color="auto" w:fill="auto"/>
            <w:vAlign w:val="center"/>
          </w:tcPr>
          <w:p w14:paraId="64A8A7D9" w14:textId="77777777" w:rsidR="008D6614" w:rsidRDefault="008D6614">
            <w:pPr>
              <w:rPr>
                <w:rFonts w:ascii="宋体"/>
                <w:vanish/>
              </w:rPr>
            </w:pPr>
          </w:p>
        </w:tc>
        <w:tc>
          <w:tcPr>
            <w:tcW w:w="0" w:type="auto"/>
            <w:gridSpan w:val="3"/>
            <w:shd w:val="clear" w:color="auto" w:fill="auto"/>
            <w:vAlign w:val="center"/>
          </w:tcPr>
          <w:p w14:paraId="64A8A7DA" w14:textId="77777777" w:rsidR="008D6614" w:rsidRDefault="008D6614">
            <w:pPr>
              <w:rPr>
                <w:rFonts w:ascii="宋体"/>
                <w:vanish/>
              </w:rPr>
            </w:pPr>
          </w:p>
        </w:tc>
        <w:tc>
          <w:tcPr>
            <w:tcW w:w="0" w:type="auto"/>
            <w:gridSpan w:val="3"/>
            <w:shd w:val="clear" w:color="auto" w:fill="auto"/>
            <w:vAlign w:val="center"/>
          </w:tcPr>
          <w:p w14:paraId="64A8A7DB" w14:textId="77777777" w:rsidR="008D6614" w:rsidRDefault="008D6614">
            <w:pPr>
              <w:rPr>
                <w:rFonts w:ascii="宋体"/>
                <w:vanish/>
              </w:rPr>
            </w:pPr>
          </w:p>
        </w:tc>
        <w:tc>
          <w:tcPr>
            <w:tcW w:w="0" w:type="auto"/>
            <w:gridSpan w:val="3"/>
            <w:shd w:val="clear" w:color="auto" w:fill="auto"/>
            <w:vAlign w:val="center"/>
          </w:tcPr>
          <w:p w14:paraId="64A8A7DC" w14:textId="77777777" w:rsidR="008D6614" w:rsidRDefault="008D6614">
            <w:pPr>
              <w:rPr>
                <w:rFonts w:ascii="宋体"/>
                <w:vanish/>
              </w:rPr>
            </w:pPr>
          </w:p>
        </w:tc>
        <w:tc>
          <w:tcPr>
            <w:tcW w:w="0" w:type="auto"/>
            <w:shd w:val="clear" w:color="auto" w:fill="auto"/>
            <w:vAlign w:val="center"/>
          </w:tcPr>
          <w:p w14:paraId="64A8A7DD" w14:textId="77777777" w:rsidR="008D6614" w:rsidRDefault="008D6614">
            <w:pPr>
              <w:rPr>
                <w:rFonts w:ascii="宋体"/>
                <w:vanish/>
              </w:rPr>
            </w:pPr>
          </w:p>
        </w:tc>
        <w:tc>
          <w:tcPr>
            <w:tcW w:w="0" w:type="auto"/>
            <w:shd w:val="clear" w:color="auto" w:fill="auto"/>
            <w:vAlign w:val="center"/>
          </w:tcPr>
          <w:p w14:paraId="64A8A7DE" w14:textId="77777777" w:rsidR="008D6614" w:rsidRDefault="008D6614">
            <w:pPr>
              <w:rPr>
                <w:rFonts w:ascii="宋体"/>
                <w:vanish/>
              </w:rPr>
            </w:pPr>
          </w:p>
        </w:tc>
        <w:tc>
          <w:tcPr>
            <w:tcW w:w="0" w:type="auto"/>
            <w:shd w:val="clear" w:color="auto" w:fill="auto"/>
            <w:vAlign w:val="center"/>
          </w:tcPr>
          <w:p w14:paraId="64A8A7DF" w14:textId="77777777" w:rsidR="008D6614" w:rsidRDefault="008D6614">
            <w:pPr>
              <w:rPr>
                <w:rFonts w:ascii="宋体"/>
                <w:vanish/>
              </w:rPr>
            </w:pPr>
          </w:p>
        </w:tc>
        <w:tc>
          <w:tcPr>
            <w:tcW w:w="0" w:type="auto"/>
            <w:shd w:val="clear" w:color="auto" w:fill="auto"/>
            <w:vAlign w:val="center"/>
          </w:tcPr>
          <w:p w14:paraId="64A8A7E0" w14:textId="77777777" w:rsidR="008D6614" w:rsidRDefault="008D6614">
            <w:pPr>
              <w:rPr>
                <w:rFonts w:ascii="宋体"/>
                <w:vanish/>
              </w:rPr>
            </w:pPr>
          </w:p>
        </w:tc>
        <w:tc>
          <w:tcPr>
            <w:tcW w:w="0" w:type="auto"/>
            <w:shd w:val="clear" w:color="auto" w:fill="auto"/>
            <w:vAlign w:val="center"/>
          </w:tcPr>
          <w:p w14:paraId="64A8A7E1" w14:textId="77777777" w:rsidR="008D6614" w:rsidRDefault="008D6614">
            <w:pPr>
              <w:rPr>
                <w:rFonts w:ascii="宋体"/>
              </w:rPr>
            </w:pPr>
          </w:p>
        </w:tc>
        <w:tc>
          <w:tcPr>
            <w:tcW w:w="0" w:type="auto"/>
            <w:shd w:val="clear" w:color="auto" w:fill="auto"/>
            <w:vAlign w:val="center"/>
          </w:tcPr>
          <w:p w14:paraId="64A8A7E2" w14:textId="77777777" w:rsidR="008D6614" w:rsidRDefault="008D6614">
            <w:pPr>
              <w:rPr>
                <w:rFonts w:ascii="宋体"/>
              </w:rPr>
            </w:pPr>
          </w:p>
        </w:tc>
        <w:tc>
          <w:tcPr>
            <w:tcW w:w="0" w:type="auto"/>
            <w:shd w:val="clear" w:color="auto" w:fill="auto"/>
            <w:vAlign w:val="center"/>
          </w:tcPr>
          <w:p w14:paraId="64A8A7E3" w14:textId="77777777" w:rsidR="008D6614" w:rsidRDefault="008D6614">
            <w:pPr>
              <w:rPr>
                <w:rFonts w:ascii="宋体"/>
              </w:rPr>
            </w:pPr>
          </w:p>
        </w:tc>
        <w:tc>
          <w:tcPr>
            <w:tcW w:w="0" w:type="auto"/>
            <w:shd w:val="clear" w:color="auto" w:fill="auto"/>
            <w:vAlign w:val="center"/>
          </w:tcPr>
          <w:p w14:paraId="64A8A7E4" w14:textId="77777777" w:rsidR="008D6614" w:rsidRDefault="008D6614">
            <w:pPr>
              <w:rPr>
                <w:rFonts w:ascii="宋体"/>
              </w:rPr>
            </w:pPr>
          </w:p>
        </w:tc>
        <w:tc>
          <w:tcPr>
            <w:tcW w:w="0" w:type="auto"/>
            <w:shd w:val="clear" w:color="auto" w:fill="auto"/>
            <w:vAlign w:val="center"/>
          </w:tcPr>
          <w:p w14:paraId="64A8A7E5" w14:textId="77777777" w:rsidR="008D6614" w:rsidRDefault="008D6614">
            <w:pPr>
              <w:rPr>
                <w:rFonts w:ascii="宋体"/>
              </w:rPr>
            </w:pPr>
          </w:p>
        </w:tc>
        <w:tc>
          <w:tcPr>
            <w:tcW w:w="0" w:type="auto"/>
            <w:shd w:val="clear" w:color="auto" w:fill="auto"/>
            <w:vAlign w:val="center"/>
          </w:tcPr>
          <w:p w14:paraId="64A8A7E6" w14:textId="77777777" w:rsidR="008D6614" w:rsidRDefault="008D6614">
            <w:pPr>
              <w:rPr>
                <w:rFonts w:ascii="宋体"/>
              </w:rPr>
            </w:pPr>
          </w:p>
        </w:tc>
      </w:tr>
      <w:tr w:rsidR="008D6614" w14:paraId="64A8A7F9" w14:textId="77777777">
        <w:trPr>
          <w:jc w:val="center"/>
          <w:hidden/>
        </w:trPr>
        <w:tc>
          <w:tcPr>
            <w:tcW w:w="0" w:type="auto"/>
            <w:gridSpan w:val="3"/>
            <w:shd w:val="clear" w:color="auto" w:fill="auto"/>
            <w:vAlign w:val="center"/>
          </w:tcPr>
          <w:p w14:paraId="64A8A7E8" w14:textId="77777777" w:rsidR="008D6614" w:rsidRDefault="008D6614">
            <w:pPr>
              <w:rPr>
                <w:rFonts w:ascii="宋体"/>
                <w:vanish/>
              </w:rPr>
            </w:pPr>
          </w:p>
        </w:tc>
        <w:tc>
          <w:tcPr>
            <w:tcW w:w="0" w:type="auto"/>
            <w:gridSpan w:val="3"/>
            <w:shd w:val="clear" w:color="auto" w:fill="auto"/>
            <w:vAlign w:val="center"/>
          </w:tcPr>
          <w:p w14:paraId="64A8A7E9" w14:textId="77777777" w:rsidR="008D6614" w:rsidRDefault="008D6614">
            <w:pPr>
              <w:rPr>
                <w:rFonts w:ascii="宋体"/>
                <w:vanish/>
              </w:rPr>
            </w:pPr>
          </w:p>
        </w:tc>
        <w:tc>
          <w:tcPr>
            <w:tcW w:w="0" w:type="auto"/>
            <w:gridSpan w:val="3"/>
            <w:shd w:val="clear" w:color="auto" w:fill="auto"/>
            <w:vAlign w:val="center"/>
          </w:tcPr>
          <w:p w14:paraId="64A8A7EA" w14:textId="77777777" w:rsidR="008D6614" w:rsidRDefault="008D6614">
            <w:pPr>
              <w:rPr>
                <w:rFonts w:ascii="宋体"/>
                <w:vanish/>
              </w:rPr>
            </w:pPr>
          </w:p>
        </w:tc>
        <w:tc>
          <w:tcPr>
            <w:tcW w:w="0" w:type="auto"/>
            <w:gridSpan w:val="3"/>
            <w:shd w:val="clear" w:color="auto" w:fill="auto"/>
            <w:vAlign w:val="center"/>
          </w:tcPr>
          <w:p w14:paraId="64A8A7EB" w14:textId="77777777" w:rsidR="008D6614" w:rsidRDefault="008D6614">
            <w:pPr>
              <w:rPr>
                <w:rFonts w:ascii="宋体"/>
                <w:vanish/>
              </w:rPr>
            </w:pPr>
          </w:p>
        </w:tc>
        <w:tc>
          <w:tcPr>
            <w:tcW w:w="0" w:type="auto"/>
            <w:gridSpan w:val="3"/>
            <w:shd w:val="clear" w:color="auto" w:fill="auto"/>
            <w:vAlign w:val="center"/>
          </w:tcPr>
          <w:p w14:paraId="64A8A7EC" w14:textId="77777777" w:rsidR="008D6614" w:rsidRDefault="008D6614">
            <w:pPr>
              <w:rPr>
                <w:rFonts w:ascii="宋体"/>
                <w:vanish/>
              </w:rPr>
            </w:pPr>
          </w:p>
        </w:tc>
        <w:tc>
          <w:tcPr>
            <w:tcW w:w="0" w:type="auto"/>
            <w:gridSpan w:val="3"/>
            <w:shd w:val="clear" w:color="auto" w:fill="auto"/>
            <w:vAlign w:val="center"/>
          </w:tcPr>
          <w:p w14:paraId="64A8A7ED" w14:textId="77777777" w:rsidR="008D6614" w:rsidRDefault="008D6614">
            <w:pPr>
              <w:rPr>
                <w:rFonts w:ascii="宋体"/>
                <w:vanish/>
              </w:rPr>
            </w:pPr>
          </w:p>
        </w:tc>
        <w:tc>
          <w:tcPr>
            <w:tcW w:w="0" w:type="auto"/>
            <w:gridSpan w:val="3"/>
            <w:shd w:val="clear" w:color="auto" w:fill="auto"/>
            <w:vAlign w:val="center"/>
          </w:tcPr>
          <w:p w14:paraId="64A8A7EE" w14:textId="77777777" w:rsidR="008D6614" w:rsidRDefault="008D6614">
            <w:pPr>
              <w:rPr>
                <w:rFonts w:ascii="宋体"/>
                <w:vanish/>
              </w:rPr>
            </w:pPr>
          </w:p>
        </w:tc>
        <w:tc>
          <w:tcPr>
            <w:tcW w:w="0" w:type="auto"/>
            <w:shd w:val="clear" w:color="auto" w:fill="auto"/>
            <w:vAlign w:val="center"/>
          </w:tcPr>
          <w:p w14:paraId="64A8A7EF" w14:textId="77777777" w:rsidR="008D6614" w:rsidRDefault="008D6614">
            <w:pPr>
              <w:rPr>
                <w:rFonts w:ascii="宋体"/>
                <w:vanish/>
              </w:rPr>
            </w:pPr>
          </w:p>
        </w:tc>
        <w:tc>
          <w:tcPr>
            <w:tcW w:w="0" w:type="auto"/>
            <w:shd w:val="clear" w:color="auto" w:fill="auto"/>
            <w:vAlign w:val="center"/>
          </w:tcPr>
          <w:p w14:paraId="64A8A7F0" w14:textId="77777777" w:rsidR="008D6614" w:rsidRDefault="008D6614">
            <w:pPr>
              <w:rPr>
                <w:rFonts w:ascii="宋体"/>
                <w:vanish/>
              </w:rPr>
            </w:pPr>
          </w:p>
        </w:tc>
        <w:tc>
          <w:tcPr>
            <w:tcW w:w="0" w:type="auto"/>
            <w:shd w:val="clear" w:color="auto" w:fill="auto"/>
            <w:vAlign w:val="center"/>
          </w:tcPr>
          <w:p w14:paraId="64A8A7F1" w14:textId="77777777" w:rsidR="008D6614" w:rsidRDefault="008D6614">
            <w:pPr>
              <w:rPr>
                <w:rFonts w:ascii="宋体"/>
                <w:vanish/>
              </w:rPr>
            </w:pPr>
          </w:p>
        </w:tc>
        <w:tc>
          <w:tcPr>
            <w:tcW w:w="0" w:type="auto"/>
            <w:shd w:val="clear" w:color="auto" w:fill="auto"/>
            <w:vAlign w:val="center"/>
          </w:tcPr>
          <w:p w14:paraId="64A8A7F2" w14:textId="77777777" w:rsidR="008D6614" w:rsidRDefault="008D6614">
            <w:pPr>
              <w:rPr>
                <w:rFonts w:ascii="宋体"/>
                <w:vanish/>
              </w:rPr>
            </w:pPr>
          </w:p>
        </w:tc>
        <w:tc>
          <w:tcPr>
            <w:tcW w:w="0" w:type="auto"/>
            <w:shd w:val="clear" w:color="auto" w:fill="auto"/>
            <w:vAlign w:val="center"/>
          </w:tcPr>
          <w:p w14:paraId="64A8A7F3" w14:textId="77777777" w:rsidR="008D6614" w:rsidRDefault="008D6614">
            <w:pPr>
              <w:rPr>
                <w:rFonts w:ascii="宋体"/>
              </w:rPr>
            </w:pPr>
          </w:p>
        </w:tc>
        <w:tc>
          <w:tcPr>
            <w:tcW w:w="0" w:type="auto"/>
            <w:shd w:val="clear" w:color="auto" w:fill="auto"/>
            <w:vAlign w:val="center"/>
          </w:tcPr>
          <w:p w14:paraId="64A8A7F4" w14:textId="77777777" w:rsidR="008D6614" w:rsidRDefault="008D6614">
            <w:pPr>
              <w:rPr>
                <w:rFonts w:ascii="宋体"/>
              </w:rPr>
            </w:pPr>
          </w:p>
        </w:tc>
        <w:tc>
          <w:tcPr>
            <w:tcW w:w="0" w:type="auto"/>
            <w:shd w:val="clear" w:color="auto" w:fill="auto"/>
            <w:vAlign w:val="center"/>
          </w:tcPr>
          <w:p w14:paraId="64A8A7F5" w14:textId="77777777" w:rsidR="008D6614" w:rsidRDefault="008D6614">
            <w:pPr>
              <w:rPr>
                <w:rFonts w:ascii="宋体"/>
              </w:rPr>
            </w:pPr>
          </w:p>
        </w:tc>
        <w:tc>
          <w:tcPr>
            <w:tcW w:w="0" w:type="auto"/>
            <w:shd w:val="clear" w:color="auto" w:fill="auto"/>
            <w:vAlign w:val="center"/>
          </w:tcPr>
          <w:p w14:paraId="64A8A7F6" w14:textId="77777777" w:rsidR="008D6614" w:rsidRDefault="008D6614">
            <w:pPr>
              <w:rPr>
                <w:rFonts w:ascii="宋体"/>
              </w:rPr>
            </w:pPr>
          </w:p>
        </w:tc>
        <w:tc>
          <w:tcPr>
            <w:tcW w:w="0" w:type="auto"/>
            <w:shd w:val="clear" w:color="auto" w:fill="auto"/>
            <w:vAlign w:val="center"/>
          </w:tcPr>
          <w:p w14:paraId="64A8A7F7" w14:textId="77777777" w:rsidR="008D6614" w:rsidRDefault="008D6614">
            <w:pPr>
              <w:rPr>
                <w:rFonts w:ascii="宋体"/>
              </w:rPr>
            </w:pPr>
          </w:p>
        </w:tc>
        <w:tc>
          <w:tcPr>
            <w:tcW w:w="0" w:type="auto"/>
            <w:shd w:val="clear" w:color="auto" w:fill="auto"/>
            <w:vAlign w:val="center"/>
          </w:tcPr>
          <w:p w14:paraId="64A8A7F8" w14:textId="77777777" w:rsidR="008D6614" w:rsidRDefault="008D6614">
            <w:pPr>
              <w:rPr>
                <w:rFonts w:ascii="宋体"/>
              </w:rPr>
            </w:pPr>
          </w:p>
        </w:tc>
      </w:tr>
      <w:tr w:rsidR="008D6614" w14:paraId="64A8A80B" w14:textId="77777777">
        <w:trPr>
          <w:jc w:val="center"/>
          <w:hidden/>
        </w:trPr>
        <w:tc>
          <w:tcPr>
            <w:tcW w:w="0" w:type="auto"/>
            <w:gridSpan w:val="3"/>
            <w:shd w:val="clear" w:color="auto" w:fill="auto"/>
            <w:vAlign w:val="center"/>
          </w:tcPr>
          <w:p w14:paraId="64A8A7FA" w14:textId="77777777" w:rsidR="008D6614" w:rsidRDefault="008D6614">
            <w:pPr>
              <w:rPr>
                <w:rFonts w:ascii="宋体"/>
                <w:vanish/>
              </w:rPr>
            </w:pPr>
          </w:p>
        </w:tc>
        <w:tc>
          <w:tcPr>
            <w:tcW w:w="0" w:type="auto"/>
            <w:gridSpan w:val="3"/>
            <w:shd w:val="clear" w:color="auto" w:fill="auto"/>
            <w:vAlign w:val="center"/>
          </w:tcPr>
          <w:p w14:paraId="64A8A7FB" w14:textId="77777777" w:rsidR="008D6614" w:rsidRDefault="008D6614">
            <w:pPr>
              <w:rPr>
                <w:rFonts w:ascii="宋体"/>
                <w:vanish/>
              </w:rPr>
            </w:pPr>
          </w:p>
        </w:tc>
        <w:tc>
          <w:tcPr>
            <w:tcW w:w="0" w:type="auto"/>
            <w:gridSpan w:val="3"/>
            <w:shd w:val="clear" w:color="auto" w:fill="auto"/>
            <w:vAlign w:val="center"/>
          </w:tcPr>
          <w:p w14:paraId="64A8A7FC" w14:textId="77777777" w:rsidR="008D6614" w:rsidRDefault="008D6614">
            <w:pPr>
              <w:rPr>
                <w:rFonts w:ascii="宋体"/>
                <w:vanish/>
              </w:rPr>
            </w:pPr>
          </w:p>
        </w:tc>
        <w:tc>
          <w:tcPr>
            <w:tcW w:w="0" w:type="auto"/>
            <w:gridSpan w:val="3"/>
            <w:shd w:val="clear" w:color="auto" w:fill="auto"/>
            <w:vAlign w:val="center"/>
          </w:tcPr>
          <w:p w14:paraId="64A8A7FD" w14:textId="77777777" w:rsidR="008D6614" w:rsidRDefault="008D6614">
            <w:pPr>
              <w:rPr>
                <w:rFonts w:ascii="宋体"/>
                <w:vanish/>
              </w:rPr>
            </w:pPr>
          </w:p>
        </w:tc>
        <w:tc>
          <w:tcPr>
            <w:tcW w:w="0" w:type="auto"/>
            <w:gridSpan w:val="3"/>
            <w:shd w:val="clear" w:color="auto" w:fill="auto"/>
            <w:vAlign w:val="center"/>
          </w:tcPr>
          <w:p w14:paraId="64A8A7FE" w14:textId="77777777" w:rsidR="008D6614" w:rsidRDefault="008D6614">
            <w:pPr>
              <w:rPr>
                <w:rFonts w:ascii="宋体"/>
                <w:vanish/>
              </w:rPr>
            </w:pPr>
          </w:p>
        </w:tc>
        <w:tc>
          <w:tcPr>
            <w:tcW w:w="0" w:type="auto"/>
            <w:gridSpan w:val="3"/>
            <w:shd w:val="clear" w:color="auto" w:fill="auto"/>
            <w:vAlign w:val="center"/>
          </w:tcPr>
          <w:p w14:paraId="64A8A7FF" w14:textId="77777777" w:rsidR="008D6614" w:rsidRDefault="008D6614">
            <w:pPr>
              <w:rPr>
                <w:rFonts w:ascii="宋体"/>
                <w:vanish/>
              </w:rPr>
            </w:pPr>
          </w:p>
        </w:tc>
        <w:tc>
          <w:tcPr>
            <w:tcW w:w="0" w:type="auto"/>
            <w:gridSpan w:val="3"/>
            <w:shd w:val="clear" w:color="auto" w:fill="auto"/>
            <w:vAlign w:val="center"/>
          </w:tcPr>
          <w:p w14:paraId="64A8A800" w14:textId="77777777" w:rsidR="008D6614" w:rsidRDefault="008D6614">
            <w:pPr>
              <w:rPr>
                <w:rFonts w:ascii="宋体"/>
                <w:vanish/>
              </w:rPr>
            </w:pPr>
          </w:p>
        </w:tc>
        <w:tc>
          <w:tcPr>
            <w:tcW w:w="0" w:type="auto"/>
            <w:shd w:val="clear" w:color="auto" w:fill="auto"/>
            <w:vAlign w:val="center"/>
          </w:tcPr>
          <w:p w14:paraId="64A8A801" w14:textId="77777777" w:rsidR="008D6614" w:rsidRDefault="008D6614">
            <w:pPr>
              <w:rPr>
                <w:rFonts w:ascii="宋体"/>
                <w:vanish/>
              </w:rPr>
            </w:pPr>
          </w:p>
        </w:tc>
        <w:tc>
          <w:tcPr>
            <w:tcW w:w="0" w:type="auto"/>
            <w:shd w:val="clear" w:color="auto" w:fill="auto"/>
            <w:vAlign w:val="center"/>
          </w:tcPr>
          <w:p w14:paraId="64A8A802" w14:textId="77777777" w:rsidR="008D6614" w:rsidRDefault="008D6614">
            <w:pPr>
              <w:rPr>
                <w:rFonts w:ascii="宋体"/>
                <w:vanish/>
              </w:rPr>
            </w:pPr>
          </w:p>
        </w:tc>
        <w:tc>
          <w:tcPr>
            <w:tcW w:w="0" w:type="auto"/>
            <w:shd w:val="clear" w:color="auto" w:fill="auto"/>
            <w:vAlign w:val="center"/>
          </w:tcPr>
          <w:p w14:paraId="64A8A803" w14:textId="77777777" w:rsidR="008D6614" w:rsidRDefault="008D6614">
            <w:pPr>
              <w:rPr>
                <w:rFonts w:ascii="宋体"/>
                <w:vanish/>
              </w:rPr>
            </w:pPr>
          </w:p>
        </w:tc>
        <w:tc>
          <w:tcPr>
            <w:tcW w:w="0" w:type="auto"/>
            <w:shd w:val="clear" w:color="auto" w:fill="auto"/>
            <w:vAlign w:val="center"/>
          </w:tcPr>
          <w:p w14:paraId="64A8A804" w14:textId="77777777" w:rsidR="008D6614" w:rsidRDefault="008D6614">
            <w:pPr>
              <w:rPr>
                <w:rFonts w:ascii="宋体"/>
                <w:vanish/>
              </w:rPr>
            </w:pPr>
          </w:p>
        </w:tc>
        <w:tc>
          <w:tcPr>
            <w:tcW w:w="0" w:type="auto"/>
            <w:shd w:val="clear" w:color="auto" w:fill="auto"/>
            <w:vAlign w:val="center"/>
          </w:tcPr>
          <w:p w14:paraId="64A8A805" w14:textId="77777777" w:rsidR="008D6614" w:rsidRDefault="008D6614">
            <w:pPr>
              <w:rPr>
                <w:rFonts w:ascii="宋体"/>
              </w:rPr>
            </w:pPr>
          </w:p>
        </w:tc>
        <w:tc>
          <w:tcPr>
            <w:tcW w:w="0" w:type="auto"/>
            <w:shd w:val="clear" w:color="auto" w:fill="auto"/>
            <w:vAlign w:val="center"/>
          </w:tcPr>
          <w:p w14:paraId="64A8A806" w14:textId="77777777" w:rsidR="008D6614" w:rsidRDefault="008D6614">
            <w:pPr>
              <w:rPr>
                <w:rFonts w:ascii="宋体"/>
              </w:rPr>
            </w:pPr>
          </w:p>
        </w:tc>
        <w:tc>
          <w:tcPr>
            <w:tcW w:w="0" w:type="auto"/>
            <w:shd w:val="clear" w:color="auto" w:fill="auto"/>
            <w:vAlign w:val="center"/>
          </w:tcPr>
          <w:p w14:paraId="64A8A807" w14:textId="77777777" w:rsidR="008D6614" w:rsidRDefault="008D6614">
            <w:pPr>
              <w:rPr>
                <w:rFonts w:ascii="宋体"/>
              </w:rPr>
            </w:pPr>
          </w:p>
        </w:tc>
        <w:tc>
          <w:tcPr>
            <w:tcW w:w="0" w:type="auto"/>
            <w:shd w:val="clear" w:color="auto" w:fill="auto"/>
            <w:vAlign w:val="center"/>
          </w:tcPr>
          <w:p w14:paraId="64A8A808" w14:textId="77777777" w:rsidR="008D6614" w:rsidRDefault="008D6614">
            <w:pPr>
              <w:rPr>
                <w:rFonts w:ascii="宋体"/>
              </w:rPr>
            </w:pPr>
          </w:p>
        </w:tc>
        <w:tc>
          <w:tcPr>
            <w:tcW w:w="0" w:type="auto"/>
            <w:shd w:val="clear" w:color="auto" w:fill="auto"/>
            <w:vAlign w:val="center"/>
          </w:tcPr>
          <w:p w14:paraId="64A8A809" w14:textId="77777777" w:rsidR="008D6614" w:rsidRDefault="008D6614">
            <w:pPr>
              <w:rPr>
                <w:rFonts w:ascii="宋体"/>
              </w:rPr>
            </w:pPr>
          </w:p>
        </w:tc>
        <w:tc>
          <w:tcPr>
            <w:tcW w:w="0" w:type="auto"/>
            <w:shd w:val="clear" w:color="auto" w:fill="auto"/>
            <w:vAlign w:val="center"/>
          </w:tcPr>
          <w:p w14:paraId="64A8A80A" w14:textId="77777777" w:rsidR="008D6614" w:rsidRDefault="008D6614">
            <w:pPr>
              <w:rPr>
                <w:rFonts w:ascii="宋体"/>
              </w:rPr>
            </w:pPr>
          </w:p>
        </w:tc>
      </w:tr>
      <w:tr w:rsidR="008D6614" w14:paraId="64A8A81D" w14:textId="77777777">
        <w:trPr>
          <w:jc w:val="center"/>
          <w:hidden/>
        </w:trPr>
        <w:tc>
          <w:tcPr>
            <w:tcW w:w="0" w:type="auto"/>
            <w:gridSpan w:val="3"/>
            <w:shd w:val="clear" w:color="auto" w:fill="auto"/>
            <w:vAlign w:val="center"/>
          </w:tcPr>
          <w:p w14:paraId="64A8A80C" w14:textId="77777777" w:rsidR="008D6614" w:rsidRDefault="008D6614">
            <w:pPr>
              <w:rPr>
                <w:rFonts w:ascii="宋体"/>
                <w:vanish/>
              </w:rPr>
            </w:pPr>
          </w:p>
        </w:tc>
        <w:tc>
          <w:tcPr>
            <w:tcW w:w="0" w:type="auto"/>
            <w:gridSpan w:val="3"/>
            <w:shd w:val="clear" w:color="auto" w:fill="auto"/>
            <w:vAlign w:val="center"/>
          </w:tcPr>
          <w:p w14:paraId="64A8A80D" w14:textId="77777777" w:rsidR="008D6614" w:rsidRDefault="008D6614">
            <w:pPr>
              <w:rPr>
                <w:rFonts w:ascii="宋体"/>
                <w:vanish/>
              </w:rPr>
            </w:pPr>
          </w:p>
        </w:tc>
        <w:tc>
          <w:tcPr>
            <w:tcW w:w="0" w:type="auto"/>
            <w:gridSpan w:val="3"/>
            <w:shd w:val="clear" w:color="auto" w:fill="auto"/>
            <w:vAlign w:val="center"/>
          </w:tcPr>
          <w:p w14:paraId="64A8A80E" w14:textId="77777777" w:rsidR="008D6614" w:rsidRDefault="008D6614">
            <w:pPr>
              <w:rPr>
                <w:rFonts w:ascii="宋体"/>
                <w:vanish/>
              </w:rPr>
            </w:pPr>
          </w:p>
        </w:tc>
        <w:tc>
          <w:tcPr>
            <w:tcW w:w="0" w:type="auto"/>
            <w:gridSpan w:val="3"/>
            <w:shd w:val="clear" w:color="auto" w:fill="auto"/>
            <w:vAlign w:val="center"/>
          </w:tcPr>
          <w:p w14:paraId="64A8A80F" w14:textId="77777777" w:rsidR="008D6614" w:rsidRDefault="008D6614">
            <w:pPr>
              <w:rPr>
                <w:rFonts w:ascii="宋体"/>
                <w:vanish/>
              </w:rPr>
            </w:pPr>
          </w:p>
        </w:tc>
        <w:tc>
          <w:tcPr>
            <w:tcW w:w="0" w:type="auto"/>
            <w:gridSpan w:val="3"/>
            <w:shd w:val="clear" w:color="auto" w:fill="auto"/>
            <w:vAlign w:val="center"/>
          </w:tcPr>
          <w:p w14:paraId="64A8A810" w14:textId="77777777" w:rsidR="008D6614" w:rsidRDefault="008D6614">
            <w:pPr>
              <w:rPr>
                <w:rFonts w:ascii="宋体"/>
                <w:vanish/>
              </w:rPr>
            </w:pPr>
          </w:p>
        </w:tc>
        <w:tc>
          <w:tcPr>
            <w:tcW w:w="0" w:type="auto"/>
            <w:gridSpan w:val="3"/>
            <w:shd w:val="clear" w:color="auto" w:fill="auto"/>
            <w:vAlign w:val="center"/>
          </w:tcPr>
          <w:p w14:paraId="64A8A811" w14:textId="77777777" w:rsidR="008D6614" w:rsidRDefault="008D6614">
            <w:pPr>
              <w:rPr>
                <w:rFonts w:ascii="宋体"/>
                <w:vanish/>
              </w:rPr>
            </w:pPr>
          </w:p>
        </w:tc>
        <w:tc>
          <w:tcPr>
            <w:tcW w:w="0" w:type="auto"/>
            <w:gridSpan w:val="3"/>
            <w:shd w:val="clear" w:color="auto" w:fill="auto"/>
            <w:vAlign w:val="center"/>
          </w:tcPr>
          <w:p w14:paraId="64A8A812" w14:textId="77777777" w:rsidR="008D6614" w:rsidRDefault="008D6614">
            <w:pPr>
              <w:rPr>
                <w:rFonts w:ascii="宋体"/>
                <w:vanish/>
              </w:rPr>
            </w:pPr>
          </w:p>
        </w:tc>
        <w:tc>
          <w:tcPr>
            <w:tcW w:w="0" w:type="auto"/>
            <w:shd w:val="clear" w:color="auto" w:fill="auto"/>
            <w:vAlign w:val="center"/>
          </w:tcPr>
          <w:p w14:paraId="64A8A813" w14:textId="77777777" w:rsidR="008D6614" w:rsidRDefault="008D6614">
            <w:pPr>
              <w:rPr>
                <w:rFonts w:ascii="宋体"/>
                <w:vanish/>
              </w:rPr>
            </w:pPr>
          </w:p>
        </w:tc>
        <w:tc>
          <w:tcPr>
            <w:tcW w:w="0" w:type="auto"/>
            <w:shd w:val="clear" w:color="auto" w:fill="auto"/>
            <w:vAlign w:val="center"/>
          </w:tcPr>
          <w:p w14:paraId="64A8A814" w14:textId="77777777" w:rsidR="008D6614" w:rsidRDefault="008D6614">
            <w:pPr>
              <w:rPr>
                <w:rFonts w:ascii="宋体"/>
                <w:vanish/>
              </w:rPr>
            </w:pPr>
          </w:p>
        </w:tc>
        <w:tc>
          <w:tcPr>
            <w:tcW w:w="0" w:type="auto"/>
            <w:shd w:val="clear" w:color="auto" w:fill="auto"/>
            <w:vAlign w:val="center"/>
          </w:tcPr>
          <w:p w14:paraId="64A8A815" w14:textId="77777777" w:rsidR="008D6614" w:rsidRDefault="008D6614">
            <w:pPr>
              <w:rPr>
                <w:rFonts w:ascii="宋体"/>
                <w:vanish/>
              </w:rPr>
            </w:pPr>
          </w:p>
        </w:tc>
        <w:tc>
          <w:tcPr>
            <w:tcW w:w="0" w:type="auto"/>
            <w:shd w:val="clear" w:color="auto" w:fill="auto"/>
            <w:vAlign w:val="center"/>
          </w:tcPr>
          <w:p w14:paraId="64A8A816" w14:textId="77777777" w:rsidR="008D6614" w:rsidRDefault="008D6614">
            <w:pPr>
              <w:rPr>
                <w:rFonts w:ascii="宋体"/>
                <w:vanish/>
              </w:rPr>
            </w:pPr>
          </w:p>
        </w:tc>
        <w:tc>
          <w:tcPr>
            <w:tcW w:w="0" w:type="auto"/>
            <w:shd w:val="clear" w:color="auto" w:fill="auto"/>
            <w:vAlign w:val="center"/>
          </w:tcPr>
          <w:p w14:paraId="64A8A817" w14:textId="77777777" w:rsidR="008D6614" w:rsidRDefault="008D6614">
            <w:pPr>
              <w:rPr>
                <w:rFonts w:ascii="宋体"/>
              </w:rPr>
            </w:pPr>
          </w:p>
        </w:tc>
        <w:tc>
          <w:tcPr>
            <w:tcW w:w="0" w:type="auto"/>
            <w:shd w:val="clear" w:color="auto" w:fill="auto"/>
            <w:vAlign w:val="center"/>
          </w:tcPr>
          <w:p w14:paraId="64A8A818" w14:textId="77777777" w:rsidR="008D6614" w:rsidRDefault="008D6614">
            <w:pPr>
              <w:rPr>
                <w:rFonts w:ascii="宋体"/>
              </w:rPr>
            </w:pPr>
          </w:p>
        </w:tc>
        <w:tc>
          <w:tcPr>
            <w:tcW w:w="0" w:type="auto"/>
            <w:shd w:val="clear" w:color="auto" w:fill="auto"/>
            <w:vAlign w:val="center"/>
          </w:tcPr>
          <w:p w14:paraId="64A8A819" w14:textId="77777777" w:rsidR="008D6614" w:rsidRDefault="008D6614">
            <w:pPr>
              <w:rPr>
                <w:rFonts w:ascii="宋体"/>
              </w:rPr>
            </w:pPr>
          </w:p>
        </w:tc>
        <w:tc>
          <w:tcPr>
            <w:tcW w:w="0" w:type="auto"/>
            <w:shd w:val="clear" w:color="auto" w:fill="auto"/>
            <w:vAlign w:val="center"/>
          </w:tcPr>
          <w:p w14:paraId="64A8A81A" w14:textId="77777777" w:rsidR="008D6614" w:rsidRDefault="008D6614">
            <w:pPr>
              <w:rPr>
                <w:rFonts w:ascii="宋体"/>
              </w:rPr>
            </w:pPr>
          </w:p>
        </w:tc>
        <w:tc>
          <w:tcPr>
            <w:tcW w:w="0" w:type="auto"/>
            <w:shd w:val="clear" w:color="auto" w:fill="auto"/>
            <w:vAlign w:val="center"/>
          </w:tcPr>
          <w:p w14:paraId="64A8A81B" w14:textId="77777777" w:rsidR="008D6614" w:rsidRDefault="008D6614">
            <w:pPr>
              <w:rPr>
                <w:rFonts w:ascii="宋体"/>
              </w:rPr>
            </w:pPr>
          </w:p>
        </w:tc>
        <w:tc>
          <w:tcPr>
            <w:tcW w:w="0" w:type="auto"/>
            <w:shd w:val="clear" w:color="auto" w:fill="auto"/>
            <w:vAlign w:val="center"/>
          </w:tcPr>
          <w:p w14:paraId="64A8A81C" w14:textId="77777777" w:rsidR="008D6614" w:rsidRDefault="008D6614">
            <w:pPr>
              <w:rPr>
                <w:rFonts w:ascii="宋体"/>
              </w:rPr>
            </w:pPr>
          </w:p>
        </w:tc>
      </w:tr>
      <w:tr w:rsidR="008D6614" w14:paraId="64A8A831" w14:textId="77777777">
        <w:trPr>
          <w:jc w:val="center"/>
        </w:trPr>
        <w:tc>
          <w:tcPr>
            <w:tcW w:w="0" w:type="auto"/>
            <w:gridSpan w:val="3"/>
            <w:shd w:val="clear" w:color="auto" w:fill="FFFFFF"/>
            <w:tcMar>
              <w:left w:w="20" w:type="dxa"/>
              <w:right w:w="20" w:type="dxa"/>
            </w:tcMar>
            <w:vAlign w:val="bottom"/>
          </w:tcPr>
          <w:p w14:paraId="64A8A81E"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81F"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A820" w14:textId="77777777" w:rsidR="008D6614" w:rsidRDefault="00866AF2">
            <w:pPr>
              <w:textAlignment w:val="bottom"/>
            </w:pPr>
            <w:r>
              <w:rPr>
                <w:rFonts w:ascii="Arial" w:eastAsia="宋体" w:hAnsi="Arial" w:cs="Arial"/>
                <w:color w:val="000000"/>
                <w:sz w:val="16"/>
                <w:szCs w:val="16"/>
              </w:rPr>
              <w:t>Total, from continuing operations before income taxes</w:t>
            </w:r>
          </w:p>
        </w:tc>
        <w:tc>
          <w:tcPr>
            <w:tcW w:w="0" w:type="auto"/>
            <w:gridSpan w:val="3"/>
            <w:shd w:val="clear" w:color="auto" w:fill="FFFFFF"/>
            <w:tcMar>
              <w:left w:w="20" w:type="dxa"/>
              <w:right w:w="20" w:type="dxa"/>
            </w:tcMar>
            <w:vAlign w:val="bottom"/>
          </w:tcPr>
          <w:p w14:paraId="64A8A821"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822" w14:textId="77777777" w:rsidR="008D6614" w:rsidRDefault="00866AF2">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bottom w:w="40" w:type="dxa"/>
              <w:right w:w="20" w:type="dxa"/>
            </w:tcMar>
            <w:vAlign w:val="bottom"/>
          </w:tcPr>
          <w:p w14:paraId="64A8A82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824"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825" w14:textId="77777777" w:rsidR="008D6614" w:rsidRDefault="00866AF2">
            <w:pPr>
              <w:jc w:val="right"/>
              <w:textAlignment w:val="bottom"/>
            </w:pPr>
            <w:r>
              <w:rPr>
                <w:rFonts w:ascii="Arial" w:eastAsia="宋体" w:hAnsi="Arial" w:cs="Arial"/>
                <w:color w:val="000000"/>
                <w:sz w:val="16"/>
                <w:szCs w:val="16"/>
              </w:rPr>
              <w:t>20 </w:t>
            </w:r>
          </w:p>
        </w:tc>
        <w:tc>
          <w:tcPr>
            <w:tcW w:w="0" w:type="auto"/>
            <w:tcBorders>
              <w:top w:val="single" w:sz="8" w:space="0" w:color="000000"/>
            </w:tcBorders>
            <w:shd w:val="clear" w:color="auto" w:fill="FFFFFF"/>
            <w:tcMar>
              <w:top w:w="40" w:type="dxa"/>
              <w:bottom w:w="40" w:type="dxa"/>
              <w:right w:w="20" w:type="dxa"/>
            </w:tcMar>
            <w:vAlign w:val="bottom"/>
          </w:tcPr>
          <w:p w14:paraId="64A8A826"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auto"/>
            <w:vAlign w:val="center"/>
          </w:tcPr>
          <w:p w14:paraId="64A8A827" w14:textId="77777777" w:rsidR="008D6614" w:rsidRDefault="008D6614">
            <w:pPr>
              <w:rPr>
                <w:rFonts w:ascii="宋体"/>
                <w:vanish/>
              </w:rPr>
            </w:pPr>
          </w:p>
        </w:tc>
        <w:tc>
          <w:tcPr>
            <w:tcW w:w="0" w:type="auto"/>
            <w:shd w:val="clear" w:color="auto" w:fill="auto"/>
            <w:vAlign w:val="center"/>
          </w:tcPr>
          <w:p w14:paraId="64A8A828" w14:textId="77777777" w:rsidR="008D6614" w:rsidRDefault="008D6614">
            <w:pPr>
              <w:rPr>
                <w:rFonts w:ascii="宋体"/>
                <w:vanish/>
              </w:rPr>
            </w:pPr>
          </w:p>
        </w:tc>
        <w:tc>
          <w:tcPr>
            <w:tcW w:w="0" w:type="auto"/>
            <w:shd w:val="clear" w:color="auto" w:fill="auto"/>
            <w:vAlign w:val="center"/>
          </w:tcPr>
          <w:p w14:paraId="64A8A829" w14:textId="77777777" w:rsidR="008D6614" w:rsidRDefault="008D6614">
            <w:pPr>
              <w:rPr>
                <w:rFonts w:ascii="宋体"/>
                <w:vanish/>
              </w:rPr>
            </w:pPr>
          </w:p>
        </w:tc>
        <w:tc>
          <w:tcPr>
            <w:tcW w:w="0" w:type="auto"/>
            <w:shd w:val="clear" w:color="auto" w:fill="auto"/>
            <w:vAlign w:val="center"/>
          </w:tcPr>
          <w:p w14:paraId="64A8A82A" w14:textId="77777777" w:rsidR="008D6614" w:rsidRDefault="008D6614">
            <w:pPr>
              <w:rPr>
                <w:rFonts w:ascii="宋体"/>
                <w:vanish/>
              </w:rPr>
            </w:pPr>
          </w:p>
        </w:tc>
        <w:tc>
          <w:tcPr>
            <w:tcW w:w="0" w:type="auto"/>
            <w:shd w:val="clear" w:color="auto" w:fill="auto"/>
            <w:vAlign w:val="center"/>
          </w:tcPr>
          <w:p w14:paraId="64A8A82B" w14:textId="77777777" w:rsidR="008D6614" w:rsidRDefault="008D6614">
            <w:pPr>
              <w:rPr>
                <w:rFonts w:ascii="宋体"/>
              </w:rPr>
            </w:pPr>
          </w:p>
        </w:tc>
        <w:tc>
          <w:tcPr>
            <w:tcW w:w="0" w:type="auto"/>
            <w:shd w:val="clear" w:color="auto" w:fill="auto"/>
            <w:vAlign w:val="center"/>
          </w:tcPr>
          <w:p w14:paraId="64A8A82C" w14:textId="77777777" w:rsidR="008D6614" w:rsidRDefault="008D6614">
            <w:pPr>
              <w:rPr>
                <w:rFonts w:ascii="宋体"/>
              </w:rPr>
            </w:pPr>
          </w:p>
        </w:tc>
        <w:tc>
          <w:tcPr>
            <w:tcW w:w="0" w:type="auto"/>
            <w:shd w:val="clear" w:color="auto" w:fill="auto"/>
            <w:vAlign w:val="center"/>
          </w:tcPr>
          <w:p w14:paraId="64A8A82D" w14:textId="77777777" w:rsidR="008D6614" w:rsidRDefault="008D6614">
            <w:pPr>
              <w:rPr>
                <w:rFonts w:ascii="宋体"/>
              </w:rPr>
            </w:pPr>
          </w:p>
        </w:tc>
        <w:tc>
          <w:tcPr>
            <w:tcW w:w="0" w:type="auto"/>
            <w:shd w:val="clear" w:color="auto" w:fill="auto"/>
            <w:vAlign w:val="center"/>
          </w:tcPr>
          <w:p w14:paraId="64A8A82E" w14:textId="77777777" w:rsidR="008D6614" w:rsidRDefault="008D6614">
            <w:pPr>
              <w:rPr>
                <w:rFonts w:ascii="宋体"/>
              </w:rPr>
            </w:pPr>
          </w:p>
        </w:tc>
        <w:tc>
          <w:tcPr>
            <w:tcW w:w="0" w:type="auto"/>
            <w:shd w:val="clear" w:color="auto" w:fill="auto"/>
            <w:vAlign w:val="center"/>
          </w:tcPr>
          <w:p w14:paraId="64A8A82F" w14:textId="77777777" w:rsidR="008D6614" w:rsidRDefault="008D6614">
            <w:pPr>
              <w:rPr>
                <w:rFonts w:ascii="宋体"/>
              </w:rPr>
            </w:pPr>
          </w:p>
        </w:tc>
        <w:tc>
          <w:tcPr>
            <w:tcW w:w="0" w:type="auto"/>
            <w:shd w:val="clear" w:color="auto" w:fill="auto"/>
            <w:vAlign w:val="center"/>
          </w:tcPr>
          <w:p w14:paraId="64A8A830" w14:textId="77777777" w:rsidR="008D6614" w:rsidRDefault="008D6614">
            <w:pPr>
              <w:rPr>
                <w:rFonts w:ascii="宋体"/>
              </w:rPr>
            </w:pPr>
          </w:p>
        </w:tc>
      </w:tr>
      <w:tr w:rsidR="008D6614" w14:paraId="64A8A845" w14:textId="77777777">
        <w:trPr>
          <w:jc w:val="center"/>
        </w:trPr>
        <w:tc>
          <w:tcPr>
            <w:tcW w:w="0" w:type="auto"/>
            <w:gridSpan w:val="3"/>
            <w:shd w:val="clear" w:color="auto" w:fill="E2E2E2"/>
            <w:tcMar>
              <w:left w:w="20" w:type="dxa"/>
              <w:right w:w="20" w:type="dxa"/>
            </w:tcMar>
            <w:vAlign w:val="bottom"/>
          </w:tcPr>
          <w:p w14:paraId="64A8A832"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833"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A834" w14:textId="77777777" w:rsidR="008D6614" w:rsidRDefault="00866AF2">
            <w:pPr>
              <w:textAlignment w:val="bottom"/>
            </w:pPr>
            <w:r>
              <w:rPr>
                <w:rFonts w:ascii="Arial" w:eastAsia="宋体" w:hAnsi="Arial" w:cs="Arial"/>
                <w:color w:val="000000"/>
                <w:sz w:val="16"/>
                <w:szCs w:val="16"/>
              </w:rPr>
              <w:t>Pr</w:t>
            </w:r>
            <w:r>
              <w:rPr>
                <w:rFonts w:ascii="Arial" w:eastAsia="宋体" w:hAnsi="Arial" w:cs="Arial"/>
                <w:color w:val="000000"/>
                <w:sz w:val="16"/>
                <w:szCs w:val="16"/>
              </w:rPr>
              <w:t>ovision for income taxes</w:t>
            </w:r>
          </w:p>
        </w:tc>
        <w:tc>
          <w:tcPr>
            <w:tcW w:w="0" w:type="auto"/>
            <w:gridSpan w:val="3"/>
            <w:shd w:val="clear" w:color="auto" w:fill="E2E2E2"/>
            <w:tcMar>
              <w:left w:w="20" w:type="dxa"/>
              <w:right w:w="20" w:type="dxa"/>
            </w:tcMar>
            <w:vAlign w:val="bottom"/>
          </w:tcPr>
          <w:p w14:paraId="64A8A83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836"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E2E2E2"/>
            <w:tcMar>
              <w:top w:w="40" w:type="dxa"/>
              <w:bottom w:w="40" w:type="dxa"/>
              <w:right w:w="20" w:type="dxa"/>
            </w:tcMar>
            <w:vAlign w:val="bottom"/>
          </w:tcPr>
          <w:p w14:paraId="64A8A837"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838"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839" w14:textId="77777777" w:rsidR="008D6614" w:rsidRDefault="00866AF2">
            <w:pPr>
              <w:jc w:val="right"/>
              <w:textAlignment w:val="bottom"/>
            </w:pPr>
            <w:r>
              <w:rPr>
                <w:rFonts w:ascii="Arial" w:eastAsia="宋体" w:hAnsi="Arial" w:cs="Arial"/>
                <w:color w:val="000000"/>
                <w:sz w:val="16"/>
                <w:szCs w:val="16"/>
              </w:rPr>
              <w:t>(4)</w:t>
            </w:r>
          </w:p>
        </w:tc>
        <w:tc>
          <w:tcPr>
            <w:tcW w:w="0" w:type="auto"/>
            <w:shd w:val="clear" w:color="auto" w:fill="E2E2E2"/>
            <w:tcMar>
              <w:top w:w="40" w:type="dxa"/>
              <w:bottom w:w="40" w:type="dxa"/>
              <w:right w:w="20" w:type="dxa"/>
            </w:tcMar>
            <w:vAlign w:val="bottom"/>
          </w:tcPr>
          <w:p w14:paraId="64A8A83A"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auto"/>
            <w:vAlign w:val="center"/>
          </w:tcPr>
          <w:p w14:paraId="64A8A83B" w14:textId="77777777" w:rsidR="008D6614" w:rsidRDefault="008D6614">
            <w:pPr>
              <w:rPr>
                <w:rFonts w:ascii="宋体"/>
                <w:vanish/>
              </w:rPr>
            </w:pPr>
          </w:p>
        </w:tc>
        <w:tc>
          <w:tcPr>
            <w:tcW w:w="0" w:type="auto"/>
            <w:shd w:val="clear" w:color="auto" w:fill="auto"/>
            <w:vAlign w:val="center"/>
          </w:tcPr>
          <w:p w14:paraId="64A8A83C" w14:textId="77777777" w:rsidR="008D6614" w:rsidRDefault="008D6614">
            <w:pPr>
              <w:rPr>
                <w:rFonts w:ascii="宋体"/>
                <w:vanish/>
              </w:rPr>
            </w:pPr>
          </w:p>
        </w:tc>
        <w:tc>
          <w:tcPr>
            <w:tcW w:w="0" w:type="auto"/>
            <w:shd w:val="clear" w:color="auto" w:fill="auto"/>
            <w:vAlign w:val="center"/>
          </w:tcPr>
          <w:p w14:paraId="64A8A83D" w14:textId="77777777" w:rsidR="008D6614" w:rsidRDefault="008D6614">
            <w:pPr>
              <w:rPr>
                <w:rFonts w:ascii="宋体"/>
                <w:vanish/>
              </w:rPr>
            </w:pPr>
          </w:p>
        </w:tc>
        <w:tc>
          <w:tcPr>
            <w:tcW w:w="0" w:type="auto"/>
            <w:shd w:val="clear" w:color="auto" w:fill="auto"/>
            <w:vAlign w:val="center"/>
          </w:tcPr>
          <w:p w14:paraId="64A8A83E" w14:textId="77777777" w:rsidR="008D6614" w:rsidRDefault="008D6614">
            <w:pPr>
              <w:rPr>
                <w:rFonts w:ascii="宋体"/>
                <w:vanish/>
              </w:rPr>
            </w:pPr>
          </w:p>
        </w:tc>
        <w:tc>
          <w:tcPr>
            <w:tcW w:w="0" w:type="auto"/>
            <w:shd w:val="clear" w:color="auto" w:fill="auto"/>
            <w:vAlign w:val="center"/>
          </w:tcPr>
          <w:p w14:paraId="64A8A83F" w14:textId="77777777" w:rsidR="008D6614" w:rsidRDefault="008D6614">
            <w:pPr>
              <w:rPr>
                <w:rFonts w:ascii="宋体"/>
              </w:rPr>
            </w:pPr>
          </w:p>
        </w:tc>
        <w:tc>
          <w:tcPr>
            <w:tcW w:w="0" w:type="auto"/>
            <w:shd w:val="clear" w:color="auto" w:fill="auto"/>
            <w:vAlign w:val="center"/>
          </w:tcPr>
          <w:p w14:paraId="64A8A840" w14:textId="77777777" w:rsidR="008D6614" w:rsidRDefault="008D6614">
            <w:pPr>
              <w:rPr>
                <w:rFonts w:ascii="宋体"/>
              </w:rPr>
            </w:pPr>
          </w:p>
        </w:tc>
        <w:tc>
          <w:tcPr>
            <w:tcW w:w="0" w:type="auto"/>
            <w:shd w:val="clear" w:color="auto" w:fill="auto"/>
            <w:vAlign w:val="center"/>
          </w:tcPr>
          <w:p w14:paraId="64A8A841" w14:textId="77777777" w:rsidR="008D6614" w:rsidRDefault="008D6614">
            <w:pPr>
              <w:rPr>
                <w:rFonts w:ascii="宋体"/>
              </w:rPr>
            </w:pPr>
          </w:p>
        </w:tc>
        <w:tc>
          <w:tcPr>
            <w:tcW w:w="0" w:type="auto"/>
            <w:shd w:val="clear" w:color="auto" w:fill="auto"/>
            <w:vAlign w:val="center"/>
          </w:tcPr>
          <w:p w14:paraId="64A8A842" w14:textId="77777777" w:rsidR="008D6614" w:rsidRDefault="008D6614">
            <w:pPr>
              <w:rPr>
                <w:rFonts w:ascii="宋体"/>
              </w:rPr>
            </w:pPr>
          </w:p>
        </w:tc>
        <w:tc>
          <w:tcPr>
            <w:tcW w:w="0" w:type="auto"/>
            <w:shd w:val="clear" w:color="auto" w:fill="auto"/>
            <w:vAlign w:val="center"/>
          </w:tcPr>
          <w:p w14:paraId="64A8A843" w14:textId="77777777" w:rsidR="008D6614" w:rsidRDefault="008D6614">
            <w:pPr>
              <w:rPr>
                <w:rFonts w:ascii="宋体"/>
              </w:rPr>
            </w:pPr>
          </w:p>
        </w:tc>
        <w:tc>
          <w:tcPr>
            <w:tcW w:w="0" w:type="auto"/>
            <w:shd w:val="clear" w:color="auto" w:fill="auto"/>
            <w:vAlign w:val="center"/>
          </w:tcPr>
          <w:p w14:paraId="64A8A844" w14:textId="77777777" w:rsidR="008D6614" w:rsidRDefault="008D6614">
            <w:pPr>
              <w:rPr>
                <w:rFonts w:ascii="宋体"/>
              </w:rPr>
            </w:pPr>
          </w:p>
        </w:tc>
      </w:tr>
      <w:tr w:rsidR="008D6614" w14:paraId="64A8A857" w14:textId="77777777">
        <w:trPr>
          <w:jc w:val="center"/>
          <w:hidden/>
        </w:trPr>
        <w:tc>
          <w:tcPr>
            <w:tcW w:w="0" w:type="auto"/>
            <w:gridSpan w:val="3"/>
            <w:shd w:val="clear" w:color="auto" w:fill="auto"/>
            <w:vAlign w:val="center"/>
          </w:tcPr>
          <w:p w14:paraId="64A8A846" w14:textId="77777777" w:rsidR="008D6614" w:rsidRDefault="008D6614">
            <w:pPr>
              <w:rPr>
                <w:rFonts w:ascii="宋体"/>
                <w:vanish/>
              </w:rPr>
            </w:pPr>
          </w:p>
        </w:tc>
        <w:tc>
          <w:tcPr>
            <w:tcW w:w="0" w:type="auto"/>
            <w:gridSpan w:val="3"/>
            <w:shd w:val="clear" w:color="auto" w:fill="auto"/>
            <w:vAlign w:val="center"/>
          </w:tcPr>
          <w:p w14:paraId="64A8A847" w14:textId="77777777" w:rsidR="008D6614" w:rsidRDefault="008D6614">
            <w:pPr>
              <w:rPr>
                <w:rFonts w:ascii="宋体"/>
                <w:vanish/>
              </w:rPr>
            </w:pPr>
          </w:p>
        </w:tc>
        <w:tc>
          <w:tcPr>
            <w:tcW w:w="0" w:type="auto"/>
            <w:gridSpan w:val="3"/>
            <w:shd w:val="clear" w:color="auto" w:fill="auto"/>
            <w:vAlign w:val="center"/>
          </w:tcPr>
          <w:p w14:paraId="64A8A848" w14:textId="77777777" w:rsidR="008D6614" w:rsidRDefault="008D6614">
            <w:pPr>
              <w:rPr>
                <w:rFonts w:ascii="宋体"/>
                <w:vanish/>
              </w:rPr>
            </w:pPr>
          </w:p>
        </w:tc>
        <w:tc>
          <w:tcPr>
            <w:tcW w:w="0" w:type="auto"/>
            <w:gridSpan w:val="3"/>
            <w:shd w:val="clear" w:color="auto" w:fill="auto"/>
            <w:vAlign w:val="center"/>
          </w:tcPr>
          <w:p w14:paraId="64A8A849" w14:textId="77777777" w:rsidR="008D6614" w:rsidRDefault="008D6614">
            <w:pPr>
              <w:rPr>
                <w:rFonts w:ascii="宋体"/>
                <w:vanish/>
              </w:rPr>
            </w:pPr>
          </w:p>
        </w:tc>
        <w:tc>
          <w:tcPr>
            <w:tcW w:w="0" w:type="auto"/>
            <w:gridSpan w:val="3"/>
            <w:shd w:val="clear" w:color="auto" w:fill="auto"/>
            <w:vAlign w:val="center"/>
          </w:tcPr>
          <w:p w14:paraId="64A8A84A" w14:textId="77777777" w:rsidR="008D6614" w:rsidRDefault="008D6614">
            <w:pPr>
              <w:rPr>
                <w:rFonts w:ascii="宋体"/>
                <w:vanish/>
              </w:rPr>
            </w:pPr>
          </w:p>
        </w:tc>
        <w:tc>
          <w:tcPr>
            <w:tcW w:w="0" w:type="auto"/>
            <w:gridSpan w:val="3"/>
            <w:shd w:val="clear" w:color="auto" w:fill="auto"/>
            <w:vAlign w:val="center"/>
          </w:tcPr>
          <w:p w14:paraId="64A8A84B" w14:textId="77777777" w:rsidR="008D6614" w:rsidRDefault="008D6614">
            <w:pPr>
              <w:rPr>
                <w:rFonts w:ascii="宋体"/>
                <w:vanish/>
              </w:rPr>
            </w:pPr>
          </w:p>
        </w:tc>
        <w:tc>
          <w:tcPr>
            <w:tcW w:w="0" w:type="auto"/>
            <w:gridSpan w:val="3"/>
            <w:shd w:val="clear" w:color="auto" w:fill="auto"/>
            <w:vAlign w:val="center"/>
          </w:tcPr>
          <w:p w14:paraId="64A8A84C" w14:textId="77777777" w:rsidR="008D6614" w:rsidRDefault="008D6614">
            <w:pPr>
              <w:rPr>
                <w:rFonts w:ascii="宋体"/>
                <w:vanish/>
              </w:rPr>
            </w:pPr>
          </w:p>
        </w:tc>
        <w:tc>
          <w:tcPr>
            <w:tcW w:w="0" w:type="auto"/>
            <w:shd w:val="clear" w:color="auto" w:fill="auto"/>
            <w:vAlign w:val="center"/>
          </w:tcPr>
          <w:p w14:paraId="64A8A84D" w14:textId="77777777" w:rsidR="008D6614" w:rsidRDefault="008D6614">
            <w:pPr>
              <w:rPr>
                <w:rFonts w:ascii="宋体"/>
                <w:vanish/>
              </w:rPr>
            </w:pPr>
          </w:p>
        </w:tc>
        <w:tc>
          <w:tcPr>
            <w:tcW w:w="0" w:type="auto"/>
            <w:shd w:val="clear" w:color="auto" w:fill="auto"/>
            <w:vAlign w:val="center"/>
          </w:tcPr>
          <w:p w14:paraId="64A8A84E" w14:textId="77777777" w:rsidR="008D6614" w:rsidRDefault="008D6614">
            <w:pPr>
              <w:rPr>
                <w:rFonts w:ascii="宋体"/>
                <w:vanish/>
              </w:rPr>
            </w:pPr>
          </w:p>
        </w:tc>
        <w:tc>
          <w:tcPr>
            <w:tcW w:w="0" w:type="auto"/>
            <w:shd w:val="clear" w:color="auto" w:fill="auto"/>
            <w:vAlign w:val="center"/>
          </w:tcPr>
          <w:p w14:paraId="64A8A84F" w14:textId="77777777" w:rsidR="008D6614" w:rsidRDefault="008D6614">
            <w:pPr>
              <w:rPr>
                <w:rFonts w:ascii="宋体"/>
                <w:vanish/>
              </w:rPr>
            </w:pPr>
          </w:p>
        </w:tc>
        <w:tc>
          <w:tcPr>
            <w:tcW w:w="0" w:type="auto"/>
            <w:shd w:val="clear" w:color="auto" w:fill="auto"/>
            <w:vAlign w:val="center"/>
          </w:tcPr>
          <w:p w14:paraId="64A8A850" w14:textId="77777777" w:rsidR="008D6614" w:rsidRDefault="008D6614">
            <w:pPr>
              <w:rPr>
                <w:rFonts w:ascii="宋体"/>
                <w:vanish/>
              </w:rPr>
            </w:pPr>
          </w:p>
        </w:tc>
        <w:tc>
          <w:tcPr>
            <w:tcW w:w="0" w:type="auto"/>
            <w:shd w:val="clear" w:color="auto" w:fill="auto"/>
            <w:vAlign w:val="center"/>
          </w:tcPr>
          <w:p w14:paraId="64A8A851" w14:textId="77777777" w:rsidR="008D6614" w:rsidRDefault="008D6614">
            <w:pPr>
              <w:rPr>
                <w:rFonts w:ascii="宋体"/>
              </w:rPr>
            </w:pPr>
          </w:p>
        </w:tc>
        <w:tc>
          <w:tcPr>
            <w:tcW w:w="0" w:type="auto"/>
            <w:shd w:val="clear" w:color="auto" w:fill="auto"/>
            <w:vAlign w:val="center"/>
          </w:tcPr>
          <w:p w14:paraId="64A8A852" w14:textId="77777777" w:rsidR="008D6614" w:rsidRDefault="008D6614">
            <w:pPr>
              <w:rPr>
                <w:rFonts w:ascii="宋体"/>
              </w:rPr>
            </w:pPr>
          </w:p>
        </w:tc>
        <w:tc>
          <w:tcPr>
            <w:tcW w:w="0" w:type="auto"/>
            <w:shd w:val="clear" w:color="auto" w:fill="auto"/>
            <w:vAlign w:val="center"/>
          </w:tcPr>
          <w:p w14:paraId="64A8A853" w14:textId="77777777" w:rsidR="008D6614" w:rsidRDefault="008D6614">
            <w:pPr>
              <w:rPr>
                <w:rFonts w:ascii="宋体"/>
              </w:rPr>
            </w:pPr>
          </w:p>
        </w:tc>
        <w:tc>
          <w:tcPr>
            <w:tcW w:w="0" w:type="auto"/>
            <w:shd w:val="clear" w:color="auto" w:fill="auto"/>
            <w:vAlign w:val="center"/>
          </w:tcPr>
          <w:p w14:paraId="64A8A854" w14:textId="77777777" w:rsidR="008D6614" w:rsidRDefault="008D6614">
            <w:pPr>
              <w:rPr>
                <w:rFonts w:ascii="宋体"/>
              </w:rPr>
            </w:pPr>
          </w:p>
        </w:tc>
        <w:tc>
          <w:tcPr>
            <w:tcW w:w="0" w:type="auto"/>
            <w:shd w:val="clear" w:color="auto" w:fill="auto"/>
            <w:vAlign w:val="center"/>
          </w:tcPr>
          <w:p w14:paraId="64A8A855" w14:textId="77777777" w:rsidR="008D6614" w:rsidRDefault="008D6614">
            <w:pPr>
              <w:rPr>
                <w:rFonts w:ascii="宋体"/>
              </w:rPr>
            </w:pPr>
          </w:p>
        </w:tc>
        <w:tc>
          <w:tcPr>
            <w:tcW w:w="0" w:type="auto"/>
            <w:shd w:val="clear" w:color="auto" w:fill="auto"/>
            <w:vAlign w:val="center"/>
          </w:tcPr>
          <w:p w14:paraId="64A8A856" w14:textId="77777777" w:rsidR="008D6614" w:rsidRDefault="008D6614">
            <w:pPr>
              <w:rPr>
                <w:rFonts w:ascii="宋体"/>
              </w:rPr>
            </w:pPr>
          </w:p>
        </w:tc>
      </w:tr>
      <w:tr w:rsidR="008D6614" w14:paraId="64A8A869" w14:textId="77777777">
        <w:trPr>
          <w:jc w:val="center"/>
          <w:hidden/>
        </w:trPr>
        <w:tc>
          <w:tcPr>
            <w:tcW w:w="0" w:type="auto"/>
            <w:gridSpan w:val="3"/>
            <w:shd w:val="clear" w:color="auto" w:fill="auto"/>
            <w:vAlign w:val="center"/>
          </w:tcPr>
          <w:p w14:paraId="64A8A858" w14:textId="77777777" w:rsidR="008D6614" w:rsidRDefault="008D6614">
            <w:pPr>
              <w:rPr>
                <w:rFonts w:ascii="宋体"/>
                <w:vanish/>
              </w:rPr>
            </w:pPr>
          </w:p>
        </w:tc>
        <w:tc>
          <w:tcPr>
            <w:tcW w:w="0" w:type="auto"/>
            <w:gridSpan w:val="3"/>
            <w:shd w:val="clear" w:color="auto" w:fill="auto"/>
            <w:vAlign w:val="center"/>
          </w:tcPr>
          <w:p w14:paraId="64A8A859" w14:textId="77777777" w:rsidR="008D6614" w:rsidRDefault="008D6614">
            <w:pPr>
              <w:rPr>
                <w:rFonts w:ascii="宋体"/>
                <w:vanish/>
              </w:rPr>
            </w:pPr>
          </w:p>
        </w:tc>
        <w:tc>
          <w:tcPr>
            <w:tcW w:w="0" w:type="auto"/>
            <w:gridSpan w:val="3"/>
            <w:shd w:val="clear" w:color="auto" w:fill="auto"/>
            <w:vAlign w:val="center"/>
          </w:tcPr>
          <w:p w14:paraId="64A8A85A" w14:textId="77777777" w:rsidR="008D6614" w:rsidRDefault="008D6614">
            <w:pPr>
              <w:rPr>
                <w:rFonts w:ascii="宋体"/>
                <w:vanish/>
              </w:rPr>
            </w:pPr>
          </w:p>
        </w:tc>
        <w:tc>
          <w:tcPr>
            <w:tcW w:w="0" w:type="auto"/>
            <w:gridSpan w:val="3"/>
            <w:shd w:val="clear" w:color="auto" w:fill="auto"/>
            <w:vAlign w:val="center"/>
          </w:tcPr>
          <w:p w14:paraId="64A8A85B" w14:textId="77777777" w:rsidR="008D6614" w:rsidRDefault="008D6614">
            <w:pPr>
              <w:rPr>
                <w:rFonts w:ascii="宋体"/>
                <w:vanish/>
              </w:rPr>
            </w:pPr>
          </w:p>
        </w:tc>
        <w:tc>
          <w:tcPr>
            <w:tcW w:w="0" w:type="auto"/>
            <w:gridSpan w:val="3"/>
            <w:shd w:val="clear" w:color="auto" w:fill="auto"/>
            <w:vAlign w:val="center"/>
          </w:tcPr>
          <w:p w14:paraId="64A8A85C" w14:textId="77777777" w:rsidR="008D6614" w:rsidRDefault="008D6614">
            <w:pPr>
              <w:rPr>
                <w:rFonts w:ascii="宋体"/>
                <w:vanish/>
              </w:rPr>
            </w:pPr>
          </w:p>
        </w:tc>
        <w:tc>
          <w:tcPr>
            <w:tcW w:w="0" w:type="auto"/>
            <w:gridSpan w:val="3"/>
            <w:shd w:val="clear" w:color="auto" w:fill="auto"/>
            <w:vAlign w:val="center"/>
          </w:tcPr>
          <w:p w14:paraId="64A8A85D" w14:textId="77777777" w:rsidR="008D6614" w:rsidRDefault="008D6614">
            <w:pPr>
              <w:rPr>
                <w:rFonts w:ascii="宋体"/>
                <w:vanish/>
              </w:rPr>
            </w:pPr>
          </w:p>
        </w:tc>
        <w:tc>
          <w:tcPr>
            <w:tcW w:w="0" w:type="auto"/>
            <w:gridSpan w:val="3"/>
            <w:shd w:val="clear" w:color="auto" w:fill="auto"/>
            <w:vAlign w:val="center"/>
          </w:tcPr>
          <w:p w14:paraId="64A8A85E" w14:textId="77777777" w:rsidR="008D6614" w:rsidRDefault="008D6614">
            <w:pPr>
              <w:rPr>
                <w:rFonts w:ascii="宋体"/>
                <w:vanish/>
              </w:rPr>
            </w:pPr>
          </w:p>
        </w:tc>
        <w:tc>
          <w:tcPr>
            <w:tcW w:w="0" w:type="auto"/>
            <w:shd w:val="clear" w:color="auto" w:fill="auto"/>
            <w:vAlign w:val="center"/>
          </w:tcPr>
          <w:p w14:paraId="64A8A85F" w14:textId="77777777" w:rsidR="008D6614" w:rsidRDefault="008D6614">
            <w:pPr>
              <w:rPr>
                <w:rFonts w:ascii="宋体"/>
                <w:vanish/>
              </w:rPr>
            </w:pPr>
          </w:p>
        </w:tc>
        <w:tc>
          <w:tcPr>
            <w:tcW w:w="0" w:type="auto"/>
            <w:shd w:val="clear" w:color="auto" w:fill="auto"/>
            <w:vAlign w:val="center"/>
          </w:tcPr>
          <w:p w14:paraId="64A8A860" w14:textId="77777777" w:rsidR="008D6614" w:rsidRDefault="008D6614">
            <w:pPr>
              <w:rPr>
                <w:rFonts w:ascii="宋体"/>
                <w:vanish/>
              </w:rPr>
            </w:pPr>
          </w:p>
        </w:tc>
        <w:tc>
          <w:tcPr>
            <w:tcW w:w="0" w:type="auto"/>
            <w:shd w:val="clear" w:color="auto" w:fill="auto"/>
            <w:vAlign w:val="center"/>
          </w:tcPr>
          <w:p w14:paraId="64A8A861" w14:textId="77777777" w:rsidR="008D6614" w:rsidRDefault="008D6614">
            <w:pPr>
              <w:rPr>
                <w:rFonts w:ascii="宋体"/>
                <w:vanish/>
              </w:rPr>
            </w:pPr>
          </w:p>
        </w:tc>
        <w:tc>
          <w:tcPr>
            <w:tcW w:w="0" w:type="auto"/>
            <w:shd w:val="clear" w:color="auto" w:fill="auto"/>
            <w:vAlign w:val="center"/>
          </w:tcPr>
          <w:p w14:paraId="64A8A862" w14:textId="77777777" w:rsidR="008D6614" w:rsidRDefault="008D6614">
            <w:pPr>
              <w:rPr>
                <w:rFonts w:ascii="宋体"/>
                <w:vanish/>
              </w:rPr>
            </w:pPr>
          </w:p>
        </w:tc>
        <w:tc>
          <w:tcPr>
            <w:tcW w:w="0" w:type="auto"/>
            <w:shd w:val="clear" w:color="auto" w:fill="auto"/>
            <w:vAlign w:val="center"/>
          </w:tcPr>
          <w:p w14:paraId="64A8A863" w14:textId="77777777" w:rsidR="008D6614" w:rsidRDefault="008D6614">
            <w:pPr>
              <w:rPr>
                <w:rFonts w:ascii="宋体"/>
              </w:rPr>
            </w:pPr>
          </w:p>
        </w:tc>
        <w:tc>
          <w:tcPr>
            <w:tcW w:w="0" w:type="auto"/>
            <w:shd w:val="clear" w:color="auto" w:fill="auto"/>
            <w:vAlign w:val="center"/>
          </w:tcPr>
          <w:p w14:paraId="64A8A864" w14:textId="77777777" w:rsidR="008D6614" w:rsidRDefault="008D6614">
            <w:pPr>
              <w:rPr>
                <w:rFonts w:ascii="宋体"/>
              </w:rPr>
            </w:pPr>
          </w:p>
        </w:tc>
        <w:tc>
          <w:tcPr>
            <w:tcW w:w="0" w:type="auto"/>
            <w:shd w:val="clear" w:color="auto" w:fill="auto"/>
            <w:vAlign w:val="center"/>
          </w:tcPr>
          <w:p w14:paraId="64A8A865" w14:textId="77777777" w:rsidR="008D6614" w:rsidRDefault="008D6614">
            <w:pPr>
              <w:rPr>
                <w:rFonts w:ascii="宋体"/>
              </w:rPr>
            </w:pPr>
          </w:p>
        </w:tc>
        <w:tc>
          <w:tcPr>
            <w:tcW w:w="0" w:type="auto"/>
            <w:shd w:val="clear" w:color="auto" w:fill="auto"/>
            <w:vAlign w:val="center"/>
          </w:tcPr>
          <w:p w14:paraId="64A8A866" w14:textId="77777777" w:rsidR="008D6614" w:rsidRDefault="008D6614">
            <w:pPr>
              <w:rPr>
                <w:rFonts w:ascii="宋体"/>
              </w:rPr>
            </w:pPr>
          </w:p>
        </w:tc>
        <w:tc>
          <w:tcPr>
            <w:tcW w:w="0" w:type="auto"/>
            <w:shd w:val="clear" w:color="auto" w:fill="auto"/>
            <w:vAlign w:val="center"/>
          </w:tcPr>
          <w:p w14:paraId="64A8A867" w14:textId="77777777" w:rsidR="008D6614" w:rsidRDefault="008D6614">
            <w:pPr>
              <w:rPr>
                <w:rFonts w:ascii="宋体"/>
              </w:rPr>
            </w:pPr>
          </w:p>
        </w:tc>
        <w:tc>
          <w:tcPr>
            <w:tcW w:w="0" w:type="auto"/>
            <w:shd w:val="clear" w:color="auto" w:fill="auto"/>
            <w:vAlign w:val="center"/>
          </w:tcPr>
          <w:p w14:paraId="64A8A868" w14:textId="77777777" w:rsidR="008D6614" w:rsidRDefault="008D6614">
            <w:pPr>
              <w:rPr>
                <w:rFonts w:ascii="宋体"/>
              </w:rPr>
            </w:pPr>
          </w:p>
        </w:tc>
      </w:tr>
      <w:tr w:rsidR="008D6614" w14:paraId="64A8A87D" w14:textId="77777777">
        <w:trPr>
          <w:jc w:val="center"/>
        </w:trPr>
        <w:tc>
          <w:tcPr>
            <w:tcW w:w="0" w:type="auto"/>
            <w:gridSpan w:val="3"/>
            <w:shd w:val="clear" w:color="auto" w:fill="FFFFFF"/>
            <w:tcMar>
              <w:left w:w="20" w:type="dxa"/>
              <w:right w:w="20" w:type="dxa"/>
            </w:tcMar>
            <w:vAlign w:val="bottom"/>
          </w:tcPr>
          <w:p w14:paraId="64A8A86A"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86B"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A86C" w14:textId="77777777" w:rsidR="008D6614" w:rsidRDefault="00866AF2">
            <w:pPr>
              <w:textAlignment w:val="bottom"/>
            </w:pPr>
            <w:r>
              <w:rPr>
                <w:rFonts w:ascii="Arial" w:eastAsia="宋体" w:hAnsi="Arial" w:cs="Arial"/>
                <w:color w:val="000000"/>
                <w:sz w:val="16"/>
                <w:szCs w:val="16"/>
              </w:rPr>
              <w:t>Total, net of income taxes</w:t>
            </w:r>
          </w:p>
        </w:tc>
        <w:tc>
          <w:tcPr>
            <w:tcW w:w="0" w:type="auto"/>
            <w:gridSpan w:val="3"/>
            <w:shd w:val="clear" w:color="auto" w:fill="FFFFFF"/>
            <w:tcMar>
              <w:left w:w="20" w:type="dxa"/>
              <w:right w:w="20" w:type="dxa"/>
            </w:tcMar>
            <w:vAlign w:val="bottom"/>
          </w:tcPr>
          <w:p w14:paraId="64A8A86D"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86E" w14:textId="77777777" w:rsidR="008D6614" w:rsidRDefault="00866AF2">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bottom w:w="40" w:type="dxa"/>
              <w:right w:w="20" w:type="dxa"/>
            </w:tcMar>
            <w:vAlign w:val="bottom"/>
          </w:tcPr>
          <w:p w14:paraId="64A8A86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870"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871" w14:textId="77777777" w:rsidR="008D6614" w:rsidRDefault="00866AF2">
            <w:pPr>
              <w:jc w:val="right"/>
              <w:textAlignment w:val="bottom"/>
            </w:pPr>
            <w:r>
              <w:rPr>
                <w:rFonts w:ascii="Arial" w:eastAsia="宋体" w:hAnsi="Arial" w:cs="Arial"/>
                <w:color w:val="000000"/>
                <w:sz w:val="16"/>
                <w:szCs w:val="16"/>
              </w:rPr>
              <w:t>16 </w:t>
            </w:r>
          </w:p>
        </w:tc>
        <w:tc>
          <w:tcPr>
            <w:tcW w:w="0" w:type="auto"/>
            <w:tcBorders>
              <w:top w:val="single" w:sz="8" w:space="0" w:color="000000"/>
            </w:tcBorders>
            <w:shd w:val="clear" w:color="auto" w:fill="FFFFFF"/>
            <w:tcMar>
              <w:top w:w="40" w:type="dxa"/>
              <w:bottom w:w="40" w:type="dxa"/>
              <w:right w:w="20" w:type="dxa"/>
            </w:tcMar>
            <w:vAlign w:val="bottom"/>
          </w:tcPr>
          <w:p w14:paraId="64A8A872"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auto"/>
            <w:vAlign w:val="center"/>
          </w:tcPr>
          <w:p w14:paraId="64A8A873" w14:textId="77777777" w:rsidR="008D6614" w:rsidRDefault="008D6614">
            <w:pPr>
              <w:rPr>
                <w:rFonts w:ascii="宋体"/>
                <w:vanish/>
              </w:rPr>
            </w:pPr>
          </w:p>
        </w:tc>
        <w:tc>
          <w:tcPr>
            <w:tcW w:w="0" w:type="auto"/>
            <w:shd w:val="clear" w:color="auto" w:fill="auto"/>
            <w:vAlign w:val="center"/>
          </w:tcPr>
          <w:p w14:paraId="64A8A874" w14:textId="77777777" w:rsidR="008D6614" w:rsidRDefault="008D6614">
            <w:pPr>
              <w:rPr>
                <w:rFonts w:ascii="宋体"/>
                <w:vanish/>
              </w:rPr>
            </w:pPr>
          </w:p>
        </w:tc>
        <w:tc>
          <w:tcPr>
            <w:tcW w:w="0" w:type="auto"/>
            <w:shd w:val="clear" w:color="auto" w:fill="auto"/>
            <w:vAlign w:val="center"/>
          </w:tcPr>
          <w:p w14:paraId="64A8A875" w14:textId="77777777" w:rsidR="008D6614" w:rsidRDefault="008D6614">
            <w:pPr>
              <w:rPr>
                <w:rFonts w:ascii="宋体"/>
                <w:vanish/>
              </w:rPr>
            </w:pPr>
          </w:p>
        </w:tc>
        <w:tc>
          <w:tcPr>
            <w:tcW w:w="0" w:type="auto"/>
            <w:shd w:val="clear" w:color="auto" w:fill="auto"/>
            <w:vAlign w:val="center"/>
          </w:tcPr>
          <w:p w14:paraId="64A8A876" w14:textId="77777777" w:rsidR="008D6614" w:rsidRDefault="008D6614">
            <w:pPr>
              <w:rPr>
                <w:rFonts w:ascii="宋体"/>
                <w:vanish/>
              </w:rPr>
            </w:pPr>
          </w:p>
        </w:tc>
        <w:tc>
          <w:tcPr>
            <w:tcW w:w="0" w:type="auto"/>
            <w:shd w:val="clear" w:color="auto" w:fill="auto"/>
            <w:vAlign w:val="center"/>
          </w:tcPr>
          <w:p w14:paraId="64A8A877" w14:textId="77777777" w:rsidR="008D6614" w:rsidRDefault="008D6614">
            <w:pPr>
              <w:rPr>
                <w:rFonts w:ascii="宋体"/>
              </w:rPr>
            </w:pPr>
          </w:p>
        </w:tc>
        <w:tc>
          <w:tcPr>
            <w:tcW w:w="0" w:type="auto"/>
            <w:shd w:val="clear" w:color="auto" w:fill="auto"/>
            <w:vAlign w:val="center"/>
          </w:tcPr>
          <w:p w14:paraId="64A8A878" w14:textId="77777777" w:rsidR="008D6614" w:rsidRDefault="008D6614">
            <w:pPr>
              <w:rPr>
                <w:rFonts w:ascii="宋体"/>
              </w:rPr>
            </w:pPr>
          </w:p>
        </w:tc>
        <w:tc>
          <w:tcPr>
            <w:tcW w:w="0" w:type="auto"/>
            <w:shd w:val="clear" w:color="auto" w:fill="auto"/>
            <w:vAlign w:val="center"/>
          </w:tcPr>
          <w:p w14:paraId="64A8A879" w14:textId="77777777" w:rsidR="008D6614" w:rsidRDefault="008D6614">
            <w:pPr>
              <w:rPr>
                <w:rFonts w:ascii="宋体"/>
              </w:rPr>
            </w:pPr>
          </w:p>
        </w:tc>
        <w:tc>
          <w:tcPr>
            <w:tcW w:w="0" w:type="auto"/>
            <w:shd w:val="clear" w:color="auto" w:fill="auto"/>
            <w:vAlign w:val="center"/>
          </w:tcPr>
          <w:p w14:paraId="64A8A87A" w14:textId="77777777" w:rsidR="008D6614" w:rsidRDefault="008D6614">
            <w:pPr>
              <w:rPr>
                <w:rFonts w:ascii="宋体"/>
              </w:rPr>
            </w:pPr>
          </w:p>
        </w:tc>
        <w:tc>
          <w:tcPr>
            <w:tcW w:w="0" w:type="auto"/>
            <w:shd w:val="clear" w:color="auto" w:fill="auto"/>
            <w:vAlign w:val="center"/>
          </w:tcPr>
          <w:p w14:paraId="64A8A87B" w14:textId="77777777" w:rsidR="008D6614" w:rsidRDefault="008D6614">
            <w:pPr>
              <w:rPr>
                <w:rFonts w:ascii="宋体"/>
              </w:rPr>
            </w:pPr>
          </w:p>
        </w:tc>
        <w:tc>
          <w:tcPr>
            <w:tcW w:w="0" w:type="auto"/>
            <w:shd w:val="clear" w:color="auto" w:fill="auto"/>
            <w:vAlign w:val="center"/>
          </w:tcPr>
          <w:p w14:paraId="64A8A87C" w14:textId="77777777" w:rsidR="008D6614" w:rsidRDefault="008D6614">
            <w:pPr>
              <w:rPr>
                <w:rFonts w:ascii="宋体"/>
              </w:rPr>
            </w:pPr>
          </w:p>
        </w:tc>
      </w:tr>
      <w:tr w:rsidR="008D6614" w14:paraId="64A8A88F" w14:textId="77777777">
        <w:trPr>
          <w:trHeight w:val="300"/>
          <w:jc w:val="center"/>
        </w:trPr>
        <w:tc>
          <w:tcPr>
            <w:tcW w:w="0" w:type="auto"/>
            <w:gridSpan w:val="3"/>
            <w:shd w:val="clear" w:color="auto" w:fill="E2E2E2"/>
            <w:tcMar>
              <w:left w:w="20" w:type="dxa"/>
              <w:right w:w="20" w:type="dxa"/>
            </w:tcMar>
            <w:vAlign w:val="bottom"/>
          </w:tcPr>
          <w:p w14:paraId="64A8A87E"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87F"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880"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881"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882"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883"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A884" w14:textId="77777777" w:rsidR="008D6614" w:rsidRDefault="008D6614">
            <w:pPr>
              <w:rPr>
                <w:rFonts w:ascii="宋体"/>
              </w:rPr>
            </w:pPr>
          </w:p>
        </w:tc>
        <w:tc>
          <w:tcPr>
            <w:tcW w:w="0" w:type="auto"/>
            <w:shd w:val="clear" w:color="auto" w:fill="auto"/>
            <w:vAlign w:val="center"/>
          </w:tcPr>
          <w:p w14:paraId="64A8A885" w14:textId="77777777" w:rsidR="008D6614" w:rsidRDefault="008D6614">
            <w:pPr>
              <w:rPr>
                <w:rFonts w:ascii="宋体"/>
                <w:vanish/>
              </w:rPr>
            </w:pPr>
          </w:p>
        </w:tc>
        <w:tc>
          <w:tcPr>
            <w:tcW w:w="0" w:type="auto"/>
            <w:shd w:val="clear" w:color="auto" w:fill="auto"/>
            <w:vAlign w:val="center"/>
          </w:tcPr>
          <w:p w14:paraId="64A8A886" w14:textId="77777777" w:rsidR="008D6614" w:rsidRDefault="008D6614">
            <w:pPr>
              <w:rPr>
                <w:rFonts w:ascii="宋体"/>
                <w:vanish/>
              </w:rPr>
            </w:pPr>
          </w:p>
        </w:tc>
        <w:tc>
          <w:tcPr>
            <w:tcW w:w="0" w:type="auto"/>
            <w:shd w:val="clear" w:color="auto" w:fill="auto"/>
            <w:vAlign w:val="center"/>
          </w:tcPr>
          <w:p w14:paraId="64A8A887" w14:textId="77777777" w:rsidR="008D6614" w:rsidRDefault="008D6614">
            <w:pPr>
              <w:rPr>
                <w:rFonts w:ascii="宋体"/>
                <w:vanish/>
              </w:rPr>
            </w:pPr>
          </w:p>
        </w:tc>
        <w:tc>
          <w:tcPr>
            <w:tcW w:w="0" w:type="auto"/>
            <w:shd w:val="clear" w:color="auto" w:fill="auto"/>
            <w:vAlign w:val="center"/>
          </w:tcPr>
          <w:p w14:paraId="64A8A888" w14:textId="77777777" w:rsidR="008D6614" w:rsidRDefault="008D6614">
            <w:pPr>
              <w:rPr>
                <w:rFonts w:ascii="宋体"/>
                <w:vanish/>
              </w:rPr>
            </w:pPr>
          </w:p>
        </w:tc>
        <w:tc>
          <w:tcPr>
            <w:tcW w:w="0" w:type="auto"/>
            <w:shd w:val="clear" w:color="auto" w:fill="auto"/>
            <w:vAlign w:val="center"/>
          </w:tcPr>
          <w:p w14:paraId="64A8A889" w14:textId="77777777" w:rsidR="008D6614" w:rsidRDefault="008D6614">
            <w:pPr>
              <w:rPr>
                <w:rFonts w:ascii="宋体"/>
              </w:rPr>
            </w:pPr>
          </w:p>
        </w:tc>
        <w:tc>
          <w:tcPr>
            <w:tcW w:w="0" w:type="auto"/>
            <w:shd w:val="clear" w:color="auto" w:fill="auto"/>
            <w:vAlign w:val="center"/>
          </w:tcPr>
          <w:p w14:paraId="64A8A88A" w14:textId="77777777" w:rsidR="008D6614" w:rsidRDefault="008D6614">
            <w:pPr>
              <w:rPr>
                <w:rFonts w:ascii="宋体"/>
              </w:rPr>
            </w:pPr>
          </w:p>
        </w:tc>
        <w:tc>
          <w:tcPr>
            <w:tcW w:w="0" w:type="auto"/>
            <w:shd w:val="clear" w:color="auto" w:fill="auto"/>
            <w:vAlign w:val="center"/>
          </w:tcPr>
          <w:p w14:paraId="64A8A88B" w14:textId="77777777" w:rsidR="008D6614" w:rsidRDefault="008D6614">
            <w:pPr>
              <w:rPr>
                <w:rFonts w:ascii="宋体"/>
              </w:rPr>
            </w:pPr>
          </w:p>
        </w:tc>
        <w:tc>
          <w:tcPr>
            <w:tcW w:w="0" w:type="auto"/>
            <w:shd w:val="clear" w:color="auto" w:fill="auto"/>
            <w:vAlign w:val="center"/>
          </w:tcPr>
          <w:p w14:paraId="64A8A88C" w14:textId="77777777" w:rsidR="008D6614" w:rsidRDefault="008D6614">
            <w:pPr>
              <w:rPr>
                <w:rFonts w:ascii="宋体"/>
              </w:rPr>
            </w:pPr>
          </w:p>
        </w:tc>
        <w:tc>
          <w:tcPr>
            <w:tcW w:w="0" w:type="auto"/>
            <w:shd w:val="clear" w:color="auto" w:fill="auto"/>
            <w:vAlign w:val="center"/>
          </w:tcPr>
          <w:p w14:paraId="64A8A88D" w14:textId="77777777" w:rsidR="008D6614" w:rsidRDefault="008D6614">
            <w:pPr>
              <w:rPr>
                <w:rFonts w:ascii="宋体"/>
              </w:rPr>
            </w:pPr>
          </w:p>
        </w:tc>
        <w:tc>
          <w:tcPr>
            <w:tcW w:w="0" w:type="auto"/>
            <w:shd w:val="clear" w:color="auto" w:fill="auto"/>
            <w:vAlign w:val="center"/>
          </w:tcPr>
          <w:p w14:paraId="64A8A88E" w14:textId="77777777" w:rsidR="008D6614" w:rsidRDefault="008D6614">
            <w:pPr>
              <w:rPr>
                <w:rFonts w:ascii="宋体"/>
              </w:rPr>
            </w:pPr>
          </w:p>
        </w:tc>
      </w:tr>
      <w:tr w:rsidR="008D6614" w14:paraId="64A8A8A1" w14:textId="77777777">
        <w:trPr>
          <w:jc w:val="center"/>
          <w:hidden/>
        </w:trPr>
        <w:tc>
          <w:tcPr>
            <w:tcW w:w="0" w:type="auto"/>
            <w:gridSpan w:val="3"/>
            <w:shd w:val="clear" w:color="auto" w:fill="auto"/>
            <w:vAlign w:val="center"/>
          </w:tcPr>
          <w:p w14:paraId="64A8A890" w14:textId="77777777" w:rsidR="008D6614" w:rsidRDefault="008D6614">
            <w:pPr>
              <w:rPr>
                <w:rFonts w:ascii="宋体"/>
                <w:vanish/>
              </w:rPr>
            </w:pPr>
          </w:p>
        </w:tc>
        <w:tc>
          <w:tcPr>
            <w:tcW w:w="0" w:type="auto"/>
            <w:gridSpan w:val="3"/>
            <w:shd w:val="clear" w:color="auto" w:fill="auto"/>
            <w:vAlign w:val="center"/>
          </w:tcPr>
          <w:p w14:paraId="64A8A891" w14:textId="77777777" w:rsidR="008D6614" w:rsidRDefault="008D6614">
            <w:pPr>
              <w:rPr>
                <w:rFonts w:ascii="宋体"/>
                <w:vanish/>
              </w:rPr>
            </w:pPr>
          </w:p>
        </w:tc>
        <w:tc>
          <w:tcPr>
            <w:tcW w:w="0" w:type="auto"/>
            <w:gridSpan w:val="3"/>
            <w:shd w:val="clear" w:color="auto" w:fill="auto"/>
            <w:vAlign w:val="center"/>
          </w:tcPr>
          <w:p w14:paraId="64A8A892" w14:textId="77777777" w:rsidR="008D6614" w:rsidRDefault="008D6614">
            <w:pPr>
              <w:rPr>
                <w:rFonts w:ascii="宋体"/>
                <w:vanish/>
              </w:rPr>
            </w:pPr>
          </w:p>
        </w:tc>
        <w:tc>
          <w:tcPr>
            <w:tcW w:w="0" w:type="auto"/>
            <w:gridSpan w:val="3"/>
            <w:shd w:val="clear" w:color="auto" w:fill="auto"/>
            <w:vAlign w:val="center"/>
          </w:tcPr>
          <w:p w14:paraId="64A8A893" w14:textId="77777777" w:rsidR="008D6614" w:rsidRDefault="008D6614">
            <w:pPr>
              <w:rPr>
                <w:rFonts w:ascii="宋体"/>
                <w:vanish/>
              </w:rPr>
            </w:pPr>
          </w:p>
        </w:tc>
        <w:tc>
          <w:tcPr>
            <w:tcW w:w="0" w:type="auto"/>
            <w:gridSpan w:val="3"/>
            <w:shd w:val="clear" w:color="auto" w:fill="auto"/>
            <w:vAlign w:val="center"/>
          </w:tcPr>
          <w:p w14:paraId="64A8A894" w14:textId="77777777" w:rsidR="008D6614" w:rsidRDefault="008D6614">
            <w:pPr>
              <w:rPr>
                <w:rFonts w:ascii="宋体"/>
                <w:vanish/>
              </w:rPr>
            </w:pPr>
          </w:p>
        </w:tc>
        <w:tc>
          <w:tcPr>
            <w:tcW w:w="0" w:type="auto"/>
            <w:gridSpan w:val="3"/>
            <w:shd w:val="clear" w:color="auto" w:fill="auto"/>
            <w:vAlign w:val="center"/>
          </w:tcPr>
          <w:p w14:paraId="64A8A895" w14:textId="77777777" w:rsidR="008D6614" w:rsidRDefault="008D6614">
            <w:pPr>
              <w:rPr>
                <w:rFonts w:ascii="宋体"/>
                <w:vanish/>
              </w:rPr>
            </w:pPr>
          </w:p>
        </w:tc>
        <w:tc>
          <w:tcPr>
            <w:tcW w:w="0" w:type="auto"/>
            <w:gridSpan w:val="3"/>
            <w:shd w:val="clear" w:color="auto" w:fill="auto"/>
            <w:vAlign w:val="center"/>
          </w:tcPr>
          <w:p w14:paraId="64A8A896" w14:textId="77777777" w:rsidR="008D6614" w:rsidRDefault="008D6614">
            <w:pPr>
              <w:rPr>
                <w:rFonts w:ascii="宋体"/>
                <w:vanish/>
              </w:rPr>
            </w:pPr>
          </w:p>
        </w:tc>
        <w:tc>
          <w:tcPr>
            <w:tcW w:w="0" w:type="auto"/>
            <w:shd w:val="clear" w:color="auto" w:fill="auto"/>
            <w:vAlign w:val="center"/>
          </w:tcPr>
          <w:p w14:paraId="64A8A897" w14:textId="77777777" w:rsidR="008D6614" w:rsidRDefault="008D6614">
            <w:pPr>
              <w:rPr>
                <w:rFonts w:ascii="宋体"/>
                <w:vanish/>
              </w:rPr>
            </w:pPr>
          </w:p>
        </w:tc>
        <w:tc>
          <w:tcPr>
            <w:tcW w:w="0" w:type="auto"/>
            <w:shd w:val="clear" w:color="auto" w:fill="auto"/>
            <w:vAlign w:val="center"/>
          </w:tcPr>
          <w:p w14:paraId="64A8A898" w14:textId="77777777" w:rsidR="008D6614" w:rsidRDefault="008D6614">
            <w:pPr>
              <w:rPr>
                <w:rFonts w:ascii="宋体"/>
                <w:vanish/>
              </w:rPr>
            </w:pPr>
          </w:p>
        </w:tc>
        <w:tc>
          <w:tcPr>
            <w:tcW w:w="0" w:type="auto"/>
            <w:shd w:val="clear" w:color="auto" w:fill="auto"/>
            <w:vAlign w:val="center"/>
          </w:tcPr>
          <w:p w14:paraId="64A8A899" w14:textId="77777777" w:rsidR="008D6614" w:rsidRDefault="008D6614">
            <w:pPr>
              <w:rPr>
                <w:rFonts w:ascii="宋体"/>
                <w:vanish/>
              </w:rPr>
            </w:pPr>
          </w:p>
        </w:tc>
        <w:tc>
          <w:tcPr>
            <w:tcW w:w="0" w:type="auto"/>
            <w:shd w:val="clear" w:color="auto" w:fill="auto"/>
            <w:vAlign w:val="center"/>
          </w:tcPr>
          <w:p w14:paraId="64A8A89A" w14:textId="77777777" w:rsidR="008D6614" w:rsidRDefault="008D6614">
            <w:pPr>
              <w:rPr>
                <w:rFonts w:ascii="宋体"/>
                <w:vanish/>
              </w:rPr>
            </w:pPr>
          </w:p>
        </w:tc>
        <w:tc>
          <w:tcPr>
            <w:tcW w:w="0" w:type="auto"/>
            <w:shd w:val="clear" w:color="auto" w:fill="auto"/>
            <w:vAlign w:val="center"/>
          </w:tcPr>
          <w:p w14:paraId="64A8A89B" w14:textId="77777777" w:rsidR="008D6614" w:rsidRDefault="008D6614">
            <w:pPr>
              <w:rPr>
                <w:rFonts w:ascii="宋体"/>
              </w:rPr>
            </w:pPr>
          </w:p>
        </w:tc>
        <w:tc>
          <w:tcPr>
            <w:tcW w:w="0" w:type="auto"/>
            <w:shd w:val="clear" w:color="auto" w:fill="auto"/>
            <w:vAlign w:val="center"/>
          </w:tcPr>
          <w:p w14:paraId="64A8A89C" w14:textId="77777777" w:rsidR="008D6614" w:rsidRDefault="008D6614">
            <w:pPr>
              <w:rPr>
                <w:rFonts w:ascii="宋体"/>
              </w:rPr>
            </w:pPr>
          </w:p>
        </w:tc>
        <w:tc>
          <w:tcPr>
            <w:tcW w:w="0" w:type="auto"/>
            <w:shd w:val="clear" w:color="auto" w:fill="auto"/>
            <w:vAlign w:val="center"/>
          </w:tcPr>
          <w:p w14:paraId="64A8A89D" w14:textId="77777777" w:rsidR="008D6614" w:rsidRDefault="008D6614">
            <w:pPr>
              <w:rPr>
                <w:rFonts w:ascii="宋体"/>
              </w:rPr>
            </w:pPr>
          </w:p>
        </w:tc>
        <w:tc>
          <w:tcPr>
            <w:tcW w:w="0" w:type="auto"/>
            <w:shd w:val="clear" w:color="auto" w:fill="auto"/>
            <w:vAlign w:val="center"/>
          </w:tcPr>
          <w:p w14:paraId="64A8A89E" w14:textId="77777777" w:rsidR="008D6614" w:rsidRDefault="008D6614">
            <w:pPr>
              <w:rPr>
                <w:rFonts w:ascii="宋体"/>
              </w:rPr>
            </w:pPr>
          </w:p>
        </w:tc>
        <w:tc>
          <w:tcPr>
            <w:tcW w:w="0" w:type="auto"/>
            <w:shd w:val="clear" w:color="auto" w:fill="auto"/>
            <w:vAlign w:val="center"/>
          </w:tcPr>
          <w:p w14:paraId="64A8A89F" w14:textId="77777777" w:rsidR="008D6614" w:rsidRDefault="008D6614">
            <w:pPr>
              <w:rPr>
                <w:rFonts w:ascii="宋体"/>
              </w:rPr>
            </w:pPr>
          </w:p>
        </w:tc>
        <w:tc>
          <w:tcPr>
            <w:tcW w:w="0" w:type="auto"/>
            <w:shd w:val="clear" w:color="auto" w:fill="auto"/>
            <w:vAlign w:val="center"/>
          </w:tcPr>
          <w:p w14:paraId="64A8A8A0" w14:textId="77777777" w:rsidR="008D6614" w:rsidRDefault="008D6614">
            <w:pPr>
              <w:rPr>
                <w:rFonts w:ascii="宋体"/>
              </w:rPr>
            </w:pPr>
          </w:p>
        </w:tc>
      </w:tr>
      <w:tr w:rsidR="008D6614" w14:paraId="64A8A8B3" w14:textId="77777777">
        <w:trPr>
          <w:jc w:val="center"/>
          <w:hidden/>
        </w:trPr>
        <w:tc>
          <w:tcPr>
            <w:tcW w:w="0" w:type="auto"/>
            <w:gridSpan w:val="3"/>
            <w:shd w:val="clear" w:color="auto" w:fill="auto"/>
            <w:vAlign w:val="center"/>
          </w:tcPr>
          <w:p w14:paraId="64A8A8A2" w14:textId="77777777" w:rsidR="008D6614" w:rsidRDefault="008D6614">
            <w:pPr>
              <w:rPr>
                <w:rFonts w:ascii="宋体"/>
                <w:vanish/>
              </w:rPr>
            </w:pPr>
          </w:p>
        </w:tc>
        <w:tc>
          <w:tcPr>
            <w:tcW w:w="0" w:type="auto"/>
            <w:gridSpan w:val="3"/>
            <w:shd w:val="clear" w:color="auto" w:fill="auto"/>
            <w:vAlign w:val="center"/>
          </w:tcPr>
          <w:p w14:paraId="64A8A8A3" w14:textId="77777777" w:rsidR="008D6614" w:rsidRDefault="008D6614">
            <w:pPr>
              <w:rPr>
                <w:rFonts w:ascii="宋体"/>
                <w:vanish/>
              </w:rPr>
            </w:pPr>
          </w:p>
        </w:tc>
        <w:tc>
          <w:tcPr>
            <w:tcW w:w="0" w:type="auto"/>
            <w:gridSpan w:val="3"/>
            <w:shd w:val="clear" w:color="auto" w:fill="auto"/>
            <w:vAlign w:val="center"/>
          </w:tcPr>
          <w:p w14:paraId="64A8A8A4" w14:textId="77777777" w:rsidR="008D6614" w:rsidRDefault="008D6614">
            <w:pPr>
              <w:rPr>
                <w:rFonts w:ascii="宋体"/>
                <w:vanish/>
              </w:rPr>
            </w:pPr>
          </w:p>
        </w:tc>
        <w:tc>
          <w:tcPr>
            <w:tcW w:w="0" w:type="auto"/>
            <w:gridSpan w:val="3"/>
            <w:shd w:val="clear" w:color="auto" w:fill="auto"/>
            <w:vAlign w:val="center"/>
          </w:tcPr>
          <w:p w14:paraId="64A8A8A5" w14:textId="77777777" w:rsidR="008D6614" w:rsidRDefault="008D6614">
            <w:pPr>
              <w:rPr>
                <w:rFonts w:ascii="宋体"/>
                <w:vanish/>
              </w:rPr>
            </w:pPr>
          </w:p>
        </w:tc>
        <w:tc>
          <w:tcPr>
            <w:tcW w:w="0" w:type="auto"/>
            <w:gridSpan w:val="3"/>
            <w:shd w:val="clear" w:color="auto" w:fill="auto"/>
            <w:vAlign w:val="center"/>
          </w:tcPr>
          <w:p w14:paraId="64A8A8A6" w14:textId="77777777" w:rsidR="008D6614" w:rsidRDefault="008D6614">
            <w:pPr>
              <w:rPr>
                <w:rFonts w:ascii="宋体"/>
                <w:vanish/>
              </w:rPr>
            </w:pPr>
          </w:p>
        </w:tc>
        <w:tc>
          <w:tcPr>
            <w:tcW w:w="0" w:type="auto"/>
            <w:gridSpan w:val="3"/>
            <w:shd w:val="clear" w:color="auto" w:fill="auto"/>
            <w:vAlign w:val="center"/>
          </w:tcPr>
          <w:p w14:paraId="64A8A8A7" w14:textId="77777777" w:rsidR="008D6614" w:rsidRDefault="008D6614">
            <w:pPr>
              <w:rPr>
                <w:rFonts w:ascii="宋体"/>
                <w:vanish/>
              </w:rPr>
            </w:pPr>
          </w:p>
        </w:tc>
        <w:tc>
          <w:tcPr>
            <w:tcW w:w="0" w:type="auto"/>
            <w:gridSpan w:val="3"/>
            <w:shd w:val="clear" w:color="auto" w:fill="auto"/>
            <w:vAlign w:val="center"/>
          </w:tcPr>
          <w:p w14:paraId="64A8A8A8" w14:textId="77777777" w:rsidR="008D6614" w:rsidRDefault="008D6614">
            <w:pPr>
              <w:rPr>
                <w:rFonts w:ascii="宋体"/>
                <w:vanish/>
              </w:rPr>
            </w:pPr>
          </w:p>
        </w:tc>
        <w:tc>
          <w:tcPr>
            <w:tcW w:w="0" w:type="auto"/>
            <w:shd w:val="clear" w:color="auto" w:fill="auto"/>
            <w:vAlign w:val="center"/>
          </w:tcPr>
          <w:p w14:paraId="64A8A8A9" w14:textId="77777777" w:rsidR="008D6614" w:rsidRDefault="008D6614">
            <w:pPr>
              <w:rPr>
                <w:rFonts w:ascii="宋体"/>
                <w:vanish/>
              </w:rPr>
            </w:pPr>
          </w:p>
        </w:tc>
        <w:tc>
          <w:tcPr>
            <w:tcW w:w="0" w:type="auto"/>
            <w:shd w:val="clear" w:color="auto" w:fill="auto"/>
            <w:vAlign w:val="center"/>
          </w:tcPr>
          <w:p w14:paraId="64A8A8AA" w14:textId="77777777" w:rsidR="008D6614" w:rsidRDefault="008D6614">
            <w:pPr>
              <w:rPr>
                <w:rFonts w:ascii="宋体"/>
                <w:vanish/>
              </w:rPr>
            </w:pPr>
          </w:p>
        </w:tc>
        <w:tc>
          <w:tcPr>
            <w:tcW w:w="0" w:type="auto"/>
            <w:shd w:val="clear" w:color="auto" w:fill="auto"/>
            <w:vAlign w:val="center"/>
          </w:tcPr>
          <w:p w14:paraId="64A8A8AB" w14:textId="77777777" w:rsidR="008D6614" w:rsidRDefault="008D6614">
            <w:pPr>
              <w:rPr>
                <w:rFonts w:ascii="宋体"/>
                <w:vanish/>
              </w:rPr>
            </w:pPr>
          </w:p>
        </w:tc>
        <w:tc>
          <w:tcPr>
            <w:tcW w:w="0" w:type="auto"/>
            <w:shd w:val="clear" w:color="auto" w:fill="auto"/>
            <w:vAlign w:val="center"/>
          </w:tcPr>
          <w:p w14:paraId="64A8A8AC" w14:textId="77777777" w:rsidR="008D6614" w:rsidRDefault="008D6614">
            <w:pPr>
              <w:rPr>
                <w:rFonts w:ascii="宋体"/>
                <w:vanish/>
              </w:rPr>
            </w:pPr>
          </w:p>
        </w:tc>
        <w:tc>
          <w:tcPr>
            <w:tcW w:w="0" w:type="auto"/>
            <w:shd w:val="clear" w:color="auto" w:fill="auto"/>
            <w:vAlign w:val="center"/>
          </w:tcPr>
          <w:p w14:paraId="64A8A8AD" w14:textId="77777777" w:rsidR="008D6614" w:rsidRDefault="008D6614">
            <w:pPr>
              <w:rPr>
                <w:rFonts w:ascii="宋体"/>
              </w:rPr>
            </w:pPr>
          </w:p>
        </w:tc>
        <w:tc>
          <w:tcPr>
            <w:tcW w:w="0" w:type="auto"/>
            <w:shd w:val="clear" w:color="auto" w:fill="auto"/>
            <w:vAlign w:val="center"/>
          </w:tcPr>
          <w:p w14:paraId="64A8A8AE" w14:textId="77777777" w:rsidR="008D6614" w:rsidRDefault="008D6614">
            <w:pPr>
              <w:rPr>
                <w:rFonts w:ascii="宋体"/>
              </w:rPr>
            </w:pPr>
          </w:p>
        </w:tc>
        <w:tc>
          <w:tcPr>
            <w:tcW w:w="0" w:type="auto"/>
            <w:shd w:val="clear" w:color="auto" w:fill="auto"/>
            <w:vAlign w:val="center"/>
          </w:tcPr>
          <w:p w14:paraId="64A8A8AF" w14:textId="77777777" w:rsidR="008D6614" w:rsidRDefault="008D6614">
            <w:pPr>
              <w:rPr>
                <w:rFonts w:ascii="宋体"/>
              </w:rPr>
            </w:pPr>
          </w:p>
        </w:tc>
        <w:tc>
          <w:tcPr>
            <w:tcW w:w="0" w:type="auto"/>
            <w:shd w:val="clear" w:color="auto" w:fill="auto"/>
            <w:vAlign w:val="center"/>
          </w:tcPr>
          <w:p w14:paraId="64A8A8B0" w14:textId="77777777" w:rsidR="008D6614" w:rsidRDefault="008D6614">
            <w:pPr>
              <w:rPr>
                <w:rFonts w:ascii="宋体"/>
              </w:rPr>
            </w:pPr>
          </w:p>
        </w:tc>
        <w:tc>
          <w:tcPr>
            <w:tcW w:w="0" w:type="auto"/>
            <w:shd w:val="clear" w:color="auto" w:fill="auto"/>
            <w:vAlign w:val="center"/>
          </w:tcPr>
          <w:p w14:paraId="64A8A8B1" w14:textId="77777777" w:rsidR="008D6614" w:rsidRDefault="008D6614">
            <w:pPr>
              <w:rPr>
                <w:rFonts w:ascii="宋体"/>
              </w:rPr>
            </w:pPr>
          </w:p>
        </w:tc>
        <w:tc>
          <w:tcPr>
            <w:tcW w:w="0" w:type="auto"/>
            <w:shd w:val="clear" w:color="auto" w:fill="auto"/>
            <w:vAlign w:val="center"/>
          </w:tcPr>
          <w:p w14:paraId="64A8A8B2" w14:textId="77777777" w:rsidR="008D6614" w:rsidRDefault="008D6614">
            <w:pPr>
              <w:rPr>
                <w:rFonts w:ascii="宋体"/>
              </w:rPr>
            </w:pPr>
          </w:p>
        </w:tc>
      </w:tr>
      <w:tr w:rsidR="008D6614" w14:paraId="64A8A8C5" w14:textId="77777777">
        <w:trPr>
          <w:jc w:val="center"/>
          <w:hidden/>
        </w:trPr>
        <w:tc>
          <w:tcPr>
            <w:tcW w:w="0" w:type="auto"/>
            <w:gridSpan w:val="3"/>
            <w:shd w:val="clear" w:color="auto" w:fill="auto"/>
            <w:vAlign w:val="center"/>
          </w:tcPr>
          <w:p w14:paraId="64A8A8B4" w14:textId="77777777" w:rsidR="008D6614" w:rsidRDefault="008D6614">
            <w:pPr>
              <w:rPr>
                <w:rFonts w:ascii="宋体"/>
                <w:vanish/>
              </w:rPr>
            </w:pPr>
          </w:p>
        </w:tc>
        <w:tc>
          <w:tcPr>
            <w:tcW w:w="0" w:type="auto"/>
            <w:gridSpan w:val="3"/>
            <w:shd w:val="clear" w:color="auto" w:fill="auto"/>
            <w:vAlign w:val="center"/>
          </w:tcPr>
          <w:p w14:paraId="64A8A8B5" w14:textId="77777777" w:rsidR="008D6614" w:rsidRDefault="008D6614">
            <w:pPr>
              <w:rPr>
                <w:rFonts w:ascii="宋体"/>
                <w:vanish/>
              </w:rPr>
            </w:pPr>
          </w:p>
        </w:tc>
        <w:tc>
          <w:tcPr>
            <w:tcW w:w="0" w:type="auto"/>
            <w:gridSpan w:val="3"/>
            <w:shd w:val="clear" w:color="auto" w:fill="auto"/>
            <w:vAlign w:val="center"/>
          </w:tcPr>
          <w:p w14:paraId="64A8A8B6" w14:textId="77777777" w:rsidR="008D6614" w:rsidRDefault="008D6614">
            <w:pPr>
              <w:rPr>
                <w:rFonts w:ascii="宋体"/>
                <w:vanish/>
              </w:rPr>
            </w:pPr>
          </w:p>
        </w:tc>
        <w:tc>
          <w:tcPr>
            <w:tcW w:w="0" w:type="auto"/>
            <w:gridSpan w:val="3"/>
            <w:shd w:val="clear" w:color="auto" w:fill="auto"/>
            <w:vAlign w:val="center"/>
          </w:tcPr>
          <w:p w14:paraId="64A8A8B7" w14:textId="77777777" w:rsidR="008D6614" w:rsidRDefault="008D6614">
            <w:pPr>
              <w:rPr>
                <w:rFonts w:ascii="宋体"/>
                <w:vanish/>
              </w:rPr>
            </w:pPr>
          </w:p>
        </w:tc>
        <w:tc>
          <w:tcPr>
            <w:tcW w:w="0" w:type="auto"/>
            <w:gridSpan w:val="3"/>
            <w:shd w:val="clear" w:color="auto" w:fill="auto"/>
            <w:vAlign w:val="center"/>
          </w:tcPr>
          <w:p w14:paraId="64A8A8B8" w14:textId="77777777" w:rsidR="008D6614" w:rsidRDefault="008D6614">
            <w:pPr>
              <w:rPr>
                <w:rFonts w:ascii="宋体"/>
                <w:vanish/>
              </w:rPr>
            </w:pPr>
          </w:p>
        </w:tc>
        <w:tc>
          <w:tcPr>
            <w:tcW w:w="0" w:type="auto"/>
            <w:gridSpan w:val="3"/>
            <w:shd w:val="clear" w:color="auto" w:fill="auto"/>
            <w:vAlign w:val="center"/>
          </w:tcPr>
          <w:p w14:paraId="64A8A8B9" w14:textId="77777777" w:rsidR="008D6614" w:rsidRDefault="008D6614">
            <w:pPr>
              <w:rPr>
                <w:rFonts w:ascii="宋体"/>
                <w:vanish/>
              </w:rPr>
            </w:pPr>
          </w:p>
        </w:tc>
        <w:tc>
          <w:tcPr>
            <w:tcW w:w="0" w:type="auto"/>
            <w:gridSpan w:val="3"/>
            <w:shd w:val="clear" w:color="auto" w:fill="auto"/>
            <w:vAlign w:val="center"/>
          </w:tcPr>
          <w:p w14:paraId="64A8A8BA" w14:textId="77777777" w:rsidR="008D6614" w:rsidRDefault="008D6614">
            <w:pPr>
              <w:rPr>
                <w:rFonts w:ascii="宋体"/>
                <w:vanish/>
              </w:rPr>
            </w:pPr>
          </w:p>
        </w:tc>
        <w:tc>
          <w:tcPr>
            <w:tcW w:w="0" w:type="auto"/>
            <w:shd w:val="clear" w:color="auto" w:fill="auto"/>
            <w:vAlign w:val="center"/>
          </w:tcPr>
          <w:p w14:paraId="64A8A8BB" w14:textId="77777777" w:rsidR="008D6614" w:rsidRDefault="008D6614">
            <w:pPr>
              <w:rPr>
                <w:rFonts w:ascii="宋体"/>
                <w:vanish/>
              </w:rPr>
            </w:pPr>
          </w:p>
        </w:tc>
        <w:tc>
          <w:tcPr>
            <w:tcW w:w="0" w:type="auto"/>
            <w:shd w:val="clear" w:color="auto" w:fill="auto"/>
            <w:vAlign w:val="center"/>
          </w:tcPr>
          <w:p w14:paraId="64A8A8BC" w14:textId="77777777" w:rsidR="008D6614" w:rsidRDefault="008D6614">
            <w:pPr>
              <w:rPr>
                <w:rFonts w:ascii="宋体"/>
                <w:vanish/>
              </w:rPr>
            </w:pPr>
          </w:p>
        </w:tc>
        <w:tc>
          <w:tcPr>
            <w:tcW w:w="0" w:type="auto"/>
            <w:shd w:val="clear" w:color="auto" w:fill="auto"/>
            <w:vAlign w:val="center"/>
          </w:tcPr>
          <w:p w14:paraId="64A8A8BD" w14:textId="77777777" w:rsidR="008D6614" w:rsidRDefault="008D6614">
            <w:pPr>
              <w:rPr>
                <w:rFonts w:ascii="宋体"/>
                <w:vanish/>
              </w:rPr>
            </w:pPr>
          </w:p>
        </w:tc>
        <w:tc>
          <w:tcPr>
            <w:tcW w:w="0" w:type="auto"/>
            <w:shd w:val="clear" w:color="auto" w:fill="auto"/>
            <w:vAlign w:val="center"/>
          </w:tcPr>
          <w:p w14:paraId="64A8A8BE" w14:textId="77777777" w:rsidR="008D6614" w:rsidRDefault="008D6614">
            <w:pPr>
              <w:rPr>
                <w:rFonts w:ascii="宋体"/>
                <w:vanish/>
              </w:rPr>
            </w:pPr>
          </w:p>
        </w:tc>
        <w:tc>
          <w:tcPr>
            <w:tcW w:w="0" w:type="auto"/>
            <w:shd w:val="clear" w:color="auto" w:fill="auto"/>
            <w:vAlign w:val="center"/>
          </w:tcPr>
          <w:p w14:paraId="64A8A8BF" w14:textId="77777777" w:rsidR="008D6614" w:rsidRDefault="008D6614">
            <w:pPr>
              <w:rPr>
                <w:rFonts w:ascii="宋体"/>
              </w:rPr>
            </w:pPr>
          </w:p>
        </w:tc>
        <w:tc>
          <w:tcPr>
            <w:tcW w:w="0" w:type="auto"/>
            <w:shd w:val="clear" w:color="auto" w:fill="auto"/>
            <w:vAlign w:val="center"/>
          </w:tcPr>
          <w:p w14:paraId="64A8A8C0" w14:textId="77777777" w:rsidR="008D6614" w:rsidRDefault="008D6614">
            <w:pPr>
              <w:rPr>
                <w:rFonts w:ascii="宋体"/>
              </w:rPr>
            </w:pPr>
          </w:p>
        </w:tc>
        <w:tc>
          <w:tcPr>
            <w:tcW w:w="0" w:type="auto"/>
            <w:shd w:val="clear" w:color="auto" w:fill="auto"/>
            <w:vAlign w:val="center"/>
          </w:tcPr>
          <w:p w14:paraId="64A8A8C1" w14:textId="77777777" w:rsidR="008D6614" w:rsidRDefault="008D6614">
            <w:pPr>
              <w:rPr>
                <w:rFonts w:ascii="宋体"/>
              </w:rPr>
            </w:pPr>
          </w:p>
        </w:tc>
        <w:tc>
          <w:tcPr>
            <w:tcW w:w="0" w:type="auto"/>
            <w:shd w:val="clear" w:color="auto" w:fill="auto"/>
            <w:vAlign w:val="center"/>
          </w:tcPr>
          <w:p w14:paraId="64A8A8C2" w14:textId="77777777" w:rsidR="008D6614" w:rsidRDefault="008D6614">
            <w:pPr>
              <w:rPr>
                <w:rFonts w:ascii="宋体"/>
              </w:rPr>
            </w:pPr>
          </w:p>
        </w:tc>
        <w:tc>
          <w:tcPr>
            <w:tcW w:w="0" w:type="auto"/>
            <w:shd w:val="clear" w:color="auto" w:fill="auto"/>
            <w:vAlign w:val="center"/>
          </w:tcPr>
          <w:p w14:paraId="64A8A8C3" w14:textId="77777777" w:rsidR="008D6614" w:rsidRDefault="008D6614">
            <w:pPr>
              <w:rPr>
                <w:rFonts w:ascii="宋体"/>
              </w:rPr>
            </w:pPr>
          </w:p>
        </w:tc>
        <w:tc>
          <w:tcPr>
            <w:tcW w:w="0" w:type="auto"/>
            <w:shd w:val="clear" w:color="auto" w:fill="auto"/>
            <w:vAlign w:val="center"/>
          </w:tcPr>
          <w:p w14:paraId="64A8A8C4" w14:textId="77777777" w:rsidR="008D6614" w:rsidRDefault="008D6614">
            <w:pPr>
              <w:rPr>
                <w:rFonts w:ascii="宋体"/>
              </w:rPr>
            </w:pPr>
          </w:p>
        </w:tc>
      </w:tr>
      <w:tr w:rsidR="008D6614" w14:paraId="64A8A8D7" w14:textId="77777777">
        <w:trPr>
          <w:jc w:val="center"/>
          <w:hidden/>
        </w:trPr>
        <w:tc>
          <w:tcPr>
            <w:tcW w:w="0" w:type="auto"/>
            <w:gridSpan w:val="3"/>
            <w:shd w:val="clear" w:color="auto" w:fill="auto"/>
            <w:vAlign w:val="center"/>
          </w:tcPr>
          <w:p w14:paraId="64A8A8C6" w14:textId="77777777" w:rsidR="008D6614" w:rsidRDefault="008D6614">
            <w:pPr>
              <w:rPr>
                <w:rFonts w:ascii="宋体"/>
                <w:vanish/>
              </w:rPr>
            </w:pPr>
          </w:p>
        </w:tc>
        <w:tc>
          <w:tcPr>
            <w:tcW w:w="0" w:type="auto"/>
            <w:gridSpan w:val="3"/>
            <w:shd w:val="clear" w:color="auto" w:fill="auto"/>
            <w:vAlign w:val="center"/>
          </w:tcPr>
          <w:p w14:paraId="64A8A8C7" w14:textId="77777777" w:rsidR="008D6614" w:rsidRDefault="008D6614">
            <w:pPr>
              <w:rPr>
                <w:rFonts w:ascii="宋体"/>
                <w:vanish/>
              </w:rPr>
            </w:pPr>
          </w:p>
        </w:tc>
        <w:tc>
          <w:tcPr>
            <w:tcW w:w="0" w:type="auto"/>
            <w:gridSpan w:val="3"/>
            <w:shd w:val="clear" w:color="auto" w:fill="auto"/>
            <w:vAlign w:val="center"/>
          </w:tcPr>
          <w:p w14:paraId="64A8A8C8" w14:textId="77777777" w:rsidR="008D6614" w:rsidRDefault="008D6614">
            <w:pPr>
              <w:rPr>
                <w:rFonts w:ascii="宋体"/>
                <w:vanish/>
              </w:rPr>
            </w:pPr>
          </w:p>
        </w:tc>
        <w:tc>
          <w:tcPr>
            <w:tcW w:w="0" w:type="auto"/>
            <w:gridSpan w:val="3"/>
            <w:shd w:val="clear" w:color="auto" w:fill="auto"/>
            <w:vAlign w:val="center"/>
          </w:tcPr>
          <w:p w14:paraId="64A8A8C9" w14:textId="77777777" w:rsidR="008D6614" w:rsidRDefault="008D6614">
            <w:pPr>
              <w:rPr>
                <w:rFonts w:ascii="宋体"/>
                <w:vanish/>
              </w:rPr>
            </w:pPr>
          </w:p>
        </w:tc>
        <w:tc>
          <w:tcPr>
            <w:tcW w:w="0" w:type="auto"/>
            <w:gridSpan w:val="3"/>
            <w:shd w:val="clear" w:color="auto" w:fill="auto"/>
            <w:vAlign w:val="center"/>
          </w:tcPr>
          <w:p w14:paraId="64A8A8CA" w14:textId="77777777" w:rsidR="008D6614" w:rsidRDefault="008D6614">
            <w:pPr>
              <w:rPr>
                <w:rFonts w:ascii="宋体"/>
                <w:vanish/>
              </w:rPr>
            </w:pPr>
          </w:p>
        </w:tc>
        <w:tc>
          <w:tcPr>
            <w:tcW w:w="0" w:type="auto"/>
            <w:gridSpan w:val="3"/>
            <w:shd w:val="clear" w:color="auto" w:fill="auto"/>
            <w:vAlign w:val="center"/>
          </w:tcPr>
          <w:p w14:paraId="64A8A8CB" w14:textId="77777777" w:rsidR="008D6614" w:rsidRDefault="008D6614">
            <w:pPr>
              <w:rPr>
                <w:rFonts w:ascii="宋体"/>
                <w:vanish/>
              </w:rPr>
            </w:pPr>
          </w:p>
        </w:tc>
        <w:tc>
          <w:tcPr>
            <w:tcW w:w="0" w:type="auto"/>
            <w:gridSpan w:val="3"/>
            <w:shd w:val="clear" w:color="auto" w:fill="auto"/>
            <w:vAlign w:val="center"/>
          </w:tcPr>
          <w:p w14:paraId="64A8A8CC" w14:textId="77777777" w:rsidR="008D6614" w:rsidRDefault="008D6614">
            <w:pPr>
              <w:rPr>
                <w:rFonts w:ascii="宋体"/>
                <w:vanish/>
              </w:rPr>
            </w:pPr>
          </w:p>
        </w:tc>
        <w:tc>
          <w:tcPr>
            <w:tcW w:w="0" w:type="auto"/>
            <w:shd w:val="clear" w:color="auto" w:fill="auto"/>
            <w:vAlign w:val="center"/>
          </w:tcPr>
          <w:p w14:paraId="64A8A8CD" w14:textId="77777777" w:rsidR="008D6614" w:rsidRDefault="008D6614">
            <w:pPr>
              <w:rPr>
                <w:rFonts w:ascii="宋体"/>
                <w:vanish/>
              </w:rPr>
            </w:pPr>
          </w:p>
        </w:tc>
        <w:tc>
          <w:tcPr>
            <w:tcW w:w="0" w:type="auto"/>
            <w:shd w:val="clear" w:color="auto" w:fill="auto"/>
            <w:vAlign w:val="center"/>
          </w:tcPr>
          <w:p w14:paraId="64A8A8CE" w14:textId="77777777" w:rsidR="008D6614" w:rsidRDefault="008D6614">
            <w:pPr>
              <w:rPr>
                <w:rFonts w:ascii="宋体"/>
                <w:vanish/>
              </w:rPr>
            </w:pPr>
          </w:p>
        </w:tc>
        <w:tc>
          <w:tcPr>
            <w:tcW w:w="0" w:type="auto"/>
            <w:shd w:val="clear" w:color="auto" w:fill="auto"/>
            <w:vAlign w:val="center"/>
          </w:tcPr>
          <w:p w14:paraId="64A8A8CF" w14:textId="77777777" w:rsidR="008D6614" w:rsidRDefault="008D6614">
            <w:pPr>
              <w:rPr>
                <w:rFonts w:ascii="宋体"/>
                <w:vanish/>
              </w:rPr>
            </w:pPr>
          </w:p>
        </w:tc>
        <w:tc>
          <w:tcPr>
            <w:tcW w:w="0" w:type="auto"/>
            <w:shd w:val="clear" w:color="auto" w:fill="auto"/>
            <w:vAlign w:val="center"/>
          </w:tcPr>
          <w:p w14:paraId="64A8A8D0" w14:textId="77777777" w:rsidR="008D6614" w:rsidRDefault="008D6614">
            <w:pPr>
              <w:rPr>
                <w:rFonts w:ascii="宋体"/>
                <w:vanish/>
              </w:rPr>
            </w:pPr>
          </w:p>
        </w:tc>
        <w:tc>
          <w:tcPr>
            <w:tcW w:w="0" w:type="auto"/>
            <w:shd w:val="clear" w:color="auto" w:fill="auto"/>
            <w:vAlign w:val="center"/>
          </w:tcPr>
          <w:p w14:paraId="64A8A8D1" w14:textId="77777777" w:rsidR="008D6614" w:rsidRDefault="008D6614">
            <w:pPr>
              <w:rPr>
                <w:rFonts w:ascii="宋体"/>
              </w:rPr>
            </w:pPr>
          </w:p>
        </w:tc>
        <w:tc>
          <w:tcPr>
            <w:tcW w:w="0" w:type="auto"/>
            <w:shd w:val="clear" w:color="auto" w:fill="auto"/>
            <w:vAlign w:val="center"/>
          </w:tcPr>
          <w:p w14:paraId="64A8A8D2" w14:textId="77777777" w:rsidR="008D6614" w:rsidRDefault="008D6614">
            <w:pPr>
              <w:rPr>
                <w:rFonts w:ascii="宋体"/>
              </w:rPr>
            </w:pPr>
          </w:p>
        </w:tc>
        <w:tc>
          <w:tcPr>
            <w:tcW w:w="0" w:type="auto"/>
            <w:shd w:val="clear" w:color="auto" w:fill="auto"/>
            <w:vAlign w:val="center"/>
          </w:tcPr>
          <w:p w14:paraId="64A8A8D3" w14:textId="77777777" w:rsidR="008D6614" w:rsidRDefault="008D6614">
            <w:pPr>
              <w:rPr>
                <w:rFonts w:ascii="宋体"/>
              </w:rPr>
            </w:pPr>
          </w:p>
        </w:tc>
        <w:tc>
          <w:tcPr>
            <w:tcW w:w="0" w:type="auto"/>
            <w:shd w:val="clear" w:color="auto" w:fill="auto"/>
            <w:vAlign w:val="center"/>
          </w:tcPr>
          <w:p w14:paraId="64A8A8D4" w14:textId="77777777" w:rsidR="008D6614" w:rsidRDefault="008D6614">
            <w:pPr>
              <w:rPr>
                <w:rFonts w:ascii="宋体"/>
              </w:rPr>
            </w:pPr>
          </w:p>
        </w:tc>
        <w:tc>
          <w:tcPr>
            <w:tcW w:w="0" w:type="auto"/>
            <w:shd w:val="clear" w:color="auto" w:fill="auto"/>
            <w:vAlign w:val="center"/>
          </w:tcPr>
          <w:p w14:paraId="64A8A8D5" w14:textId="77777777" w:rsidR="008D6614" w:rsidRDefault="008D6614">
            <w:pPr>
              <w:rPr>
                <w:rFonts w:ascii="宋体"/>
              </w:rPr>
            </w:pPr>
          </w:p>
        </w:tc>
        <w:tc>
          <w:tcPr>
            <w:tcW w:w="0" w:type="auto"/>
            <w:shd w:val="clear" w:color="auto" w:fill="auto"/>
            <w:vAlign w:val="center"/>
          </w:tcPr>
          <w:p w14:paraId="64A8A8D6" w14:textId="77777777" w:rsidR="008D6614" w:rsidRDefault="008D6614">
            <w:pPr>
              <w:rPr>
                <w:rFonts w:ascii="宋体"/>
              </w:rPr>
            </w:pPr>
          </w:p>
        </w:tc>
      </w:tr>
      <w:tr w:rsidR="008D6614" w14:paraId="64A8A8E9" w14:textId="77777777">
        <w:trPr>
          <w:jc w:val="center"/>
          <w:hidden/>
        </w:trPr>
        <w:tc>
          <w:tcPr>
            <w:tcW w:w="0" w:type="auto"/>
            <w:gridSpan w:val="3"/>
            <w:shd w:val="clear" w:color="auto" w:fill="auto"/>
            <w:vAlign w:val="center"/>
          </w:tcPr>
          <w:p w14:paraId="64A8A8D8" w14:textId="77777777" w:rsidR="008D6614" w:rsidRDefault="008D6614">
            <w:pPr>
              <w:rPr>
                <w:rFonts w:ascii="宋体"/>
                <w:vanish/>
              </w:rPr>
            </w:pPr>
          </w:p>
        </w:tc>
        <w:tc>
          <w:tcPr>
            <w:tcW w:w="0" w:type="auto"/>
            <w:gridSpan w:val="3"/>
            <w:shd w:val="clear" w:color="auto" w:fill="auto"/>
            <w:vAlign w:val="center"/>
          </w:tcPr>
          <w:p w14:paraId="64A8A8D9" w14:textId="77777777" w:rsidR="008D6614" w:rsidRDefault="008D6614">
            <w:pPr>
              <w:rPr>
                <w:rFonts w:ascii="宋体"/>
                <w:vanish/>
              </w:rPr>
            </w:pPr>
          </w:p>
        </w:tc>
        <w:tc>
          <w:tcPr>
            <w:tcW w:w="0" w:type="auto"/>
            <w:gridSpan w:val="3"/>
            <w:shd w:val="clear" w:color="auto" w:fill="auto"/>
            <w:vAlign w:val="center"/>
          </w:tcPr>
          <w:p w14:paraId="64A8A8DA" w14:textId="77777777" w:rsidR="008D6614" w:rsidRDefault="008D6614">
            <w:pPr>
              <w:rPr>
                <w:rFonts w:ascii="宋体"/>
                <w:vanish/>
              </w:rPr>
            </w:pPr>
          </w:p>
        </w:tc>
        <w:tc>
          <w:tcPr>
            <w:tcW w:w="0" w:type="auto"/>
            <w:gridSpan w:val="3"/>
            <w:shd w:val="clear" w:color="auto" w:fill="auto"/>
            <w:vAlign w:val="center"/>
          </w:tcPr>
          <w:p w14:paraId="64A8A8DB" w14:textId="77777777" w:rsidR="008D6614" w:rsidRDefault="008D6614">
            <w:pPr>
              <w:rPr>
                <w:rFonts w:ascii="宋体"/>
                <w:vanish/>
              </w:rPr>
            </w:pPr>
          </w:p>
        </w:tc>
        <w:tc>
          <w:tcPr>
            <w:tcW w:w="0" w:type="auto"/>
            <w:gridSpan w:val="3"/>
            <w:shd w:val="clear" w:color="auto" w:fill="auto"/>
            <w:vAlign w:val="center"/>
          </w:tcPr>
          <w:p w14:paraId="64A8A8DC" w14:textId="77777777" w:rsidR="008D6614" w:rsidRDefault="008D6614">
            <w:pPr>
              <w:rPr>
                <w:rFonts w:ascii="宋体"/>
                <w:vanish/>
              </w:rPr>
            </w:pPr>
          </w:p>
        </w:tc>
        <w:tc>
          <w:tcPr>
            <w:tcW w:w="0" w:type="auto"/>
            <w:gridSpan w:val="3"/>
            <w:shd w:val="clear" w:color="auto" w:fill="auto"/>
            <w:vAlign w:val="center"/>
          </w:tcPr>
          <w:p w14:paraId="64A8A8DD" w14:textId="77777777" w:rsidR="008D6614" w:rsidRDefault="008D6614">
            <w:pPr>
              <w:rPr>
                <w:rFonts w:ascii="宋体"/>
                <w:vanish/>
              </w:rPr>
            </w:pPr>
          </w:p>
        </w:tc>
        <w:tc>
          <w:tcPr>
            <w:tcW w:w="0" w:type="auto"/>
            <w:gridSpan w:val="3"/>
            <w:shd w:val="clear" w:color="auto" w:fill="auto"/>
            <w:vAlign w:val="center"/>
          </w:tcPr>
          <w:p w14:paraId="64A8A8DE" w14:textId="77777777" w:rsidR="008D6614" w:rsidRDefault="008D6614">
            <w:pPr>
              <w:rPr>
                <w:rFonts w:ascii="宋体"/>
                <w:vanish/>
              </w:rPr>
            </w:pPr>
          </w:p>
        </w:tc>
        <w:tc>
          <w:tcPr>
            <w:tcW w:w="0" w:type="auto"/>
            <w:shd w:val="clear" w:color="auto" w:fill="auto"/>
            <w:vAlign w:val="center"/>
          </w:tcPr>
          <w:p w14:paraId="64A8A8DF" w14:textId="77777777" w:rsidR="008D6614" w:rsidRDefault="008D6614">
            <w:pPr>
              <w:rPr>
                <w:rFonts w:ascii="宋体"/>
                <w:vanish/>
              </w:rPr>
            </w:pPr>
          </w:p>
        </w:tc>
        <w:tc>
          <w:tcPr>
            <w:tcW w:w="0" w:type="auto"/>
            <w:shd w:val="clear" w:color="auto" w:fill="auto"/>
            <w:vAlign w:val="center"/>
          </w:tcPr>
          <w:p w14:paraId="64A8A8E0" w14:textId="77777777" w:rsidR="008D6614" w:rsidRDefault="008D6614">
            <w:pPr>
              <w:rPr>
                <w:rFonts w:ascii="宋体"/>
                <w:vanish/>
              </w:rPr>
            </w:pPr>
          </w:p>
        </w:tc>
        <w:tc>
          <w:tcPr>
            <w:tcW w:w="0" w:type="auto"/>
            <w:shd w:val="clear" w:color="auto" w:fill="auto"/>
            <w:vAlign w:val="center"/>
          </w:tcPr>
          <w:p w14:paraId="64A8A8E1" w14:textId="77777777" w:rsidR="008D6614" w:rsidRDefault="008D6614">
            <w:pPr>
              <w:rPr>
                <w:rFonts w:ascii="宋体"/>
                <w:vanish/>
              </w:rPr>
            </w:pPr>
          </w:p>
        </w:tc>
        <w:tc>
          <w:tcPr>
            <w:tcW w:w="0" w:type="auto"/>
            <w:shd w:val="clear" w:color="auto" w:fill="auto"/>
            <w:vAlign w:val="center"/>
          </w:tcPr>
          <w:p w14:paraId="64A8A8E2" w14:textId="77777777" w:rsidR="008D6614" w:rsidRDefault="008D6614">
            <w:pPr>
              <w:rPr>
                <w:rFonts w:ascii="宋体"/>
                <w:vanish/>
              </w:rPr>
            </w:pPr>
          </w:p>
        </w:tc>
        <w:tc>
          <w:tcPr>
            <w:tcW w:w="0" w:type="auto"/>
            <w:shd w:val="clear" w:color="auto" w:fill="auto"/>
            <w:vAlign w:val="center"/>
          </w:tcPr>
          <w:p w14:paraId="64A8A8E3" w14:textId="77777777" w:rsidR="008D6614" w:rsidRDefault="008D6614">
            <w:pPr>
              <w:rPr>
                <w:rFonts w:ascii="宋体"/>
              </w:rPr>
            </w:pPr>
          </w:p>
        </w:tc>
        <w:tc>
          <w:tcPr>
            <w:tcW w:w="0" w:type="auto"/>
            <w:shd w:val="clear" w:color="auto" w:fill="auto"/>
            <w:vAlign w:val="center"/>
          </w:tcPr>
          <w:p w14:paraId="64A8A8E4" w14:textId="77777777" w:rsidR="008D6614" w:rsidRDefault="008D6614">
            <w:pPr>
              <w:rPr>
                <w:rFonts w:ascii="宋体"/>
              </w:rPr>
            </w:pPr>
          </w:p>
        </w:tc>
        <w:tc>
          <w:tcPr>
            <w:tcW w:w="0" w:type="auto"/>
            <w:shd w:val="clear" w:color="auto" w:fill="auto"/>
            <w:vAlign w:val="center"/>
          </w:tcPr>
          <w:p w14:paraId="64A8A8E5" w14:textId="77777777" w:rsidR="008D6614" w:rsidRDefault="008D6614">
            <w:pPr>
              <w:rPr>
                <w:rFonts w:ascii="宋体"/>
              </w:rPr>
            </w:pPr>
          </w:p>
        </w:tc>
        <w:tc>
          <w:tcPr>
            <w:tcW w:w="0" w:type="auto"/>
            <w:shd w:val="clear" w:color="auto" w:fill="auto"/>
            <w:vAlign w:val="center"/>
          </w:tcPr>
          <w:p w14:paraId="64A8A8E6" w14:textId="77777777" w:rsidR="008D6614" w:rsidRDefault="008D6614">
            <w:pPr>
              <w:rPr>
                <w:rFonts w:ascii="宋体"/>
              </w:rPr>
            </w:pPr>
          </w:p>
        </w:tc>
        <w:tc>
          <w:tcPr>
            <w:tcW w:w="0" w:type="auto"/>
            <w:shd w:val="clear" w:color="auto" w:fill="auto"/>
            <w:vAlign w:val="center"/>
          </w:tcPr>
          <w:p w14:paraId="64A8A8E7" w14:textId="77777777" w:rsidR="008D6614" w:rsidRDefault="008D6614">
            <w:pPr>
              <w:rPr>
                <w:rFonts w:ascii="宋体"/>
              </w:rPr>
            </w:pPr>
          </w:p>
        </w:tc>
        <w:tc>
          <w:tcPr>
            <w:tcW w:w="0" w:type="auto"/>
            <w:shd w:val="clear" w:color="auto" w:fill="auto"/>
            <w:vAlign w:val="center"/>
          </w:tcPr>
          <w:p w14:paraId="64A8A8E8" w14:textId="77777777" w:rsidR="008D6614" w:rsidRDefault="008D6614">
            <w:pPr>
              <w:rPr>
                <w:rFonts w:ascii="宋体"/>
              </w:rPr>
            </w:pPr>
          </w:p>
        </w:tc>
      </w:tr>
      <w:tr w:rsidR="008D6614" w14:paraId="64A8A8FF" w14:textId="77777777">
        <w:trPr>
          <w:jc w:val="center"/>
        </w:trPr>
        <w:tc>
          <w:tcPr>
            <w:tcW w:w="0" w:type="auto"/>
            <w:gridSpan w:val="3"/>
            <w:shd w:val="clear" w:color="auto" w:fill="FFFFFF"/>
            <w:tcMar>
              <w:top w:w="40" w:type="dxa"/>
              <w:left w:w="20" w:type="dxa"/>
              <w:bottom w:w="40" w:type="dxa"/>
              <w:right w:w="20" w:type="dxa"/>
            </w:tcMar>
            <w:vAlign w:val="bottom"/>
          </w:tcPr>
          <w:p w14:paraId="64A8A8EA" w14:textId="77777777" w:rsidR="008D6614" w:rsidRDefault="00866AF2">
            <w:pPr>
              <w:textAlignment w:val="bottom"/>
            </w:pPr>
            <w:r>
              <w:rPr>
                <w:rFonts w:ascii="Arial" w:eastAsia="宋体" w:hAnsi="Arial" w:cs="Arial"/>
                <w:color w:val="000000"/>
                <w:sz w:val="16"/>
                <w:szCs w:val="16"/>
              </w:rPr>
              <w:t>Total reclassifications for the period</w:t>
            </w:r>
          </w:p>
        </w:tc>
        <w:tc>
          <w:tcPr>
            <w:tcW w:w="0" w:type="auto"/>
            <w:gridSpan w:val="3"/>
            <w:shd w:val="clear" w:color="auto" w:fill="FFFFFF"/>
            <w:tcMar>
              <w:left w:w="20" w:type="dxa"/>
              <w:right w:w="20" w:type="dxa"/>
            </w:tcMar>
            <w:vAlign w:val="bottom"/>
          </w:tcPr>
          <w:p w14:paraId="64A8A8EB" w14:textId="77777777" w:rsidR="008D6614" w:rsidRDefault="008D6614">
            <w:pPr>
              <w:rPr>
                <w:rFonts w:ascii="宋体"/>
              </w:rPr>
            </w:pPr>
          </w:p>
        </w:tc>
        <w:tc>
          <w:tcPr>
            <w:tcW w:w="0" w:type="auto"/>
            <w:gridSpan w:val="3"/>
            <w:shd w:val="clear" w:color="auto" w:fill="FFFFFF"/>
            <w:tcMar>
              <w:top w:w="40" w:type="dxa"/>
              <w:left w:w="20" w:type="dxa"/>
              <w:bottom w:w="40" w:type="dxa"/>
              <w:right w:w="20" w:type="dxa"/>
            </w:tcMar>
            <w:vAlign w:val="bottom"/>
          </w:tcPr>
          <w:p w14:paraId="64A8A8EC" w14:textId="77777777" w:rsidR="008D6614" w:rsidRDefault="00866AF2">
            <w:pPr>
              <w:textAlignment w:val="bottom"/>
            </w:pPr>
            <w:r>
              <w:rPr>
                <w:rFonts w:ascii="Arial" w:eastAsia="宋体" w:hAnsi="Arial" w:cs="Arial"/>
                <w:color w:val="000000"/>
                <w:sz w:val="16"/>
                <w:szCs w:val="16"/>
              </w:rPr>
              <w:t>Total, net of income taxes</w:t>
            </w:r>
          </w:p>
        </w:tc>
        <w:tc>
          <w:tcPr>
            <w:tcW w:w="0" w:type="auto"/>
            <w:gridSpan w:val="3"/>
            <w:shd w:val="clear" w:color="auto" w:fill="FFFFFF"/>
            <w:tcMar>
              <w:left w:w="20" w:type="dxa"/>
              <w:right w:w="20" w:type="dxa"/>
            </w:tcMar>
            <w:vAlign w:val="bottom"/>
          </w:tcPr>
          <w:p w14:paraId="64A8A8ED"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A8EE"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A8EF" w14:textId="77777777" w:rsidR="008D6614" w:rsidRDefault="00866AF2">
            <w:pPr>
              <w:jc w:val="right"/>
              <w:textAlignment w:val="bottom"/>
            </w:pP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A8F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8F1"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A8F2"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A8F3" w14:textId="77777777" w:rsidR="008D6614" w:rsidRDefault="00866AF2">
            <w:pPr>
              <w:jc w:val="right"/>
              <w:textAlignment w:val="bottom"/>
            </w:pPr>
            <w:r>
              <w:rPr>
                <w:rFonts w:ascii="Arial" w:eastAsia="宋体" w:hAnsi="Arial" w:cs="Arial"/>
                <w:color w:val="000000"/>
                <w:sz w:val="16"/>
                <w:szCs w:val="16"/>
              </w:rPr>
              <w:t>16 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A8F4"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auto"/>
            <w:vAlign w:val="center"/>
          </w:tcPr>
          <w:p w14:paraId="64A8A8F5" w14:textId="77777777" w:rsidR="008D6614" w:rsidRDefault="008D6614">
            <w:pPr>
              <w:rPr>
                <w:rFonts w:ascii="宋体"/>
                <w:vanish/>
              </w:rPr>
            </w:pPr>
          </w:p>
        </w:tc>
        <w:tc>
          <w:tcPr>
            <w:tcW w:w="0" w:type="auto"/>
            <w:shd w:val="clear" w:color="auto" w:fill="auto"/>
            <w:vAlign w:val="center"/>
          </w:tcPr>
          <w:p w14:paraId="64A8A8F6" w14:textId="77777777" w:rsidR="008D6614" w:rsidRDefault="008D6614">
            <w:pPr>
              <w:rPr>
                <w:rFonts w:ascii="宋体"/>
                <w:vanish/>
              </w:rPr>
            </w:pPr>
          </w:p>
        </w:tc>
        <w:tc>
          <w:tcPr>
            <w:tcW w:w="0" w:type="auto"/>
            <w:shd w:val="clear" w:color="auto" w:fill="auto"/>
            <w:vAlign w:val="center"/>
          </w:tcPr>
          <w:p w14:paraId="64A8A8F7" w14:textId="77777777" w:rsidR="008D6614" w:rsidRDefault="008D6614">
            <w:pPr>
              <w:rPr>
                <w:rFonts w:ascii="宋体"/>
                <w:vanish/>
              </w:rPr>
            </w:pPr>
          </w:p>
        </w:tc>
        <w:tc>
          <w:tcPr>
            <w:tcW w:w="0" w:type="auto"/>
            <w:shd w:val="clear" w:color="auto" w:fill="auto"/>
            <w:vAlign w:val="center"/>
          </w:tcPr>
          <w:p w14:paraId="64A8A8F8" w14:textId="77777777" w:rsidR="008D6614" w:rsidRDefault="008D6614">
            <w:pPr>
              <w:rPr>
                <w:rFonts w:ascii="宋体"/>
                <w:vanish/>
              </w:rPr>
            </w:pPr>
          </w:p>
        </w:tc>
        <w:tc>
          <w:tcPr>
            <w:tcW w:w="0" w:type="auto"/>
            <w:shd w:val="clear" w:color="auto" w:fill="auto"/>
            <w:vAlign w:val="center"/>
          </w:tcPr>
          <w:p w14:paraId="64A8A8F9" w14:textId="77777777" w:rsidR="008D6614" w:rsidRDefault="008D6614">
            <w:pPr>
              <w:rPr>
                <w:rFonts w:ascii="宋体"/>
              </w:rPr>
            </w:pPr>
          </w:p>
        </w:tc>
        <w:tc>
          <w:tcPr>
            <w:tcW w:w="0" w:type="auto"/>
            <w:shd w:val="clear" w:color="auto" w:fill="auto"/>
            <w:vAlign w:val="center"/>
          </w:tcPr>
          <w:p w14:paraId="64A8A8FA" w14:textId="77777777" w:rsidR="008D6614" w:rsidRDefault="008D6614">
            <w:pPr>
              <w:rPr>
                <w:rFonts w:ascii="宋体"/>
              </w:rPr>
            </w:pPr>
          </w:p>
        </w:tc>
        <w:tc>
          <w:tcPr>
            <w:tcW w:w="0" w:type="auto"/>
            <w:shd w:val="clear" w:color="auto" w:fill="auto"/>
            <w:vAlign w:val="center"/>
          </w:tcPr>
          <w:p w14:paraId="64A8A8FB" w14:textId="77777777" w:rsidR="008D6614" w:rsidRDefault="008D6614">
            <w:pPr>
              <w:rPr>
                <w:rFonts w:ascii="宋体"/>
              </w:rPr>
            </w:pPr>
          </w:p>
        </w:tc>
        <w:tc>
          <w:tcPr>
            <w:tcW w:w="0" w:type="auto"/>
            <w:shd w:val="clear" w:color="auto" w:fill="auto"/>
            <w:vAlign w:val="center"/>
          </w:tcPr>
          <w:p w14:paraId="64A8A8FC" w14:textId="77777777" w:rsidR="008D6614" w:rsidRDefault="008D6614">
            <w:pPr>
              <w:rPr>
                <w:rFonts w:ascii="宋体"/>
              </w:rPr>
            </w:pPr>
          </w:p>
        </w:tc>
        <w:tc>
          <w:tcPr>
            <w:tcW w:w="0" w:type="auto"/>
            <w:shd w:val="clear" w:color="auto" w:fill="auto"/>
            <w:vAlign w:val="center"/>
          </w:tcPr>
          <w:p w14:paraId="64A8A8FD" w14:textId="77777777" w:rsidR="008D6614" w:rsidRDefault="008D6614">
            <w:pPr>
              <w:rPr>
                <w:rFonts w:ascii="宋体"/>
              </w:rPr>
            </w:pPr>
          </w:p>
        </w:tc>
        <w:tc>
          <w:tcPr>
            <w:tcW w:w="0" w:type="auto"/>
            <w:shd w:val="clear" w:color="auto" w:fill="auto"/>
            <w:vAlign w:val="center"/>
          </w:tcPr>
          <w:p w14:paraId="64A8A8FE" w14:textId="77777777" w:rsidR="008D6614" w:rsidRDefault="008D6614">
            <w:pPr>
              <w:rPr>
                <w:rFonts w:ascii="宋体"/>
              </w:rPr>
            </w:pPr>
          </w:p>
        </w:tc>
      </w:tr>
    </w:tbl>
    <w:p w14:paraId="64A8A900" w14:textId="77777777" w:rsidR="008D6614" w:rsidRDefault="008D6614"/>
    <w:p w14:paraId="64A8A901" w14:textId="77777777" w:rsidR="008D6614" w:rsidRDefault="00866AF2">
      <w:pPr>
        <w:jc w:val="both"/>
      </w:pPr>
      <w:r>
        <w:rPr>
          <w:rFonts w:ascii="Arial" w:eastAsia="宋体" w:hAnsi="Arial" w:cs="Arial"/>
          <w:b/>
          <w:bCs/>
          <w:color w:val="000000"/>
          <w:sz w:val="20"/>
          <w:szCs w:val="20"/>
        </w:rPr>
        <w:t>Note 17 — Restructuring</w:t>
      </w:r>
    </w:p>
    <w:p w14:paraId="64A8A902" w14:textId="77777777" w:rsidR="008D6614" w:rsidRDefault="008D6614">
      <w:pPr>
        <w:ind w:firstLine="540"/>
        <w:jc w:val="both"/>
      </w:pPr>
    </w:p>
    <w:p w14:paraId="64A8A903" w14:textId="77777777" w:rsidR="008D6614" w:rsidRDefault="00866AF2">
      <w:pPr>
        <w:ind w:firstLine="540"/>
        <w:jc w:val="both"/>
      </w:pPr>
      <w:r>
        <w:rPr>
          <w:rFonts w:ascii="Arial" w:eastAsia="宋体" w:hAnsi="Arial" w:cs="Arial"/>
          <w:color w:val="000000"/>
          <w:sz w:val="20"/>
          <w:szCs w:val="20"/>
        </w:rPr>
        <w:t>The following table summarizes restructuring reserve activity during the three months ended March 31, 2020 (in millions):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7095"/>
        <w:gridCol w:w="69"/>
        <w:gridCol w:w="137"/>
        <w:gridCol w:w="880"/>
        <w:gridCol w:w="86"/>
      </w:tblGrid>
      <w:tr w:rsidR="008D6614" w14:paraId="64A8A90A" w14:textId="77777777">
        <w:tc>
          <w:tcPr>
            <w:tcW w:w="50" w:type="pct"/>
            <w:shd w:val="clear" w:color="auto" w:fill="auto"/>
            <w:vAlign w:val="center"/>
          </w:tcPr>
          <w:p w14:paraId="64A8A904" w14:textId="77777777" w:rsidR="008D6614" w:rsidRDefault="008D6614">
            <w:pPr>
              <w:rPr>
                <w:rFonts w:ascii="宋体"/>
              </w:rPr>
            </w:pPr>
          </w:p>
        </w:tc>
        <w:tc>
          <w:tcPr>
            <w:tcW w:w="4264" w:type="pct"/>
            <w:shd w:val="clear" w:color="auto" w:fill="auto"/>
            <w:vAlign w:val="center"/>
          </w:tcPr>
          <w:p w14:paraId="64A8A905" w14:textId="77777777" w:rsidR="008D6614" w:rsidRDefault="008D6614">
            <w:pPr>
              <w:rPr>
                <w:rFonts w:ascii="宋体"/>
              </w:rPr>
            </w:pPr>
          </w:p>
        </w:tc>
        <w:tc>
          <w:tcPr>
            <w:tcW w:w="50" w:type="pct"/>
            <w:shd w:val="clear" w:color="auto" w:fill="auto"/>
            <w:vAlign w:val="center"/>
          </w:tcPr>
          <w:p w14:paraId="64A8A906" w14:textId="77777777" w:rsidR="008D6614" w:rsidRDefault="008D6614">
            <w:pPr>
              <w:rPr>
                <w:rFonts w:ascii="宋体"/>
              </w:rPr>
            </w:pPr>
          </w:p>
        </w:tc>
        <w:tc>
          <w:tcPr>
            <w:tcW w:w="50" w:type="pct"/>
            <w:shd w:val="clear" w:color="auto" w:fill="auto"/>
            <w:vAlign w:val="center"/>
          </w:tcPr>
          <w:p w14:paraId="64A8A907" w14:textId="77777777" w:rsidR="008D6614" w:rsidRDefault="008D6614">
            <w:pPr>
              <w:rPr>
                <w:rFonts w:ascii="宋体"/>
              </w:rPr>
            </w:pPr>
          </w:p>
        </w:tc>
        <w:tc>
          <w:tcPr>
            <w:tcW w:w="536" w:type="pct"/>
            <w:shd w:val="clear" w:color="auto" w:fill="auto"/>
            <w:vAlign w:val="center"/>
          </w:tcPr>
          <w:p w14:paraId="64A8A908" w14:textId="77777777" w:rsidR="008D6614" w:rsidRDefault="008D6614">
            <w:pPr>
              <w:rPr>
                <w:rFonts w:ascii="宋体"/>
              </w:rPr>
            </w:pPr>
          </w:p>
        </w:tc>
        <w:tc>
          <w:tcPr>
            <w:tcW w:w="50" w:type="pct"/>
            <w:shd w:val="clear" w:color="auto" w:fill="auto"/>
            <w:vAlign w:val="center"/>
          </w:tcPr>
          <w:p w14:paraId="64A8A909" w14:textId="77777777" w:rsidR="008D6614" w:rsidRDefault="008D6614">
            <w:pPr>
              <w:rPr>
                <w:rFonts w:ascii="宋体"/>
              </w:rPr>
            </w:pPr>
          </w:p>
        </w:tc>
      </w:tr>
      <w:tr w:rsidR="008D6614" w14:paraId="64A8A90D" w14:textId="77777777">
        <w:tc>
          <w:tcPr>
            <w:tcW w:w="0" w:type="auto"/>
            <w:gridSpan w:val="3"/>
            <w:shd w:val="clear" w:color="auto" w:fill="auto"/>
            <w:tcMar>
              <w:top w:w="40" w:type="dxa"/>
              <w:left w:w="20" w:type="dxa"/>
              <w:bottom w:w="40" w:type="dxa"/>
              <w:right w:w="20" w:type="dxa"/>
            </w:tcMar>
            <w:vAlign w:val="bottom"/>
          </w:tcPr>
          <w:p w14:paraId="64A8A90B" w14:textId="77777777" w:rsidR="008D6614" w:rsidRDefault="00866AF2">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A8A90C" w14:textId="77777777" w:rsidR="008D6614" w:rsidRDefault="00866AF2">
            <w:pPr>
              <w:jc w:val="center"/>
              <w:textAlignment w:val="bottom"/>
            </w:pPr>
            <w:r>
              <w:rPr>
                <w:rFonts w:ascii="Arial" w:eastAsia="宋体" w:hAnsi="Arial" w:cs="Arial"/>
                <w:b/>
                <w:bCs/>
                <w:color w:val="000000"/>
                <w:sz w:val="16"/>
                <w:szCs w:val="16"/>
              </w:rPr>
              <w:t>Employee Severance and Benefits</w:t>
            </w:r>
          </w:p>
        </w:tc>
      </w:tr>
      <w:tr w:rsidR="008D6614" w14:paraId="64A8A912" w14:textId="77777777">
        <w:tc>
          <w:tcPr>
            <w:tcW w:w="0" w:type="auto"/>
            <w:gridSpan w:val="3"/>
            <w:shd w:val="clear" w:color="auto" w:fill="E2E2E2"/>
            <w:tcMar>
              <w:top w:w="40" w:type="dxa"/>
              <w:left w:w="20" w:type="dxa"/>
              <w:bottom w:w="40" w:type="dxa"/>
              <w:right w:w="20" w:type="dxa"/>
            </w:tcMar>
            <w:vAlign w:val="bottom"/>
          </w:tcPr>
          <w:p w14:paraId="64A8A90E" w14:textId="77777777" w:rsidR="008D6614" w:rsidRDefault="00866AF2">
            <w:pPr>
              <w:textAlignment w:val="bottom"/>
            </w:pPr>
            <w:r>
              <w:rPr>
                <w:rFonts w:ascii="Arial" w:eastAsia="宋体" w:hAnsi="Arial" w:cs="Arial"/>
                <w:color w:val="000000"/>
                <w:sz w:val="18"/>
                <w:szCs w:val="18"/>
              </w:rPr>
              <w:t xml:space="preserve">Accrued </w:t>
            </w:r>
            <w:r>
              <w:rPr>
                <w:rFonts w:ascii="Arial" w:eastAsia="宋体" w:hAnsi="Arial" w:cs="Arial"/>
                <w:color w:val="000000"/>
                <w:sz w:val="18"/>
                <w:szCs w:val="18"/>
              </w:rPr>
              <w:t>liability as of January 1, 2020</w:t>
            </w:r>
          </w:p>
        </w:tc>
        <w:tc>
          <w:tcPr>
            <w:tcW w:w="0" w:type="auto"/>
            <w:tcBorders>
              <w:top w:val="single" w:sz="8" w:space="0" w:color="000000"/>
            </w:tcBorders>
            <w:shd w:val="clear" w:color="auto" w:fill="E2E2E2"/>
            <w:tcMar>
              <w:top w:w="40" w:type="dxa"/>
              <w:left w:w="20" w:type="dxa"/>
              <w:bottom w:w="40" w:type="dxa"/>
            </w:tcMar>
            <w:vAlign w:val="bottom"/>
          </w:tcPr>
          <w:p w14:paraId="64A8A90F"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bottom w:w="40" w:type="dxa"/>
              <w:right w:w="0" w:type="dxa"/>
            </w:tcMar>
            <w:vAlign w:val="bottom"/>
          </w:tcPr>
          <w:p w14:paraId="64A8A910" w14:textId="77777777" w:rsidR="008D6614" w:rsidRDefault="00866AF2">
            <w:pPr>
              <w:jc w:val="right"/>
              <w:textAlignment w:val="bottom"/>
            </w:pPr>
            <w:r>
              <w:rPr>
                <w:rFonts w:ascii="Arial" w:eastAsia="宋体" w:hAnsi="Arial" w:cs="Arial"/>
                <w:color w:val="000000"/>
                <w:sz w:val="18"/>
                <w:szCs w:val="18"/>
              </w:rPr>
              <w:t>28 </w:t>
            </w:r>
          </w:p>
        </w:tc>
        <w:tc>
          <w:tcPr>
            <w:tcW w:w="0" w:type="auto"/>
            <w:tcBorders>
              <w:top w:val="single" w:sz="8" w:space="0" w:color="000000"/>
            </w:tcBorders>
            <w:shd w:val="clear" w:color="auto" w:fill="E2E2E2"/>
            <w:tcMar>
              <w:top w:w="40" w:type="dxa"/>
              <w:bottom w:w="40" w:type="dxa"/>
              <w:right w:w="20" w:type="dxa"/>
            </w:tcMar>
            <w:vAlign w:val="bottom"/>
          </w:tcPr>
          <w:p w14:paraId="64A8A911" w14:textId="77777777" w:rsidR="008D6614" w:rsidRDefault="00866AF2">
            <w:pPr>
              <w:jc w:val="right"/>
              <w:textAlignment w:val="bottom"/>
            </w:pPr>
            <w:r>
              <w:rPr>
                <w:rFonts w:ascii="Arial" w:eastAsia="宋体" w:hAnsi="Arial" w:cs="Arial"/>
                <w:color w:val="000000"/>
                <w:sz w:val="18"/>
                <w:szCs w:val="18"/>
              </w:rPr>
              <w:t> </w:t>
            </w:r>
          </w:p>
        </w:tc>
      </w:tr>
      <w:tr w:rsidR="008D6614" w14:paraId="64A8A916" w14:textId="77777777">
        <w:tc>
          <w:tcPr>
            <w:tcW w:w="0" w:type="auto"/>
            <w:gridSpan w:val="3"/>
            <w:shd w:val="clear" w:color="auto" w:fill="FFFFFF"/>
            <w:tcMar>
              <w:top w:w="40" w:type="dxa"/>
              <w:left w:w="135" w:type="dxa"/>
              <w:bottom w:w="40" w:type="dxa"/>
              <w:right w:w="20" w:type="dxa"/>
            </w:tcMar>
            <w:vAlign w:val="bottom"/>
          </w:tcPr>
          <w:p w14:paraId="64A8A913" w14:textId="77777777" w:rsidR="008D6614" w:rsidRDefault="00866AF2">
            <w:pPr>
              <w:textAlignment w:val="bottom"/>
            </w:pPr>
            <w:r>
              <w:rPr>
                <w:rFonts w:ascii="Arial" w:eastAsia="宋体" w:hAnsi="Arial" w:cs="Arial"/>
                <w:color w:val="000000"/>
                <w:sz w:val="18"/>
                <w:szCs w:val="18"/>
              </w:rPr>
              <w:t>Charges</w:t>
            </w:r>
          </w:p>
        </w:tc>
        <w:tc>
          <w:tcPr>
            <w:tcW w:w="0" w:type="auto"/>
            <w:gridSpan w:val="2"/>
            <w:shd w:val="clear" w:color="auto" w:fill="FFFFFF"/>
            <w:tcMar>
              <w:top w:w="40" w:type="dxa"/>
              <w:left w:w="20" w:type="dxa"/>
              <w:bottom w:w="40" w:type="dxa"/>
              <w:right w:w="0" w:type="dxa"/>
            </w:tcMar>
            <w:vAlign w:val="bottom"/>
          </w:tcPr>
          <w:p w14:paraId="64A8A914" w14:textId="77777777" w:rsidR="008D6614" w:rsidRDefault="00866AF2">
            <w:pPr>
              <w:jc w:val="right"/>
              <w:textAlignment w:val="bottom"/>
            </w:pPr>
            <w:r>
              <w:rPr>
                <w:rFonts w:ascii="Arial" w:eastAsia="宋体" w:hAnsi="Arial" w:cs="Arial"/>
                <w:color w:val="000000"/>
                <w:sz w:val="18"/>
                <w:szCs w:val="18"/>
              </w:rPr>
              <w:t>8 </w:t>
            </w:r>
          </w:p>
        </w:tc>
        <w:tc>
          <w:tcPr>
            <w:tcW w:w="0" w:type="auto"/>
            <w:shd w:val="clear" w:color="auto" w:fill="FFFFFF"/>
            <w:tcMar>
              <w:top w:w="40" w:type="dxa"/>
              <w:bottom w:w="40" w:type="dxa"/>
              <w:right w:w="20" w:type="dxa"/>
            </w:tcMar>
            <w:vAlign w:val="bottom"/>
          </w:tcPr>
          <w:p w14:paraId="64A8A915" w14:textId="77777777" w:rsidR="008D6614" w:rsidRDefault="00866AF2">
            <w:pPr>
              <w:jc w:val="right"/>
              <w:textAlignment w:val="bottom"/>
            </w:pPr>
            <w:r>
              <w:rPr>
                <w:rFonts w:ascii="Arial" w:eastAsia="宋体" w:hAnsi="Arial" w:cs="Arial"/>
                <w:color w:val="000000"/>
                <w:sz w:val="18"/>
                <w:szCs w:val="18"/>
              </w:rPr>
              <w:t> </w:t>
            </w:r>
          </w:p>
        </w:tc>
      </w:tr>
      <w:tr w:rsidR="008D6614" w14:paraId="64A8A91A" w14:textId="77777777">
        <w:tc>
          <w:tcPr>
            <w:tcW w:w="0" w:type="auto"/>
            <w:gridSpan w:val="3"/>
            <w:shd w:val="clear" w:color="auto" w:fill="E2E2E2"/>
            <w:tcMar>
              <w:top w:w="40" w:type="dxa"/>
              <w:left w:w="135" w:type="dxa"/>
              <w:bottom w:w="40" w:type="dxa"/>
              <w:right w:w="20" w:type="dxa"/>
            </w:tcMar>
            <w:vAlign w:val="bottom"/>
          </w:tcPr>
          <w:p w14:paraId="64A8A917" w14:textId="77777777" w:rsidR="008D6614" w:rsidRDefault="00866AF2">
            <w:pPr>
              <w:textAlignment w:val="bottom"/>
            </w:pPr>
            <w:r>
              <w:rPr>
                <w:rFonts w:ascii="Arial" w:eastAsia="宋体" w:hAnsi="Arial" w:cs="Arial"/>
                <w:color w:val="000000"/>
                <w:sz w:val="18"/>
                <w:szCs w:val="18"/>
              </w:rPr>
              <w:t>Payments</w:t>
            </w:r>
          </w:p>
        </w:tc>
        <w:tc>
          <w:tcPr>
            <w:tcW w:w="0" w:type="auto"/>
            <w:gridSpan w:val="2"/>
            <w:shd w:val="clear" w:color="auto" w:fill="E2E2E2"/>
            <w:tcMar>
              <w:top w:w="40" w:type="dxa"/>
              <w:left w:w="20" w:type="dxa"/>
              <w:bottom w:w="40" w:type="dxa"/>
              <w:right w:w="0" w:type="dxa"/>
            </w:tcMar>
            <w:vAlign w:val="bottom"/>
          </w:tcPr>
          <w:p w14:paraId="64A8A918" w14:textId="77777777" w:rsidR="008D6614" w:rsidRDefault="00866AF2">
            <w:pPr>
              <w:jc w:val="right"/>
              <w:textAlignment w:val="bottom"/>
            </w:pPr>
            <w:r>
              <w:rPr>
                <w:rFonts w:ascii="Arial" w:eastAsia="宋体" w:hAnsi="Arial" w:cs="Arial"/>
                <w:color w:val="000000"/>
                <w:sz w:val="18"/>
                <w:szCs w:val="18"/>
              </w:rPr>
              <w:t>(24)</w:t>
            </w:r>
          </w:p>
        </w:tc>
        <w:tc>
          <w:tcPr>
            <w:tcW w:w="0" w:type="auto"/>
            <w:shd w:val="clear" w:color="auto" w:fill="E2E2E2"/>
            <w:tcMar>
              <w:top w:w="40" w:type="dxa"/>
              <w:bottom w:w="40" w:type="dxa"/>
              <w:right w:w="20" w:type="dxa"/>
            </w:tcMar>
            <w:vAlign w:val="bottom"/>
          </w:tcPr>
          <w:p w14:paraId="64A8A919" w14:textId="77777777" w:rsidR="008D6614" w:rsidRDefault="00866AF2">
            <w:pPr>
              <w:jc w:val="right"/>
              <w:textAlignment w:val="bottom"/>
            </w:pPr>
            <w:r>
              <w:rPr>
                <w:rFonts w:ascii="Arial" w:eastAsia="宋体" w:hAnsi="Arial" w:cs="Arial"/>
                <w:color w:val="000000"/>
                <w:sz w:val="18"/>
                <w:szCs w:val="18"/>
              </w:rPr>
              <w:t> </w:t>
            </w:r>
          </w:p>
        </w:tc>
      </w:tr>
      <w:tr w:rsidR="008D6614" w14:paraId="64A8A91D" w14:textId="77777777">
        <w:trPr>
          <w:hidden/>
        </w:trPr>
        <w:tc>
          <w:tcPr>
            <w:tcW w:w="0" w:type="auto"/>
            <w:gridSpan w:val="3"/>
            <w:shd w:val="clear" w:color="auto" w:fill="auto"/>
            <w:vAlign w:val="center"/>
          </w:tcPr>
          <w:p w14:paraId="64A8A91B" w14:textId="77777777" w:rsidR="008D6614" w:rsidRDefault="008D6614">
            <w:pPr>
              <w:rPr>
                <w:rFonts w:ascii="宋体"/>
                <w:vanish/>
              </w:rPr>
            </w:pPr>
          </w:p>
        </w:tc>
        <w:tc>
          <w:tcPr>
            <w:tcW w:w="0" w:type="auto"/>
            <w:gridSpan w:val="3"/>
            <w:shd w:val="clear" w:color="auto" w:fill="auto"/>
            <w:vAlign w:val="center"/>
          </w:tcPr>
          <w:p w14:paraId="64A8A91C" w14:textId="77777777" w:rsidR="008D6614" w:rsidRDefault="008D6614">
            <w:pPr>
              <w:rPr>
                <w:rFonts w:ascii="宋体"/>
                <w:vanish/>
              </w:rPr>
            </w:pPr>
          </w:p>
        </w:tc>
      </w:tr>
      <w:tr w:rsidR="008D6614" w14:paraId="64A8A922" w14:textId="77777777">
        <w:tc>
          <w:tcPr>
            <w:tcW w:w="0" w:type="auto"/>
            <w:gridSpan w:val="3"/>
            <w:shd w:val="clear" w:color="auto" w:fill="FFFFFF"/>
            <w:tcMar>
              <w:top w:w="40" w:type="dxa"/>
              <w:left w:w="20" w:type="dxa"/>
              <w:bottom w:w="40" w:type="dxa"/>
              <w:right w:w="20" w:type="dxa"/>
            </w:tcMar>
            <w:vAlign w:val="bottom"/>
          </w:tcPr>
          <w:p w14:paraId="64A8A91E" w14:textId="77777777" w:rsidR="008D6614" w:rsidRDefault="00866AF2">
            <w:pPr>
              <w:textAlignment w:val="bottom"/>
            </w:pPr>
            <w:r>
              <w:rPr>
                <w:rFonts w:ascii="Arial" w:eastAsia="宋体" w:hAnsi="Arial" w:cs="Arial"/>
                <w:color w:val="000000"/>
                <w:sz w:val="18"/>
                <w:szCs w:val="18"/>
              </w:rPr>
              <w:t>Accrued liability as of March 31, 2020</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A91F"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A920" w14:textId="77777777" w:rsidR="008D6614" w:rsidRDefault="00866AF2">
            <w:pPr>
              <w:jc w:val="right"/>
              <w:textAlignment w:val="bottom"/>
            </w:pPr>
            <w:r>
              <w:rPr>
                <w:rFonts w:ascii="Arial" w:eastAsia="宋体" w:hAnsi="Arial" w:cs="Arial"/>
                <w:color w:val="000000"/>
                <w:sz w:val="18"/>
                <w:szCs w:val="18"/>
              </w:rPr>
              <w:t>12 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A921" w14:textId="77777777" w:rsidR="008D6614" w:rsidRDefault="00866AF2">
            <w:pPr>
              <w:jc w:val="right"/>
              <w:textAlignment w:val="bottom"/>
            </w:pPr>
            <w:r>
              <w:rPr>
                <w:rFonts w:ascii="Arial" w:eastAsia="宋体" w:hAnsi="Arial" w:cs="Arial"/>
                <w:color w:val="000000"/>
                <w:sz w:val="18"/>
                <w:szCs w:val="18"/>
              </w:rPr>
              <w:t> </w:t>
            </w:r>
          </w:p>
        </w:tc>
      </w:tr>
    </w:tbl>
    <w:p w14:paraId="64A8A923" w14:textId="77777777" w:rsidR="008D6614" w:rsidRDefault="008D6614">
      <w:pPr>
        <w:jc w:val="center"/>
      </w:pPr>
    </w:p>
    <w:p w14:paraId="64A8A924" w14:textId="77777777" w:rsidR="008D6614" w:rsidRDefault="00866AF2">
      <w:pPr>
        <w:jc w:val="center"/>
      </w:pPr>
      <w:r>
        <w:rPr>
          <w:rFonts w:ascii="Arial" w:eastAsia="宋体" w:hAnsi="Arial" w:cs="Arial"/>
          <w:color w:val="000000"/>
          <w:sz w:val="20"/>
          <w:szCs w:val="20"/>
        </w:rPr>
        <w:t>31</w:t>
      </w:r>
    </w:p>
    <w:p w14:paraId="64A8A925" w14:textId="77777777" w:rsidR="008D6614" w:rsidRDefault="00866AF2">
      <w:r>
        <w:pict w14:anchorId="64A8B9FC">
          <v:rect id="_x0000_i1055" style="width:415.3pt;height:1.5pt" o:hralign="center" o:hrstd="t" o:hr="t" fillcolor="#a0a0a0" stroked="f"/>
        </w:pict>
      </w:r>
    </w:p>
    <w:p w14:paraId="64A8A926" w14:textId="77777777" w:rsidR="008D6614" w:rsidRDefault="008D6614">
      <w:pPr>
        <w:jc w:val="center"/>
      </w:pPr>
    </w:p>
    <w:p w14:paraId="64A8A927" w14:textId="77777777" w:rsidR="008D6614" w:rsidRDefault="00866AF2">
      <w:pPr>
        <w:jc w:val="center"/>
      </w:pPr>
      <w:r>
        <w:rPr>
          <w:rFonts w:ascii="Arial" w:eastAsia="宋体" w:hAnsi="Arial" w:cs="Arial"/>
          <w:b/>
          <w:bCs/>
          <w:color w:val="000000"/>
          <w:sz w:val="20"/>
          <w:szCs w:val="20"/>
        </w:rPr>
        <w:t>eBay Inc.</w:t>
      </w:r>
    </w:p>
    <w:p w14:paraId="64A8A928" w14:textId="77777777" w:rsidR="008D6614" w:rsidRDefault="00866AF2">
      <w:pPr>
        <w:spacing w:after="240"/>
        <w:jc w:val="center"/>
      </w:pPr>
      <w:r>
        <w:rPr>
          <w:rFonts w:ascii="Arial" w:eastAsia="宋体" w:hAnsi="Arial" w:cs="Arial"/>
          <w:b/>
          <w:bCs/>
          <w:color w:val="000000"/>
          <w:sz w:val="20"/>
          <w:szCs w:val="20"/>
        </w:rPr>
        <w:t>NOTES TO CONDENSED CONSOLIDATED FINANCIAL STATEMENTS—(Continued)</w:t>
      </w:r>
    </w:p>
    <w:p w14:paraId="64A8A929" w14:textId="77777777" w:rsidR="008D6614" w:rsidRDefault="008D6614">
      <w:pPr>
        <w:ind w:firstLine="540"/>
        <w:jc w:val="both"/>
      </w:pPr>
    </w:p>
    <w:p w14:paraId="64A8A92A" w14:textId="77777777" w:rsidR="008D6614" w:rsidRDefault="00866AF2">
      <w:pPr>
        <w:ind w:firstLine="540"/>
        <w:jc w:val="both"/>
      </w:pPr>
      <w:r>
        <w:rPr>
          <w:rFonts w:ascii="Arial" w:eastAsia="宋体" w:hAnsi="Arial" w:cs="Arial"/>
          <w:color w:val="000000"/>
          <w:sz w:val="20"/>
          <w:szCs w:val="20"/>
        </w:rPr>
        <w:t>During the first quarter of 2020 we substantially completed the reduction in workforce that was approved by management during the fourth quarter of 2019, primarily in our Marketplace segment. We incurred pre-tax restructuring charges of approximately $8 mi</w:t>
      </w:r>
      <w:r>
        <w:rPr>
          <w:rFonts w:ascii="Arial" w:eastAsia="宋体" w:hAnsi="Arial" w:cs="Arial"/>
          <w:color w:val="000000"/>
          <w:sz w:val="20"/>
          <w:szCs w:val="20"/>
        </w:rPr>
        <w:t xml:space="preserve">llion in the first quarter of 2020 in connection with the action taken in the fourth quarter of 2019. </w:t>
      </w:r>
    </w:p>
    <w:p w14:paraId="64A8A92B" w14:textId="77777777" w:rsidR="008D6614" w:rsidRDefault="008D6614"/>
    <w:p w14:paraId="64A8A92C" w14:textId="77777777" w:rsidR="008D6614" w:rsidRDefault="00866AF2">
      <w:pPr>
        <w:ind w:firstLine="540"/>
        <w:jc w:val="both"/>
      </w:pPr>
      <w:r>
        <w:rPr>
          <w:rFonts w:ascii="Arial" w:eastAsia="宋体" w:hAnsi="Arial" w:cs="Arial"/>
          <w:color w:val="000000"/>
          <w:sz w:val="20"/>
          <w:szCs w:val="20"/>
        </w:rPr>
        <w:t>During the first quarter of 2019, management approved a plan to drive operational improvement that included the reduction of workforc</w:t>
      </w:r>
      <w:r>
        <w:rPr>
          <w:rFonts w:ascii="Arial" w:eastAsia="宋体" w:hAnsi="Arial" w:cs="Arial"/>
          <w:color w:val="000000"/>
          <w:sz w:val="20"/>
          <w:szCs w:val="20"/>
          <w:shd w:val="clear" w:color="auto" w:fill="FFFFFF"/>
        </w:rPr>
        <w:t xml:space="preserve">e, </w:t>
      </w:r>
      <w:r>
        <w:rPr>
          <w:rFonts w:ascii="Arial" w:eastAsia="宋体" w:hAnsi="Arial" w:cs="Arial"/>
          <w:color w:val="000000"/>
          <w:sz w:val="20"/>
          <w:szCs w:val="20"/>
          <w:shd w:val="clear" w:color="auto" w:fill="FFFFFF"/>
        </w:rPr>
        <w:t>primarily in our Marketplace segment. We incurred pre-tax restructuring charges of approximately $38 million, which were primarily related to employee severance and benefits. The reduction was substantially completed in the first</w:t>
      </w:r>
      <w:r>
        <w:rPr>
          <w:rFonts w:ascii="Arial" w:eastAsia="宋体" w:hAnsi="Arial" w:cs="Arial"/>
          <w:color w:val="000000"/>
          <w:sz w:val="20"/>
          <w:szCs w:val="20"/>
        </w:rPr>
        <w:t xml:space="preserve"> quarter of 2019. </w:t>
      </w:r>
    </w:p>
    <w:p w14:paraId="64A8A92D" w14:textId="77777777" w:rsidR="008D6614" w:rsidRDefault="008D6614">
      <w:pPr>
        <w:ind w:firstLine="540"/>
        <w:jc w:val="both"/>
      </w:pPr>
    </w:p>
    <w:p w14:paraId="64A8A92E" w14:textId="77777777" w:rsidR="008D6614" w:rsidRDefault="00866AF2">
      <w:pPr>
        <w:ind w:firstLine="540"/>
        <w:jc w:val="both"/>
      </w:pPr>
      <w:r>
        <w:rPr>
          <w:rFonts w:ascii="Arial" w:eastAsia="宋体" w:hAnsi="Arial" w:cs="Arial"/>
          <w:color w:val="000000"/>
          <w:sz w:val="20"/>
          <w:szCs w:val="20"/>
        </w:rPr>
        <w:t>Restruc</w:t>
      </w:r>
      <w:r>
        <w:rPr>
          <w:rFonts w:ascii="Arial" w:eastAsia="宋体" w:hAnsi="Arial" w:cs="Arial"/>
          <w:color w:val="000000"/>
          <w:sz w:val="20"/>
          <w:szCs w:val="20"/>
        </w:rPr>
        <w:t>turing charges are included in general and administrative expenses in the condensed consolidated statement of income.</w:t>
      </w:r>
    </w:p>
    <w:p w14:paraId="64A8A92F" w14:textId="77777777" w:rsidR="008D6614" w:rsidRDefault="008D6614">
      <w:pPr>
        <w:ind w:firstLine="540"/>
        <w:jc w:val="both"/>
      </w:pPr>
    </w:p>
    <w:p w14:paraId="64A8A930" w14:textId="77777777" w:rsidR="008D6614" w:rsidRDefault="008D6614">
      <w:pPr>
        <w:ind w:firstLine="540"/>
      </w:pPr>
    </w:p>
    <w:p w14:paraId="64A8A931" w14:textId="77777777" w:rsidR="008D6614" w:rsidRDefault="008D6614">
      <w:pPr>
        <w:jc w:val="center"/>
      </w:pPr>
    </w:p>
    <w:p w14:paraId="64A8A932" w14:textId="77777777" w:rsidR="008D6614" w:rsidRDefault="00866AF2">
      <w:pPr>
        <w:jc w:val="center"/>
      </w:pPr>
      <w:r>
        <w:rPr>
          <w:rFonts w:ascii="Arial" w:eastAsia="宋体" w:hAnsi="Arial" w:cs="Arial"/>
          <w:color w:val="000000"/>
          <w:sz w:val="20"/>
          <w:szCs w:val="20"/>
        </w:rPr>
        <w:t>32</w:t>
      </w:r>
    </w:p>
    <w:p w14:paraId="64A8A933" w14:textId="77777777" w:rsidR="008D6614" w:rsidRDefault="00866AF2">
      <w:r>
        <w:pict w14:anchorId="64A8B9FD">
          <v:rect id="_x0000_i1056" style="width:415.3pt;height:1.5pt" o:hralign="center" o:hrstd="t" o:hr="t" fillcolor="#a0a0a0" stroked="f"/>
        </w:pict>
      </w:r>
    </w:p>
    <w:p w14:paraId="64A8A934" w14:textId="77777777" w:rsidR="008D6614" w:rsidRDefault="008D6614"/>
    <w:p w14:paraId="64A8A935" w14:textId="77777777" w:rsidR="008D6614" w:rsidRDefault="00866AF2">
      <w:pPr>
        <w:ind w:hanging="1080"/>
      </w:pPr>
      <w:r>
        <w:rPr>
          <w:rFonts w:ascii="Arial" w:eastAsia="宋体" w:hAnsi="Arial" w:cs="Arial"/>
          <w:b/>
          <w:bCs/>
          <w:color w:val="000000"/>
          <w:sz w:val="20"/>
          <w:szCs w:val="20"/>
        </w:rPr>
        <w:t>ITEM 2: </w:t>
      </w:r>
      <w:r>
        <w:rPr>
          <w:rFonts w:ascii="Arial" w:eastAsia="宋体" w:hAnsi="Arial" w:cs="Arial"/>
          <w:b/>
          <w:bCs/>
          <w:i/>
          <w:iCs/>
          <w:color w:val="000000"/>
          <w:sz w:val="20"/>
          <w:szCs w:val="20"/>
        </w:rPr>
        <w:t>MANAGEMENT’S DISCUSSION AND ANALYSIS OF FINANCIAL CONDITION AND RESULTS OF OPERATIONS</w:t>
      </w:r>
    </w:p>
    <w:p w14:paraId="64A8A936" w14:textId="77777777" w:rsidR="008D6614" w:rsidRDefault="008D6614">
      <w:pPr>
        <w:ind w:hanging="1080"/>
      </w:pPr>
    </w:p>
    <w:p w14:paraId="64A8A937" w14:textId="77777777" w:rsidR="008D6614" w:rsidRDefault="00866AF2">
      <w:r>
        <w:rPr>
          <w:rFonts w:ascii="Arial" w:eastAsia="宋体" w:hAnsi="Arial" w:cs="Arial"/>
          <w:b/>
          <w:bCs/>
          <w:i/>
          <w:iCs/>
          <w:color w:val="000000"/>
          <w:sz w:val="20"/>
          <w:szCs w:val="20"/>
        </w:rPr>
        <w:t>FORWARD-LOOKING STATEMENTS</w:t>
      </w:r>
    </w:p>
    <w:p w14:paraId="64A8A938" w14:textId="77777777" w:rsidR="008D6614" w:rsidRDefault="008D6614"/>
    <w:p w14:paraId="64A8A939" w14:textId="77777777" w:rsidR="008D6614" w:rsidRDefault="00866AF2">
      <w:pPr>
        <w:ind w:firstLine="540"/>
        <w:jc w:val="both"/>
      </w:pPr>
      <w:r>
        <w:rPr>
          <w:rFonts w:ascii="Arial" w:eastAsia="宋体" w:hAnsi="Arial" w:cs="Arial"/>
          <w:i/>
          <w:iCs/>
          <w:color w:val="000000"/>
          <w:sz w:val="20"/>
          <w:szCs w:val="20"/>
        </w:rPr>
        <w:t>This Q</w:t>
      </w:r>
      <w:r>
        <w:rPr>
          <w:rFonts w:ascii="Arial" w:eastAsia="宋体" w:hAnsi="Arial" w:cs="Arial"/>
          <w:i/>
          <w:iCs/>
          <w:color w:val="000000"/>
          <w:sz w:val="20"/>
          <w:szCs w:val="20"/>
        </w:rPr>
        <w:t>uarterly Report on Form 10-Q contains forward-looking statements within the meaning of Section 27A of the Securities Act of 1933 and Section 21E of the Securities Exchange Act of 1934, including statements that involve expectations, plans or intentions (su</w:t>
      </w:r>
      <w:r>
        <w:rPr>
          <w:rFonts w:ascii="Arial" w:eastAsia="宋体" w:hAnsi="Arial" w:cs="Arial"/>
          <w:i/>
          <w:iCs/>
          <w:color w:val="000000"/>
          <w:sz w:val="20"/>
          <w:szCs w:val="20"/>
        </w:rPr>
        <w:t>ch as those relating to future business, future results of operations or financial condition, including with respect to the anticipated effects of COVID-19, new or planned features or services, or management strategies, including our strategic review). You</w:t>
      </w:r>
      <w:r>
        <w:rPr>
          <w:rFonts w:ascii="Arial" w:eastAsia="宋体" w:hAnsi="Arial" w:cs="Arial"/>
          <w:i/>
          <w:iCs/>
          <w:color w:val="000000"/>
          <w:sz w:val="20"/>
          <w:szCs w:val="20"/>
        </w:rPr>
        <w:t xml:space="preserve"> can identify these forward-looking statements by words such as “may,” “will,” “would,” “should,” “could,” “expect,” “anticipate,” “believe,” “estimate,” “intend,” “plan” and other similar expressions. These forward-looking statements involve risks and unc</w:t>
      </w:r>
      <w:r>
        <w:rPr>
          <w:rFonts w:ascii="Arial" w:eastAsia="宋体" w:hAnsi="Arial" w:cs="Arial"/>
          <w:i/>
          <w:iCs/>
          <w:color w:val="000000"/>
          <w:sz w:val="20"/>
          <w:szCs w:val="20"/>
        </w:rPr>
        <w:t xml:space="preserve">ertainties that could cause our actual results to differ materially from those expressed or implied in our forward-looking statements. Such risks and uncertainties include, among others, those discussed in “Part II </w:t>
      </w:r>
      <w:r>
        <w:rPr>
          <w:rFonts w:ascii="Arial" w:eastAsia="宋体" w:hAnsi="Arial" w:cs="Arial"/>
          <w:b/>
          <w:bCs/>
          <w:i/>
          <w:iCs/>
          <w:color w:val="000000"/>
          <w:sz w:val="20"/>
          <w:szCs w:val="20"/>
        </w:rPr>
        <w:t>-</w:t>
      </w:r>
      <w:r>
        <w:rPr>
          <w:rFonts w:ascii="Arial" w:eastAsia="宋体" w:hAnsi="Arial" w:cs="Arial"/>
          <w:i/>
          <w:iCs/>
          <w:color w:val="000000"/>
          <w:sz w:val="20"/>
          <w:szCs w:val="20"/>
        </w:rPr>
        <w:t xml:space="preserve"> Item 1A: Risk Factors” of this Quarterly Report on Form 10-Q as well as in our unaudited condensed consolidated financial statements, related notes, and the other information appearing elsewhere in this report and our other filings with the Securities and</w:t>
      </w:r>
      <w:r>
        <w:rPr>
          <w:rFonts w:ascii="Arial" w:eastAsia="宋体" w:hAnsi="Arial" w:cs="Arial"/>
          <w:i/>
          <w:iCs/>
          <w:color w:val="000000"/>
          <w:sz w:val="20"/>
          <w:szCs w:val="20"/>
        </w:rPr>
        <w:t xml:space="preserve"> Exchange Commission (“SEC”). We do not intend, and undertake no obligation, to update any of our forward-looking statements after the date of this report to reflect actual results or future events or circumstances. Given these risks and uncertainties, rea</w:t>
      </w:r>
      <w:r>
        <w:rPr>
          <w:rFonts w:ascii="Arial" w:eastAsia="宋体" w:hAnsi="Arial" w:cs="Arial"/>
          <w:i/>
          <w:iCs/>
          <w:color w:val="000000"/>
          <w:sz w:val="20"/>
          <w:szCs w:val="20"/>
        </w:rPr>
        <w:t xml:space="preserve">ders are cautioned not to place undue reliance on such forward-looking statements. You should read the following Management’s Discussion and Analysis of Financial Condition and Results of Operations in conjunction with the unaudited condensed consolidated </w:t>
      </w:r>
      <w:r>
        <w:rPr>
          <w:rFonts w:ascii="Arial" w:eastAsia="宋体" w:hAnsi="Arial" w:cs="Arial"/>
          <w:i/>
          <w:iCs/>
          <w:color w:val="000000"/>
          <w:sz w:val="20"/>
          <w:szCs w:val="20"/>
        </w:rPr>
        <w:t xml:space="preserve">financial statements and the related notes included in this report. </w:t>
      </w:r>
    </w:p>
    <w:p w14:paraId="64A8A93A" w14:textId="77777777" w:rsidR="008D6614" w:rsidRDefault="008D6614"/>
    <w:p w14:paraId="64A8A93B" w14:textId="77777777" w:rsidR="008D6614" w:rsidRDefault="00866AF2">
      <w:pPr>
        <w:jc w:val="both"/>
      </w:pPr>
      <w:r>
        <w:rPr>
          <w:rFonts w:ascii="Arial" w:eastAsia="宋体" w:hAnsi="Arial" w:cs="Arial"/>
          <w:b/>
          <w:bCs/>
          <w:color w:val="000000"/>
          <w:sz w:val="20"/>
          <w:szCs w:val="20"/>
        </w:rPr>
        <w:t>OVERVIEW</w:t>
      </w:r>
    </w:p>
    <w:p w14:paraId="64A8A93C" w14:textId="77777777" w:rsidR="008D6614" w:rsidRDefault="00866AF2">
      <w:pPr>
        <w:ind w:firstLine="540"/>
        <w:jc w:val="both"/>
      </w:pPr>
      <w:r>
        <w:rPr>
          <w:rFonts w:ascii="Arial" w:eastAsia="宋体" w:hAnsi="Arial" w:cs="Arial"/>
          <w:color w:val="000000"/>
          <w:sz w:val="20"/>
          <w:szCs w:val="20"/>
        </w:rPr>
        <w:t> </w:t>
      </w:r>
    </w:p>
    <w:p w14:paraId="64A8A93D" w14:textId="77777777" w:rsidR="008D6614" w:rsidRDefault="00866AF2">
      <w:pPr>
        <w:jc w:val="both"/>
      </w:pPr>
      <w:r>
        <w:rPr>
          <w:rFonts w:ascii="Arial" w:eastAsia="宋体" w:hAnsi="Arial" w:cs="Arial"/>
          <w:b/>
          <w:bCs/>
          <w:color w:val="000000"/>
          <w:sz w:val="20"/>
          <w:szCs w:val="20"/>
        </w:rPr>
        <w:t>Business</w:t>
      </w:r>
    </w:p>
    <w:p w14:paraId="64A8A93E" w14:textId="77777777" w:rsidR="008D6614" w:rsidRDefault="008D6614">
      <w:pPr>
        <w:ind w:firstLine="540"/>
        <w:jc w:val="both"/>
      </w:pPr>
    </w:p>
    <w:p w14:paraId="64A8A93F" w14:textId="77777777" w:rsidR="008D6614" w:rsidRDefault="00866AF2">
      <w:pPr>
        <w:ind w:firstLine="540"/>
        <w:jc w:val="both"/>
      </w:pPr>
      <w:r>
        <w:rPr>
          <w:rFonts w:ascii="Arial" w:eastAsia="宋体" w:hAnsi="Arial" w:cs="Arial"/>
          <w:color w:val="000000"/>
          <w:sz w:val="20"/>
          <w:szCs w:val="20"/>
        </w:rPr>
        <w:t xml:space="preserve">eBay Inc. is a global commerce leader, which includes our Marketplace and Classifieds platforms. Founded in 1995 in San Jose, California, eBay is one of the world’s </w:t>
      </w:r>
      <w:r>
        <w:rPr>
          <w:rFonts w:ascii="Arial" w:eastAsia="宋体" w:hAnsi="Arial" w:cs="Arial"/>
          <w:color w:val="000000"/>
          <w:sz w:val="20"/>
          <w:szCs w:val="20"/>
        </w:rPr>
        <w:t>largest and most vibrant marketplaces for discovering great value and unique selection. Collectively, we connect millions of buyers and sellers around the world, empowering people and creating opportunity. Our technologies and services are designed to give</w:t>
      </w:r>
      <w:r>
        <w:rPr>
          <w:rFonts w:ascii="Arial" w:eastAsia="宋体" w:hAnsi="Arial" w:cs="Arial"/>
          <w:color w:val="000000"/>
          <w:sz w:val="20"/>
          <w:szCs w:val="20"/>
        </w:rPr>
        <w:t xml:space="preserve"> buyers choice and a breadth of relevant inventory and to enable sellers worldwide to organize and offer their inventory for sale, virtually anytime and anywhere. </w:t>
      </w:r>
    </w:p>
    <w:p w14:paraId="64A8A940" w14:textId="77777777" w:rsidR="008D6614" w:rsidRDefault="008D6614">
      <w:pPr>
        <w:ind w:firstLine="495"/>
        <w:jc w:val="both"/>
      </w:pPr>
    </w:p>
    <w:p w14:paraId="64A8A941" w14:textId="77777777" w:rsidR="008D6614" w:rsidRDefault="00866AF2">
      <w:pPr>
        <w:ind w:firstLine="540"/>
        <w:jc w:val="both"/>
      </w:pPr>
      <w:r>
        <w:rPr>
          <w:rFonts w:ascii="Arial" w:eastAsia="宋体" w:hAnsi="Arial" w:cs="Arial"/>
          <w:color w:val="000000"/>
          <w:sz w:val="20"/>
          <w:szCs w:val="20"/>
        </w:rPr>
        <w:t>On February 13, 2020, we closed the previously announced sale of our StubHub business to an</w:t>
      </w:r>
      <w:r>
        <w:rPr>
          <w:rFonts w:ascii="Arial" w:eastAsia="宋体" w:hAnsi="Arial" w:cs="Arial"/>
          <w:color w:val="000000"/>
          <w:sz w:val="20"/>
          <w:szCs w:val="20"/>
        </w:rPr>
        <w:t xml:space="preserve"> affiliate of viagogo. Beginning in the first quarter of 2020, StubHub’s financial results for periods prior to the sale have been reflected in our condensed consolidated statement of income as discontinued operations. Additionally, the related assets and </w:t>
      </w:r>
      <w:r>
        <w:rPr>
          <w:rFonts w:ascii="Arial" w:eastAsia="宋体" w:hAnsi="Arial" w:cs="Arial"/>
          <w:color w:val="000000"/>
          <w:sz w:val="20"/>
          <w:szCs w:val="20"/>
        </w:rPr>
        <w:t>liabilities associated with the discontinued operations in the prior year are classified as discontinued operations in our condensed consolidated balance sheet. See “Note 4 – Discontinued Operations” in our condensed consolidated financial statements inclu</w:t>
      </w:r>
      <w:r>
        <w:rPr>
          <w:rFonts w:ascii="Arial" w:eastAsia="宋体" w:hAnsi="Arial" w:cs="Arial"/>
          <w:color w:val="000000"/>
          <w:sz w:val="20"/>
          <w:szCs w:val="20"/>
        </w:rPr>
        <w:t>ded elsewhere in this report for additional information.</w:t>
      </w:r>
    </w:p>
    <w:p w14:paraId="64A8A942" w14:textId="77777777" w:rsidR="008D6614" w:rsidRDefault="008D6614">
      <w:pPr>
        <w:ind w:firstLine="540"/>
        <w:jc w:val="both"/>
      </w:pPr>
    </w:p>
    <w:p w14:paraId="64A8A943" w14:textId="77777777" w:rsidR="008D6614" w:rsidRDefault="00866AF2">
      <w:pPr>
        <w:ind w:firstLine="540"/>
        <w:jc w:val="both"/>
      </w:pPr>
      <w:r>
        <w:rPr>
          <w:rFonts w:ascii="Arial" w:eastAsia="宋体" w:hAnsi="Arial" w:cs="Arial"/>
          <w:color w:val="000000"/>
          <w:sz w:val="20"/>
          <w:szCs w:val="20"/>
        </w:rPr>
        <w:t>On February 21, 2020, we issued a statement regarding our previously announced strategic review of Classifieds confirming that we have been in active discussions with multiple parties regarding a po</w:t>
      </w:r>
      <w:r>
        <w:rPr>
          <w:rFonts w:ascii="Arial" w:eastAsia="宋体" w:hAnsi="Arial" w:cs="Arial"/>
          <w:color w:val="000000"/>
          <w:sz w:val="20"/>
          <w:szCs w:val="20"/>
        </w:rPr>
        <w:t>tential transaction.</w:t>
      </w:r>
    </w:p>
    <w:p w14:paraId="64A8A944" w14:textId="77777777" w:rsidR="008D6614" w:rsidRDefault="008D6614">
      <w:pPr>
        <w:ind w:firstLine="495"/>
        <w:jc w:val="both"/>
      </w:pPr>
    </w:p>
    <w:p w14:paraId="64A8A945" w14:textId="77777777" w:rsidR="008D6614" w:rsidRDefault="00866AF2">
      <w:pPr>
        <w:ind w:firstLine="540"/>
        <w:jc w:val="both"/>
      </w:pPr>
      <w:r>
        <w:rPr>
          <w:rFonts w:ascii="Arial" w:eastAsia="宋体" w:hAnsi="Arial" w:cs="Arial"/>
          <w:color w:val="000000"/>
          <w:sz w:val="20"/>
          <w:szCs w:val="20"/>
        </w:rPr>
        <w:t xml:space="preserve">In March 2020, the World Health Organization declared the outbreak of a novel coronavirus (COVID-19) as a pandemic, which continues to spread throughout the world. While the disruption is currently expected to be temporary, there is uncertainty around the </w:t>
      </w:r>
      <w:r>
        <w:rPr>
          <w:rFonts w:ascii="Arial" w:eastAsia="宋体" w:hAnsi="Arial" w:cs="Arial"/>
          <w:color w:val="000000"/>
          <w:sz w:val="20"/>
          <w:szCs w:val="20"/>
        </w:rPr>
        <w:t>duration. Our Marketplace platforms have experienced improved traffic, buyer acquisition, and conversion due to ongoing confinement at home dynamics in many countries. The Marketplace platforms have also experienced improved acquisition of small business s</w:t>
      </w:r>
      <w:r>
        <w:rPr>
          <w:rFonts w:ascii="Arial" w:eastAsia="宋体" w:hAnsi="Arial" w:cs="Arial"/>
          <w:color w:val="000000"/>
          <w:sz w:val="20"/>
          <w:szCs w:val="20"/>
        </w:rPr>
        <w:t>ellers, offset by a decline in advertising. Our eBay Classifieds platforms are adversely impacted by recent auto dealer closures in many international markets, lower traffic to horizontal classifieds sites around the world due to social distancing requirem</w:t>
      </w:r>
      <w:r>
        <w:rPr>
          <w:rFonts w:ascii="Arial" w:eastAsia="宋体" w:hAnsi="Arial" w:cs="Arial"/>
          <w:color w:val="000000"/>
          <w:sz w:val="20"/>
          <w:szCs w:val="20"/>
        </w:rPr>
        <w:t>ents and lower advertising revenues. The impacts seen in both platforms could continue while shelter-in-place or similar guidelines remain active, however it is difficult to predict the impact on our platforms as these guidelines are eased or lifted and ho</w:t>
      </w:r>
      <w:r>
        <w:rPr>
          <w:rFonts w:ascii="Arial" w:eastAsia="宋体" w:hAnsi="Arial" w:cs="Arial"/>
          <w:color w:val="000000"/>
          <w:sz w:val="20"/>
          <w:szCs w:val="20"/>
        </w:rPr>
        <w:t xml:space="preserve">w consumer demand and seller inventory may evolve over time. See </w:t>
      </w:r>
      <w:r>
        <w:rPr>
          <w:rFonts w:ascii="Arial" w:eastAsia="宋体" w:hAnsi="Arial" w:cs="Arial"/>
          <w:i/>
          <w:iCs/>
          <w:color w:val="000000"/>
          <w:sz w:val="20"/>
          <w:szCs w:val="20"/>
        </w:rPr>
        <w:t>“Results of Operations”</w:t>
      </w:r>
      <w:r>
        <w:rPr>
          <w:rFonts w:ascii="Arial" w:eastAsia="宋体" w:hAnsi="Arial" w:cs="Arial"/>
          <w:color w:val="000000"/>
          <w:sz w:val="20"/>
          <w:szCs w:val="20"/>
        </w:rPr>
        <w:t xml:space="preserve"> below for impacts of COVID-19 on our results for the three months ended March 31, 2020. For additional information, see </w:t>
      </w:r>
      <w:r>
        <w:rPr>
          <w:rFonts w:ascii="Arial" w:eastAsia="宋体" w:hAnsi="Arial" w:cs="Arial"/>
          <w:i/>
          <w:iCs/>
          <w:color w:val="000000"/>
          <w:sz w:val="20"/>
          <w:szCs w:val="20"/>
        </w:rPr>
        <w:t>“– Liquidity and Capital Resource Requirements”</w:t>
      </w:r>
      <w:r>
        <w:rPr>
          <w:rFonts w:ascii="Arial" w:eastAsia="宋体" w:hAnsi="Arial" w:cs="Arial"/>
          <w:color w:val="000000"/>
          <w:sz w:val="20"/>
          <w:szCs w:val="20"/>
        </w:rPr>
        <w:t xml:space="preserve"> below and “Item 1A: Risk Factors” </w:t>
      </w:r>
    </w:p>
    <w:p w14:paraId="64A8A946" w14:textId="77777777" w:rsidR="008D6614" w:rsidRDefault="008D6614">
      <w:pPr>
        <w:jc w:val="center"/>
      </w:pPr>
    </w:p>
    <w:p w14:paraId="64A8A947" w14:textId="77777777" w:rsidR="008D6614" w:rsidRDefault="00866AF2">
      <w:pPr>
        <w:jc w:val="center"/>
      </w:pPr>
      <w:r>
        <w:rPr>
          <w:rFonts w:ascii="Arial" w:eastAsia="宋体" w:hAnsi="Arial" w:cs="Arial"/>
          <w:color w:val="000000"/>
          <w:sz w:val="20"/>
          <w:szCs w:val="20"/>
        </w:rPr>
        <w:t>33</w:t>
      </w:r>
    </w:p>
    <w:p w14:paraId="64A8A948" w14:textId="77777777" w:rsidR="008D6614" w:rsidRDefault="00866AF2">
      <w:r>
        <w:pict w14:anchorId="64A8B9FE">
          <v:rect id="_x0000_i1057" style="width:415.3pt;height:1.5pt" o:hralign="center" o:hrstd="t" o:hr="t" fillcolor="#a0a0a0" stroked="f"/>
        </w:pict>
      </w:r>
    </w:p>
    <w:p w14:paraId="64A8A949" w14:textId="77777777" w:rsidR="008D6614" w:rsidRDefault="008D6614"/>
    <w:p w14:paraId="64A8A94A" w14:textId="77777777" w:rsidR="008D6614" w:rsidRDefault="00866AF2">
      <w:pPr>
        <w:jc w:val="both"/>
      </w:pPr>
      <w:r>
        <w:rPr>
          <w:rFonts w:ascii="Arial" w:eastAsia="宋体" w:hAnsi="Arial" w:cs="Arial"/>
          <w:color w:val="000000"/>
          <w:sz w:val="20"/>
          <w:szCs w:val="20"/>
        </w:rPr>
        <w:t>under the captions “The global COVID-19 pandemic could harm our business and results of operations” in Part II of this report.</w:t>
      </w:r>
    </w:p>
    <w:p w14:paraId="64A8A94B" w14:textId="77777777" w:rsidR="008D6614" w:rsidRDefault="008D6614">
      <w:pPr>
        <w:ind w:firstLine="540"/>
        <w:jc w:val="both"/>
      </w:pPr>
    </w:p>
    <w:p w14:paraId="64A8A94C" w14:textId="77777777" w:rsidR="008D6614" w:rsidRDefault="00866AF2">
      <w:pPr>
        <w:ind w:firstLine="540"/>
        <w:jc w:val="both"/>
      </w:pPr>
      <w:r>
        <w:rPr>
          <w:rFonts w:ascii="Arial" w:eastAsia="宋体" w:hAnsi="Arial" w:cs="Arial"/>
          <w:color w:val="000000"/>
          <w:sz w:val="20"/>
          <w:szCs w:val="20"/>
        </w:rPr>
        <w:t>On April 13, 2020, we announced that the Board of Directors of eBay appointed Jamie I</w:t>
      </w:r>
      <w:r>
        <w:rPr>
          <w:rFonts w:ascii="Arial" w:eastAsia="宋体" w:hAnsi="Arial" w:cs="Arial"/>
          <w:color w:val="000000"/>
          <w:sz w:val="20"/>
          <w:szCs w:val="20"/>
        </w:rPr>
        <w:t>annone as President and Chief Executive Officer of eBay, effective April 27, 2020. Mr. Iannone was also appointed as a member of the Board, effective as of April 27, 2020.</w:t>
      </w:r>
    </w:p>
    <w:p w14:paraId="64A8A94D" w14:textId="77777777" w:rsidR="008D6614" w:rsidRDefault="008D6614">
      <w:pPr>
        <w:ind w:firstLine="540"/>
        <w:jc w:val="both"/>
      </w:pPr>
    </w:p>
    <w:p w14:paraId="64A8A94E" w14:textId="77777777" w:rsidR="008D6614" w:rsidRDefault="00866AF2">
      <w:pPr>
        <w:ind w:firstLine="540"/>
        <w:jc w:val="both"/>
      </w:pPr>
      <w:r>
        <w:rPr>
          <w:rFonts w:ascii="Arial" w:eastAsia="宋体" w:hAnsi="Arial" w:cs="Arial"/>
          <w:color w:val="000000"/>
          <w:sz w:val="20"/>
          <w:szCs w:val="20"/>
        </w:rPr>
        <w:t>When we refer to “we,” “our,” “us” or “eBay” in this Quarterly Report on Form 10-Q,</w:t>
      </w:r>
      <w:r>
        <w:rPr>
          <w:rFonts w:ascii="Arial" w:eastAsia="宋体" w:hAnsi="Arial" w:cs="Arial"/>
          <w:color w:val="000000"/>
          <w:sz w:val="20"/>
          <w:szCs w:val="20"/>
        </w:rPr>
        <w:t xml:space="preserve"> we mean the current Delaware corporation (eBay Inc.) and its consolidated subsidiaries, unless otherwise expressly stated or the context otherwise requires. </w:t>
      </w:r>
    </w:p>
    <w:p w14:paraId="64A8A94F" w14:textId="77777777" w:rsidR="008D6614" w:rsidRDefault="008D6614">
      <w:pPr>
        <w:ind w:firstLine="540"/>
        <w:jc w:val="both"/>
      </w:pPr>
    </w:p>
    <w:p w14:paraId="64A8A950" w14:textId="77777777" w:rsidR="008D6614" w:rsidRDefault="00866AF2">
      <w:pPr>
        <w:jc w:val="both"/>
      </w:pPr>
      <w:r>
        <w:rPr>
          <w:rFonts w:ascii="Arial" w:eastAsia="宋体" w:hAnsi="Arial" w:cs="Arial"/>
          <w:b/>
          <w:bCs/>
          <w:color w:val="000000"/>
          <w:sz w:val="20"/>
          <w:szCs w:val="20"/>
        </w:rPr>
        <w:t>Presentation</w:t>
      </w:r>
    </w:p>
    <w:p w14:paraId="64A8A951" w14:textId="77777777" w:rsidR="008D6614" w:rsidRDefault="008D6614">
      <w:pPr>
        <w:ind w:firstLine="540"/>
        <w:jc w:val="both"/>
      </w:pPr>
    </w:p>
    <w:p w14:paraId="64A8A952" w14:textId="77777777" w:rsidR="008D6614" w:rsidRDefault="00866AF2">
      <w:pPr>
        <w:ind w:firstLine="540"/>
        <w:jc w:val="both"/>
      </w:pPr>
      <w:r>
        <w:rPr>
          <w:rFonts w:ascii="Arial" w:eastAsia="宋体" w:hAnsi="Arial" w:cs="Arial"/>
          <w:color w:val="000000"/>
          <w:sz w:val="20"/>
          <w:szCs w:val="20"/>
        </w:rPr>
        <w:t>In addition to the corresponding measures under generally accepted accounting prin</w:t>
      </w:r>
      <w:r>
        <w:rPr>
          <w:rFonts w:ascii="Arial" w:eastAsia="宋体" w:hAnsi="Arial" w:cs="Arial"/>
          <w:color w:val="000000"/>
          <w:sz w:val="20"/>
          <w:szCs w:val="20"/>
        </w:rPr>
        <w:t>ciples (“GAAP”), management uses non-GAAP measures in reviewing our financial results. The foreign exchange neutral (“FX-Neutral”), or constant currency, net revenue amounts discussed below are non-GAAP financial measures and are not in accordance with, or</w:t>
      </w:r>
      <w:r>
        <w:rPr>
          <w:rFonts w:ascii="Arial" w:eastAsia="宋体" w:hAnsi="Arial" w:cs="Arial"/>
          <w:color w:val="000000"/>
          <w:sz w:val="20"/>
          <w:szCs w:val="20"/>
        </w:rPr>
        <w:t xml:space="preserve"> an alternative to, measures prepared in accordance with GAAP. Accordingly, the FX-Neutral information appearing in the following discussion of our results of operations should be read in conjunction with the information provided below in “</w:t>
      </w:r>
      <w:r>
        <w:rPr>
          <w:rFonts w:ascii="Arial" w:eastAsia="宋体" w:hAnsi="Arial" w:cs="Arial"/>
          <w:i/>
          <w:iCs/>
          <w:color w:val="000000"/>
          <w:sz w:val="20"/>
          <w:szCs w:val="20"/>
        </w:rPr>
        <w:t>Non-GAAP Measure</w:t>
      </w:r>
      <w:r>
        <w:rPr>
          <w:rFonts w:ascii="Arial" w:eastAsia="宋体" w:hAnsi="Arial" w:cs="Arial"/>
          <w:i/>
          <w:iCs/>
          <w:color w:val="000000"/>
          <w:sz w:val="20"/>
          <w:szCs w:val="20"/>
        </w:rPr>
        <w:t>s of Financial Performance</w:t>
      </w:r>
      <w:r>
        <w:rPr>
          <w:rFonts w:ascii="Arial" w:eastAsia="宋体" w:hAnsi="Arial" w:cs="Arial"/>
          <w:color w:val="000000"/>
          <w:sz w:val="20"/>
          <w:szCs w:val="20"/>
        </w:rPr>
        <w:t>,” which includes reconciliations of FX-Neutral financial measures to the most directly comparable GAAP measures. We calculate the year-over-year impact of foreign currency movements using prior period foreign currency rates appli</w:t>
      </w:r>
      <w:r>
        <w:rPr>
          <w:rFonts w:ascii="Arial" w:eastAsia="宋体" w:hAnsi="Arial" w:cs="Arial"/>
          <w:color w:val="000000"/>
          <w:sz w:val="20"/>
          <w:szCs w:val="20"/>
        </w:rPr>
        <w:t xml:space="preserve">ed to current year transactional currency amounts. </w:t>
      </w:r>
    </w:p>
    <w:p w14:paraId="64A8A953" w14:textId="77777777" w:rsidR="008D6614" w:rsidRDefault="008D6614">
      <w:pPr>
        <w:ind w:firstLine="495"/>
        <w:jc w:val="both"/>
      </w:pPr>
    </w:p>
    <w:p w14:paraId="64A8A954" w14:textId="77777777" w:rsidR="008D6614" w:rsidRDefault="00866AF2">
      <w:pPr>
        <w:jc w:val="both"/>
      </w:pPr>
      <w:r>
        <w:rPr>
          <w:rFonts w:ascii="Arial" w:eastAsia="宋体" w:hAnsi="Arial" w:cs="Arial"/>
          <w:b/>
          <w:bCs/>
          <w:color w:val="000000"/>
          <w:sz w:val="20"/>
          <w:szCs w:val="20"/>
        </w:rPr>
        <w:t>Quarter Highlights</w:t>
      </w:r>
    </w:p>
    <w:p w14:paraId="64A8A955" w14:textId="77777777" w:rsidR="008D6614" w:rsidRDefault="008D6614">
      <w:pPr>
        <w:ind w:firstLine="540"/>
        <w:jc w:val="both"/>
      </w:pPr>
    </w:p>
    <w:p w14:paraId="64A8A956" w14:textId="77777777" w:rsidR="008D6614" w:rsidRDefault="00866AF2">
      <w:pPr>
        <w:ind w:firstLine="540"/>
        <w:jc w:val="both"/>
      </w:pPr>
      <w:r>
        <w:rPr>
          <w:rFonts w:ascii="Arial" w:eastAsia="宋体" w:hAnsi="Arial" w:cs="Arial"/>
          <w:color w:val="000000"/>
          <w:sz w:val="20"/>
          <w:szCs w:val="20"/>
        </w:rPr>
        <w:t>Net revenues decreased 2% to $2.4 billion during the three months ended March 31, 2020 compared to the same period in 2019. FX-Neutral net revenue increased 1% during the three months</w:t>
      </w:r>
      <w:r>
        <w:rPr>
          <w:rFonts w:ascii="Arial" w:eastAsia="宋体" w:hAnsi="Arial" w:cs="Arial"/>
          <w:color w:val="000000"/>
          <w:sz w:val="20"/>
          <w:szCs w:val="20"/>
        </w:rPr>
        <w:t xml:space="preserve"> ended March 31, 2020 compared to the same period in 2019. Operating margin increased to 26.5% for the three months ended March 31, 2020 compared to 24.6% for the same period in 2019. Diluted earnings per share from continuing operations increased to $0.64</w:t>
      </w:r>
      <w:r>
        <w:rPr>
          <w:rFonts w:ascii="Arial" w:eastAsia="宋体" w:hAnsi="Arial" w:cs="Arial"/>
          <w:color w:val="000000"/>
          <w:sz w:val="20"/>
          <w:szCs w:val="20"/>
        </w:rPr>
        <w:t xml:space="preserve"> during the three months ended March 31, 2020 compared to $0.57 in the same period in 2019. The sale of StubHub was completed for $4.1 billion of proceeds, subject to working capital adjustments, which was recorded within discontinued operations.</w:t>
      </w:r>
    </w:p>
    <w:p w14:paraId="64A8A957" w14:textId="77777777" w:rsidR="008D6614" w:rsidRDefault="008D6614">
      <w:pPr>
        <w:ind w:firstLine="540"/>
        <w:jc w:val="both"/>
      </w:pPr>
    </w:p>
    <w:p w14:paraId="64A8A958" w14:textId="77777777" w:rsidR="008D6614" w:rsidRDefault="00866AF2">
      <w:pPr>
        <w:ind w:firstLine="540"/>
        <w:jc w:val="both"/>
      </w:pPr>
      <w:r>
        <w:rPr>
          <w:rFonts w:ascii="Arial" w:eastAsia="宋体" w:hAnsi="Arial" w:cs="Arial"/>
          <w:color w:val="000000"/>
          <w:sz w:val="20"/>
          <w:szCs w:val="20"/>
        </w:rPr>
        <w:t>We gener</w:t>
      </w:r>
      <w:r>
        <w:rPr>
          <w:rFonts w:ascii="Arial" w:eastAsia="宋体" w:hAnsi="Arial" w:cs="Arial"/>
          <w:color w:val="000000"/>
          <w:sz w:val="20"/>
          <w:szCs w:val="20"/>
        </w:rPr>
        <w:t>ated cash flow from continuing operating activities of $702 million during the three months ended March 31, 2020 compared to $572 million in the same period in 2019. During the three months ended March 31, 2020, we</w:t>
      </w:r>
      <w:r>
        <w:rPr>
          <w:rFonts w:ascii="Arial" w:eastAsia="宋体" w:hAnsi="Arial" w:cs="Arial"/>
          <w:color w:val="000000"/>
          <w:sz w:val="20"/>
          <w:szCs w:val="20"/>
          <w:shd w:val="clear" w:color="auto" w:fill="FFFFFF"/>
        </w:rPr>
        <w:t xml:space="preserve"> issued debt of $1.0 billion and paid $4.0</w:t>
      </w:r>
      <w:r>
        <w:rPr>
          <w:rFonts w:ascii="Arial" w:eastAsia="宋体" w:hAnsi="Arial" w:cs="Arial"/>
          <w:color w:val="000000"/>
          <w:sz w:val="20"/>
          <w:szCs w:val="20"/>
          <w:shd w:val="clear" w:color="auto" w:fill="FFFFFF"/>
        </w:rPr>
        <w:t xml:space="preserve"> billion for repurchases of our common stock and paid $114 million in cash dividends. </w:t>
      </w:r>
    </w:p>
    <w:p w14:paraId="64A8A959" w14:textId="77777777" w:rsidR="008D6614" w:rsidRDefault="008D6614">
      <w:pPr>
        <w:ind w:firstLine="540"/>
        <w:jc w:val="both"/>
      </w:pPr>
    </w:p>
    <w:p w14:paraId="64A8A95A" w14:textId="77777777" w:rsidR="008D6614" w:rsidRDefault="00866AF2">
      <w:pPr>
        <w:jc w:val="both"/>
      </w:pPr>
      <w:r>
        <w:rPr>
          <w:rFonts w:ascii="Arial" w:eastAsia="宋体" w:hAnsi="Arial" w:cs="Arial"/>
          <w:b/>
          <w:bCs/>
          <w:color w:val="000000"/>
          <w:sz w:val="20"/>
          <w:szCs w:val="20"/>
        </w:rPr>
        <w:t>RESULTS OF OPERATIONS</w:t>
      </w:r>
    </w:p>
    <w:p w14:paraId="64A8A95B" w14:textId="77777777" w:rsidR="008D6614" w:rsidRDefault="008D6614">
      <w:pPr>
        <w:ind w:firstLine="540"/>
        <w:jc w:val="both"/>
      </w:pPr>
    </w:p>
    <w:p w14:paraId="64A8A95C" w14:textId="77777777" w:rsidR="008D6614" w:rsidRDefault="00866AF2">
      <w:pPr>
        <w:ind w:firstLine="540"/>
        <w:jc w:val="both"/>
      </w:pPr>
      <w:r>
        <w:rPr>
          <w:rFonts w:ascii="Arial" w:eastAsia="宋体" w:hAnsi="Arial" w:cs="Arial"/>
          <w:color w:val="000000"/>
          <w:sz w:val="20"/>
          <w:szCs w:val="20"/>
        </w:rPr>
        <w:t>We have two reportable segments to reflect the way management and our chief operating decision maker (“CODM”) review and assess performance of th</w:t>
      </w:r>
      <w:r>
        <w:rPr>
          <w:rFonts w:ascii="Arial" w:eastAsia="宋体" w:hAnsi="Arial" w:cs="Arial"/>
          <w:color w:val="000000"/>
          <w:sz w:val="20"/>
          <w:szCs w:val="20"/>
        </w:rPr>
        <w:t>e business. During the first quarter of 2020, we classified the results of our previous StubHub segment as discontinued operations in our condensed consolidated statement of income for all prior periods presented. Our two reportable segments are Marketplac</w:t>
      </w:r>
      <w:r>
        <w:rPr>
          <w:rFonts w:ascii="Arial" w:eastAsia="宋体" w:hAnsi="Arial" w:cs="Arial"/>
          <w:color w:val="000000"/>
          <w:sz w:val="20"/>
          <w:szCs w:val="20"/>
        </w:rPr>
        <w:t>e and Classifieds. Marketplace includes our online marketplace located at www.ebay.com, its localized counterparts and the eBay suite of mobile apps. Classifieds includes a collection of brands such as mobile.de, Kijiji, Gumtree, Marktplaats, eBay Kleinanz</w:t>
      </w:r>
      <w:r>
        <w:rPr>
          <w:rFonts w:ascii="Arial" w:eastAsia="宋体" w:hAnsi="Arial" w:cs="Arial"/>
          <w:color w:val="000000"/>
          <w:sz w:val="20"/>
          <w:szCs w:val="20"/>
        </w:rPr>
        <w:t>eigen and others. The accounting policies of our segments are the same as those described in “Note 1 – The Company and Summary of Significant Accounting Policies” in our condensed consolidated financial statements included elsewhere in this report. Prior p</w:t>
      </w:r>
      <w:r>
        <w:rPr>
          <w:rFonts w:ascii="Arial" w:eastAsia="宋体" w:hAnsi="Arial" w:cs="Arial"/>
          <w:color w:val="000000"/>
          <w:sz w:val="20"/>
          <w:szCs w:val="20"/>
        </w:rPr>
        <w:t xml:space="preserve">eriod segment information has been reclassified to conform to the current period segment presentation. </w:t>
      </w:r>
    </w:p>
    <w:p w14:paraId="64A8A95D" w14:textId="77777777" w:rsidR="008D6614" w:rsidRDefault="008D6614">
      <w:pPr>
        <w:jc w:val="center"/>
      </w:pPr>
    </w:p>
    <w:p w14:paraId="64A8A95E" w14:textId="77777777" w:rsidR="008D6614" w:rsidRDefault="00866AF2">
      <w:pPr>
        <w:jc w:val="center"/>
      </w:pPr>
      <w:r>
        <w:rPr>
          <w:rFonts w:ascii="Arial" w:eastAsia="宋体" w:hAnsi="Arial" w:cs="Arial"/>
          <w:color w:val="000000"/>
          <w:sz w:val="20"/>
          <w:szCs w:val="20"/>
        </w:rPr>
        <w:t>34</w:t>
      </w:r>
    </w:p>
    <w:p w14:paraId="64A8A95F" w14:textId="77777777" w:rsidR="008D6614" w:rsidRDefault="00866AF2">
      <w:r>
        <w:pict w14:anchorId="64A8B9FF">
          <v:rect id="_x0000_i1058" style="width:415.3pt;height:1.5pt" o:hralign="center" o:hrstd="t" o:hr="t" fillcolor="#a0a0a0" stroked="f"/>
        </w:pict>
      </w:r>
    </w:p>
    <w:p w14:paraId="64A8A960" w14:textId="77777777" w:rsidR="008D6614" w:rsidRDefault="008D6614"/>
    <w:p w14:paraId="64A8A961" w14:textId="77777777" w:rsidR="008D6614" w:rsidRDefault="008D6614">
      <w:pPr>
        <w:jc w:val="both"/>
      </w:pPr>
    </w:p>
    <w:p w14:paraId="64A8A962" w14:textId="77777777" w:rsidR="008D6614" w:rsidRDefault="00866AF2">
      <w:pPr>
        <w:jc w:val="both"/>
      </w:pPr>
      <w:r>
        <w:rPr>
          <w:rFonts w:ascii="Arial" w:eastAsia="宋体" w:hAnsi="Arial" w:cs="Arial"/>
          <w:b/>
          <w:bCs/>
          <w:color w:val="000000"/>
          <w:sz w:val="20"/>
          <w:szCs w:val="20"/>
        </w:rPr>
        <w:t>Net Revenues</w:t>
      </w:r>
    </w:p>
    <w:p w14:paraId="64A8A963" w14:textId="77777777" w:rsidR="008D6614" w:rsidRDefault="008D6614">
      <w:pPr>
        <w:ind w:firstLine="270"/>
        <w:jc w:val="both"/>
      </w:pPr>
    </w:p>
    <w:p w14:paraId="64A8A964" w14:textId="77777777" w:rsidR="008D6614" w:rsidRDefault="00866AF2">
      <w:pPr>
        <w:ind w:firstLine="270"/>
        <w:jc w:val="both"/>
      </w:pPr>
      <w:r>
        <w:rPr>
          <w:rFonts w:ascii="Arial" w:eastAsia="宋体" w:hAnsi="Arial" w:cs="Arial"/>
          <w:b/>
          <w:bCs/>
          <w:color w:val="000000"/>
          <w:sz w:val="20"/>
          <w:szCs w:val="20"/>
        </w:rPr>
        <w:t>Seasonality</w:t>
      </w:r>
    </w:p>
    <w:p w14:paraId="64A8A965" w14:textId="77777777" w:rsidR="008D6614" w:rsidRDefault="008D6614">
      <w:pPr>
        <w:ind w:hanging="90"/>
        <w:jc w:val="both"/>
      </w:pPr>
    </w:p>
    <w:p w14:paraId="64A8A966" w14:textId="77777777" w:rsidR="008D6614" w:rsidRDefault="00866AF2">
      <w:pPr>
        <w:ind w:firstLine="540"/>
        <w:jc w:val="both"/>
      </w:pPr>
      <w:r>
        <w:rPr>
          <w:rFonts w:ascii="Arial" w:eastAsia="宋体" w:hAnsi="Arial" w:cs="Arial"/>
          <w:color w:val="000000"/>
          <w:sz w:val="20"/>
          <w:szCs w:val="20"/>
        </w:rPr>
        <w:t xml:space="preserve">We expect transaction activity patterns on our platforms to mirror general consumer buying patterns and expect </w:t>
      </w:r>
      <w:r>
        <w:rPr>
          <w:rFonts w:ascii="Arial" w:eastAsia="宋体" w:hAnsi="Arial" w:cs="Arial"/>
          <w:color w:val="000000"/>
          <w:sz w:val="20"/>
          <w:szCs w:val="20"/>
        </w:rPr>
        <w:t>that these trends will continue. All of our segments have seasonal cadences that impact their revenues and margins. The following table sets forth sequential quarterly movements of our total net revenues for the periods presented (in millions, except perce</w:t>
      </w:r>
      <w:r>
        <w:rPr>
          <w:rFonts w:ascii="Arial" w:eastAsia="宋体" w:hAnsi="Arial" w:cs="Arial"/>
          <w:color w:val="000000"/>
          <w:sz w:val="20"/>
          <w:szCs w:val="20"/>
        </w:rPr>
        <w:t>ntages):</w:t>
      </w:r>
    </w:p>
    <w:p w14:paraId="64A8A967" w14:textId="77777777" w:rsidR="008D6614" w:rsidRDefault="008D6614">
      <w:pPr>
        <w:ind w:firstLine="540"/>
        <w:jc w:val="both"/>
      </w:pPr>
    </w:p>
    <w:tbl>
      <w:tblPr>
        <w:tblW w:w="4993" w:type="pct"/>
        <w:tblCellMar>
          <w:top w:w="15" w:type="dxa"/>
          <w:left w:w="15" w:type="dxa"/>
          <w:bottom w:w="15" w:type="dxa"/>
          <w:right w:w="15" w:type="dxa"/>
        </w:tblCellMar>
        <w:tblLook w:val="04A0" w:firstRow="1" w:lastRow="0" w:firstColumn="1" w:lastColumn="0" w:noHBand="0" w:noVBand="1"/>
      </w:tblPr>
      <w:tblGrid>
        <w:gridCol w:w="38"/>
        <w:gridCol w:w="3331"/>
        <w:gridCol w:w="36"/>
        <w:gridCol w:w="124"/>
        <w:gridCol w:w="711"/>
        <w:gridCol w:w="178"/>
        <w:gridCol w:w="36"/>
        <w:gridCol w:w="36"/>
        <w:gridCol w:w="36"/>
        <w:gridCol w:w="124"/>
        <w:gridCol w:w="674"/>
        <w:gridCol w:w="178"/>
        <w:gridCol w:w="36"/>
        <w:gridCol w:w="36"/>
        <w:gridCol w:w="36"/>
        <w:gridCol w:w="124"/>
        <w:gridCol w:w="676"/>
        <w:gridCol w:w="178"/>
        <w:gridCol w:w="36"/>
        <w:gridCol w:w="36"/>
        <w:gridCol w:w="36"/>
        <w:gridCol w:w="124"/>
        <w:gridCol w:w="678"/>
        <w:gridCol w:w="178"/>
        <w:gridCol w:w="36"/>
        <w:gridCol w:w="36"/>
        <w:gridCol w:w="36"/>
        <w:gridCol w:w="36"/>
        <w:gridCol w:w="36"/>
        <w:gridCol w:w="36"/>
        <w:gridCol w:w="36"/>
        <w:gridCol w:w="36"/>
        <w:gridCol w:w="36"/>
        <w:gridCol w:w="36"/>
        <w:gridCol w:w="36"/>
        <w:gridCol w:w="36"/>
        <w:gridCol w:w="36"/>
        <w:gridCol w:w="36"/>
        <w:gridCol w:w="36"/>
        <w:gridCol w:w="36"/>
        <w:gridCol w:w="36"/>
        <w:gridCol w:w="36"/>
      </w:tblGrid>
      <w:tr w:rsidR="008D6614" w14:paraId="64A8A980" w14:textId="77777777">
        <w:trPr>
          <w:gridAfter w:val="18"/>
        </w:trPr>
        <w:tc>
          <w:tcPr>
            <w:tcW w:w="50" w:type="pct"/>
            <w:shd w:val="clear" w:color="auto" w:fill="auto"/>
            <w:vAlign w:val="center"/>
          </w:tcPr>
          <w:p w14:paraId="64A8A968" w14:textId="77777777" w:rsidR="008D6614" w:rsidRDefault="008D6614">
            <w:pPr>
              <w:rPr>
                <w:rFonts w:ascii="宋体"/>
              </w:rPr>
            </w:pPr>
          </w:p>
        </w:tc>
        <w:tc>
          <w:tcPr>
            <w:tcW w:w="2242" w:type="pct"/>
            <w:shd w:val="clear" w:color="auto" w:fill="auto"/>
            <w:vAlign w:val="center"/>
          </w:tcPr>
          <w:p w14:paraId="64A8A969" w14:textId="77777777" w:rsidR="008D6614" w:rsidRDefault="008D6614">
            <w:pPr>
              <w:rPr>
                <w:rFonts w:ascii="宋体"/>
              </w:rPr>
            </w:pPr>
          </w:p>
        </w:tc>
        <w:tc>
          <w:tcPr>
            <w:tcW w:w="50" w:type="pct"/>
            <w:shd w:val="clear" w:color="auto" w:fill="auto"/>
            <w:vAlign w:val="center"/>
          </w:tcPr>
          <w:p w14:paraId="64A8A96A" w14:textId="77777777" w:rsidR="008D6614" w:rsidRDefault="008D6614">
            <w:pPr>
              <w:rPr>
                <w:rFonts w:ascii="宋体"/>
              </w:rPr>
            </w:pPr>
          </w:p>
        </w:tc>
        <w:tc>
          <w:tcPr>
            <w:tcW w:w="50" w:type="pct"/>
            <w:shd w:val="clear" w:color="auto" w:fill="auto"/>
            <w:vAlign w:val="center"/>
          </w:tcPr>
          <w:p w14:paraId="64A8A96B" w14:textId="77777777" w:rsidR="008D6614" w:rsidRDefault="008D6614">
            <w:pPr>
              <w:rPr>
                <w:rFonts w:ascii="宋体"/>
              </w:rPr>
            </w:pPr>
          </w:p>
        </w:tc>
        <w:tc>
          <w:tcPr>
            <w:tcW w:w="536" w:type="pct"/>
            <w:shd w:val="clear" w:color="auto" w:fill="auto"/>
            <w:vAlign w:val="center"/>
          </w:tcPr>
          <w:p w14:paraId="64A8A96C" w14:textId="77777777" w:rsidR="008D6614" w:rsidRDefault="008D6614">
            <w:pPr>
              <w:rPr>
                <w:rFonts w:ascii="宋体"/>
              </w:rPr>
            </w:pPr>
          </w:p>
        </w:tc>
        <w:tc>
          <w:tcPr>
            <w:tcW w:w="50" w:type="pct"/>
            <w:shd w:val="clear" w:color="auto" w:fill="auto"/>
            <w:vAlign w:val="center"/>
          </w:tcPr>
          <w:p w14:paraId="64A8A96D" w14:textId="77777777" w:rsidR="008D6614" w:rsidRDefault="008D6614">
            <w:pPr>
              <w:rPr>
                <w:rFonts w:ascii="宋体"/>
              </w:rPr>
            </w:pPr>
          </w:p>
        </w:tc>
        <w:tc>
          <w:tcPr>
            <w:tcW w:w="5" w:type="pct"/>
            <w:shd w:val="clear" w:color="auto" w:fill="auto"/>
            <w:vAlign w:val="center"/>
          </w:tcPr>
          <w:p w14:paraId="64A8A96E" w14:textId="77777777" w:rsidR="008D6614" w:rsidRDefault="008D6614">
            <w:pPr>
              <w:rPr>
                <w:rFonts w:ascii="宋体"/>
              </w:rPr>
            </w:pPr>
          </w:p>
        </w:tc>
        <w:tc>
          <w:tcPr>
            <w:tcW w:w="26" w:type="pct"/>
            <w:shd w:val="clear" w:color="auto" w:fill="auto"/>
            <w:vAlign w:val="center"/>
          </w:tcPr>
          <w:p w14:paraId="64A8A96F" w14:textId="77777777" w:rsidR="008D6614" w:rsidRDefault="008D6614">
            <w:pPr>
              <w:rPr>
                <w:rFonts w:ascii="宋体"/>
              </w:rPr>
            </w:pPr>
          </w:p>
        </w:tc>
        <w:tc>
          <w:tcPr>
            <w:tcW w:w="5" w:type="pct"/>
            <w:shd w:val="clear" w:color="auto" w:fill="auto"/>
            <w:vAlign w:val="center"/>
          </w:tcPr>
          <w:p w14:paraId="64A8A970" w14:textId="77777777" w:rsidR="008D6614" w:rsidRDefault="008D6614">
            <w:pPr>
              <w:rPr>
                <w:rFonts w:ascii="宋体"/>
              </w:rPr>
            </w:pPr>
          </w:p>
        </w:tc>
        <w:tc>
          <w:tcPr>
            <w:tcW w:w="50" w:type="pct"/>
            <w:shd w:val="clear" w:color="auto" w:fill="auto"/>
            <w:vAlign w:val="center"/>
          </w:tcPr>
          <w:p w14:paraId="64A8A971" w14:textId="77777777" w:rsidR="008D6614" w:rsidRDefault="008D6614">
            <w:pPr>
              <w:rPr>
                <w:rFonts w:ascii="宋体"/>
              </w:rPr>
            </w:pPr>
          </w:p>
        </w:tc>
        <w:tc>
          <w:tcPr>
            <w:tcW w:w="536" w:type="pct"/>
            <w:shd w:val="clear" w:color="auto" w:fill="auto"/>
            <w:vAlign w:val="center"/>
          </w:tcPr>
          <w:p w14:paraId="64A8A972" w14:textId="77777777" w:rsidR="008D6614" w:rsidRDefault="008D6614">
            <w:pPr>
              <w:rPr>
                <w:rFonts w:ascii="宋体"/>
              </w:rPr>
            </w:pPr>
          </w:p>
        </w:tc>
        <w:tc>
          <w:tcPr>
            <w:tcW w:w="50" w:type="pct"/>
            <w:shd w:val="clear" w:color="auto" w:fill="auto"/>
            <w:vAlign w:val="center"/>
          </w:tcPr>
          <w:p w14:paraId="64A8A973" w14:textId="77777777" w:rsidR="008D6614" w:rsidRDefault="008D6614">
            <w:pPr>
              <w:rPr>
                <w:rFonts w:ascii="宋体"/>
              </w:rPr>
            </w:pPr>
          </w:p>
        </w:tc>
        <w:tc>
          <w:tcPr>
            <w:tcW w:w="5" w:type="pct"/>
            <w:shd w:val="clear" w:color="auto" w:fill="auto"/>
            <w:vAlign w:val="center"/>
          </w:tcPr>
          <w:p w14:paraId="64A8A974" w14:textId="77777777" w:rsidR="008D6614" w:rsidRDefault="008D6614">
            <w:pPr>
              <w:rPr>
                <w:rFonts w:ascii="宋体"/>
              </w:rPr>
            </w:pPr>
          </w:p>
        </w:tc>
        <w:tc>
          <w:tcPr>
            <w:tcW w:w="26" w:type="pct"/>
            <w:shd w:val="clear" w:color="auto" w:fill="auto"/>
            <w:vAlign w:val="center"/>
          </w:tcPr>
          <w:p w14:paraId="64A8A975" w14:textId="77777777" w:rsidR="008D6614" w:rsidRDefault="008D6614">
            <w:pPr>
              <w:rPr>
                <w:rFonts w:ascii="宋体"/>
              </w:rPr>
            </w:pPr>
          </w:p>
        </w:tc>
        <w:tc>
          <w:tcPr>
            <w:tcW w:w="5" w:type="pct"/>
            <w:shd w:val="clear" w:color="auto" w:fill="auto"/>
            <w:vAlign w:val="center"/>
          </w:tcPr>
          <w:p w14:paraId="64A8A976" w14:textId="77777777" w:rsidR="008D6614" w:rsidRDefault="008D6614">
            <w:pPr>
              <w:rPr>
                <w:rFonts w:ascii="宋体"/>
              </w:rPr>
            </w:pPr>
          </w:p>
        </w:tc>
        <w:tc>
          <w:tcPr>
            <w:tcW w:w="50" w:type="pct"/>
            <w:shd w:val="clear" w:color="auto" w:fill="auto"/>
            <w:vAlign w:val="center"/>
          </w:tcPr>
          <w:p w14:paraId="64A8A977" w14:textId="77777777" w:rsidR="008D6614" w:rsidRDefault="008D6614">
            <w:pPr>
              <w:rPr>
                <w:rFonts w:ascii="宋体"/>
              </w:rPr>
            </w:pPr>
          </w:p>
        </w:tc>
        <w:tc>
          <w:tcPr>
            <w:tcW w:w="536" w:type="pct"/>
            <w:shd w:val="clear" w:color="auto" w:fill="auto"/>
            <w:vAlign w:val="center"/>
          </w:tcPr>
          <w:p w14:paraId="64A8A978" w14:textId="77777777" w:rsidR="008D6614" w:rsidRDefault="008D6614">
            <w:pPr>
              <w:rPr>
                <w:rFonts w:ascii="宋体"/>
              </w:rPr>
            </w:pPr>
          </w:p>
        </w:tc>
        <w:tc>
          <w:tcPr>
            <w:tcW w:w="50" w:type="pct"/>
            <w:shd w:val="clear" w:color="auto" w:fill="auto"/>
            <w:vAlign w:val="center"/>
          </w:tcPr>
          <w:p w14:paraId="64A8A979" w14:textId="77777777" w:rsidR="008D6614" w:rsidRDefault="008D6614">
            <w:pPr>
              <w:rPr>
                <w:rFonts w:ascii="宋体"/>
              </w:rPr>
            </w:pPr>
          </w:p>
        </w:tc>
        <w:tc>
          <w:tcPr>
            <w:tcW w:w="5" w:type="pct"/>
            <w:shd w:val="clear" w:color="auto" w:fill="auto"/>
            <w:vAlign w:val="center"/>
          </w:tcPr>
          <w:p w14:paraId="64A8A97A" w14:textId="77777777" w:rsidR="008D6614" w:rsidRDefault="008D6614">
            <w:pPr>
              <w:rPr>
                <w:rFonts w:ascii="宋体"/>
              </w:rPr>
            </w:pPr>
          </w:p>
        </w:tc>
        <w:tc>
          <w:tcPr>
            <w:tcW w:w="26" w:type="pct"/>
            <w:shd w:val="clear" w:color="auto" w:fill="auto"/>
            <w:vAlign w:val="center"/>
          </w:tcPr>
          <w:p w14:paraId="64A8A97B" w14:textId="77777777" w:rsidR="008D6614" w:rsidRDefault="008D6614">
            <w:pPr>
              <w:rPr>
                <w:rFonts w:ascii="宋体"/>
              </w:rPr>
            </w:pPr>
          </w:p>
        </w:tc>
        <w:tc>
          <w:tcPr>
            <w:tcW w:w="5" w:type="pct"/>
            <w:shd w:val="clear" w:color="auto" w:fill="auto"/>
            <w:vAlign w:val="center"/>
          </w:tcPr>
          <w:p w14:paraId="64A8A97C" w14:textId="77777777" w:rsidR="008D6614" w:rsidRDefault="008D6614">
            <w:pPr>
              <w:rPr>
                <w:rFonts w:ascii="宋体"/>
              </w:rPr>
            </w:pPr>
          </w:p>
        </w:tc>
        <w:tc>
          <w:tcPr>
            <w:tcW w:w="50" w:type="pct"/>
            <w:shd w:val="clear" w:color="auto" w:fill="auto"/>
            <w:vAlign w:val="center"/>
          </w:tcPr>
          <w:p w14:paraId="64A8A97D" w14:textId="77777777" w:rsidR="008D6614" w:rsidRDefault="008D6614">
            <w:pPr>
              <w:rPr>
                <w:rFonts w:ascii="宋体"/>
              </w:rPr>
            </w:pPr>
          </w:p>
        </w:tc>
        <w:tc>
          <w:tcPr>
            <w:tcW w:w="537" w:type="pct"/>
            <w:shd w:val="clear" w:color="auto" w:fill="auto"/>
            <w:vAlign w:val="center"/>
          </w:tcPr>
          <w:p w14:paraId="64A8A97E" w14:textId="77777777" w:rsidR="008D6614" w:rsidRDefault="008D6614">
            <w:pPr>
              <w:rPr>
                <w:rFonts w:ascii="宋体"/>
              </w:rPr>
            </w:pPr>
          </w:p>
        </w:tc>
        <w:tc>
          <w:tcPr>
            <w:tcW w:w="50" w:type="pct"/>
            <w:shd w:val="clear" w:color="auto" w:fill="auto"/>
            <w:vAlign w:val="center"/>
          </w:tcPr>
          <w:p w14:paraId="64A8A97F" w14:textId="77777777" w:rsidR="008D6614" w:rsidRDefault="008D6614">
            <w:pPr>
              <w:rPr>
                <w:rFonts w:ascii="宋体"/>
              </w:rPr>
            </w:pPr>
          </w:p>
        </w:tc>
      </w:tr>
      <w:tr w:rsidR="008D6614" w14:paraId="64A8A989" w14:textId="77777777">
        <w:tc>
          <w:tcPr>
            <w:tcW w:w="0" w:type="auto"/>
            <w:gridSpan w:val="3"/>
            <w:shd w:val="clear" w:color="auto" w:fill="auto"/>
            <w:tcMar>
              <w:top w:w="40" w:type="dxa"/>
              <w:left w:w="20" w:type="dxa"/>
              <w:bottom w:w="40" w:type="dxa"/>
              <w:right w:w="20" w:type="dxa"/>
            </w:tcMar>
            <w:vAlign w:val="bottom"/>
          </w:tcPr>
          <w:p w14:paraId="64A8A981" w14:textId="77777777" w:rsidR="008D6614" w:rsidRDefault="00866AF2">
            <w:pPr>
              <w:textAlignment w:val="bottom"/>
            </w:pPr>
            <w:r>
              <w:rPr>
                <w:rFonts w:ascii="Arial" w:eastAsia="宋体" w:hAnsi="Arial" w:cs="Arial"/>
                <w:color w:val="000000"/>
                <w:sz w:val="14"/>
                <w:szCs w:val="14"/>
              </w:rPr>
              <w:t> </w:t>
            </w:r>
          </w:p>
        </w:tc>
        <w:tc>
          <w:tcPr>
            <w:tcW w:w="0" w:type="auto"/>
            <w:gridSpan w:val="21"/>
            <w:shd w:val="clear" w:color="auto" w:fill="auto"/>
            <w:tcMar>
              <w:top w:w="40" w:type="dxa"/>
              <w:left w:w="20" w:type="dxa"/>
              <w:bottom w:w="40" w:type="dxa"/>
              <w:right w:w="20" w:type="dxa"/>
            </w:tcMar>
            <w:vAlign w:val="bottom"/>
          </w:tcPr>
          <w:p w14:paraId="64A8A982" w14:textId="77777777" w:rsidR="008D6614" w:rsidRDefault="00866AF2">
            <w:pPr>
              <w:jc w:val="center"/>
              <w:textAlignment w:val="bottom"/>
            </w:pPr>
            <w:r>
              <w:rPr>
                <w:rFonts w:ascii="Arial" w:eastAsia="宋体" w:hAnsi="Arial" w:cs="Arial"/>
                <w:b/>
                <w:bCs/>
                <w:color w:val="000000"/>
                <w:sz w:val="14"/>
                <w:szCs w:val="14"/>
              </w:rPr>
              <w:t>Quarter Ended</w:t>
            </w:r>
          </w:p>
        </w:tc>
        <w:tc>
          <w:tcPr>
            <w:tcW w:w="0" w:type="auto"/>
            <w:gridSpan w:val="3"/>
            <w:shd w:val="clear" w:color="auto" w:fill="auto"/>
            <w:vAlign w:val="center"/>
          </w:tcPr>
          <w:p w14:paraId="64A8A983" w14:textId="77777777" w:rsidR="008D6614" w:rsidRDefault="008D6614">
            <w:pPr>
              <w:rPr>
                <w:rFonts w:ascii="宋体"/>
                <w:vanish/>
              </w:rPr>
            </w:pPr>
          </w:p>
        </w:tc>
        <w:tc>
          <w:tcPr>
            <w:tcW w:w="0" w:type="auto"/>
            <w:gridSpan w:val="3"/>
            <w:shd w:val="clear" w:color="auto" w:fill="auto"/>
            <w:vAlign w:val="center"/>
          </w:tcPr>
          <w:p w14:paraId="64A8A984" w14:textId="77777777" w:rsidR="008D6614" w:rsidRDefault="008D6614">
            <w:pPr>
              <w:rPr>
                <w:rFonts w:ascii="宋体"/>
                <w:vanish/>
              </w:rPr>
            </w:pPr>
          </w:p>
        </w:tc>
        <w:tc>
          <w:tcPr>
            <w:tcW w:w="0" w:type="auto"/>
            <w:gridSpan w:val="3"/>
            <w:shd w:val="clear" w:color="auto" w:fill="auto"/>
            <w:vAlign w:val="center"/>
          </w:tcPr>
          <w:p w14:paraId="64A8A985" w14:textId="77777777" w:rsidR="008D6614" w:rsidRDefault="008D6614">
            <w:pPr>
              <w:rPr>
                <w:rFonts w:ascii="宋体"/>
                <w:vanish/>
              </w:rPr>
            </w:pPr>
          </w:p>
        </w:tc>
        <w:tc>
          <w:tcPr>
            <w:tcW w:w="0" w:type="auto"/>
            <w:gridSpan w:val="3"/>
            <w:shd w:val="clear" w:color="auto" w:fill="auto"/>
            <w:vAlign w:val="center"/>
          </w:tcPr>
          <w:p w14:paraId="64A8A986" w14:textId="77777777" w:rsidR="008D6614" w:rsidRDefault="008D6614">
            <w:pPr>
              <w:rPr>
                <w:rFonts w:ascii="宋体"/>
                <w:vanish/>
              </w:rPr>
            </w:pPr>
          </w:p>
        </w:tc>
        <w:tc>
          <w:tcPr>
            <w:tcW w:w="0" w:type="auto"/>
            <w:gridSpan w:val="3"/>
            <w:shd w:val="clear" w:color="auto" w:fill="auto"/>
            <w:vAlign w:val="center"/>
          </w:tcPr>
          <w:p w14:paraId="64A8A987" w14:textId="77777777" w:rsidR="008D6614" w:rsidRDefault="008D6614">
            <w:pPr>
              <w:rPr>
                <w:rFonts w:ascii="宋体"/>
                <w:vanish/>
              </w:rPr>
            </w:pPr>
          </w:p>
        </w:tc>
        <w:tc>
          <w:tcPr>
            <w:tcW w:w="0" w:type="auto"/>
            <w:gridSpan w:val="3"/>
            <w:shd w:val="clear" w:color="auto" w:fill="auto"/>
            <w:vAlign w:val="center"/>
          </w:tcPr>
          <w:p w14:paraId="64A8A988" w14:textId="77777777" w:rsidR="008D6614" w:rsidRDefault="008D6614">
            <w:pPr>
              <w:rPr>
                <w:rFonts w:ascii="宋体"/>
                <w:vanish/>
              </w:rPr>
            </w:pPr>
          </w:p>
        </w:tc>
      </w:tr>
      <w:tr w:rsidR="008D6614" w14:paraId="64A8A9A4" w14:textId="77777777">
        <w:tc>
          <w:tcPr>
            <w:tcW w:w="0" w:type="auto"/>
            <w:gridSpan w:val="3"/>
            <w:shd w:val="clear" w:color="auto" w:fill="auto"/>
            <w:tcMar>
              <w:top w:w="40" w:type="dxa"/>
              <w:left w:w="20" w:type="dxa"/>
              <w:bottom w:w="40" w:type="dxa"/>
              <w:right w:w="20" w:type="dxa"/>
            </w:tcMar>
            <w:vAlign w:val="bottom"/>
          </w:tcPr>
          <w:p w14:paraId="64A8A98A" w14:textId="77777777" w:rsidR="008D6614" w:rsidRDefault="00866AF2">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98B" w14:textId="77777777" w:rsidR="008D6614" w:rsidRDefault="00866AF2">
            <w:pPr>
              <w:jc w:val="center"/>
              <w:textAlignment w:val="bottom"/>
            </w:pPr>
            <w:r>
              <w:rPr>
                <w:rFonts w:ascii="Arial" w:eastAsia="宋体" w:hAnsi="Arial" w:cs="Arial"/>
                <w:b/>
                <w:bCs/>
                <w:color w:val="000000"/>
                <w:sz w:val="14"/>
                <w:szCs w:val="14"/>
              </w:rPr>
              <w:t>March 31</w:t>
            </w:r>
          </w:p>
        </w:tc>
        <w:tc>
          <w:tcPr>
            <w:tcW w:w="0" w:type="auto"/>
            <w:gridSpan w:val="3"/>
            <w:tcBorders>
              <w:top w:val="single" w:sz="8" w:space="0" w:color="000000"/>
            </w:tcBorders>
            <w:shd w:val="clear" w:color="auto" w:fill="auto"/>
            <w:tcMar>
              <w:left w:w="20" w:type="dxa"/>
              <w:right w:w="20" w:type="dxa"/>
            </w:tcMar>
            <w:vAlign w:val="bottom"/>
          </w:tcPr>
          <w:p w14:paraId="64A8A98C"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98D" w14:textId="77777777" w:rsidR="008D6614" w:rsidRDefault="00866AF2">
            <w:pPr>
              <w:jc w:val="center"/>
              <w:textAlignment w:val="bottom"/>
            </w:pPr>
            <w:r>
              <w:rPr>
                <w:rFonts w:ascii="Arial" w:eastAsia="宋体" w:hAnsi="Arial" w:cs="Arial"/>
                <w:b/>
                <w:bCs/>
                <w:color w:val="000000"/>
                <w:sz w:val="14"/>
                <w:szCs w:val="14"/>
              </w:rPr>
              <w:t>June 30</w:t>
            </w:r>
          </w:p>
        </w:tc>
        <w:tc>
          <w:tcPr>
            <w:tcW w:w="0" w:type="auto"/>
            <w:gridSpan w:val="3"/>
            <w:tcBorders>
              <w:top w:val="single" w:sz="8" w:space="0" w:color="000000"/>
            </w:tcBorders>
            <w:shd w:val="clear" w:color="auto" w:fill="auto"/>
            <w:tcMar>
              <w:left w:w="20" w:type="dxa"/>
              <w:right w:w="20" w:type="dxa"/>
            </w:tcMar>
            <w:vAlign w:val="bottom"/>
          </w:tcPr>
          <w:p w14:paraId="64A8A98E"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98F" w14:textId="77777777" w:rsidR="008D6614" w:rsidRDefault="00866AF2">
            <w:pPr>
              <w:jc w:val="center"/>
              <w:textAlignment w:val="bottom"/>
            </w:pPr>
            <w:r>
              <w:rPr>
                <w:rFonts w:ascii="Arial" w:eastAsia="宋体" w:hAnsi="Arial" w:cs="Arial"/>
                <w:b/>
                <w:bCs/>
                <w:color w:val="000000"/>
                <w:sz w:val="14"/>
                <w:szCs w:val="14"/>
              </w:rPr>
              <w:t>September 30</w:t>
            </w:r>
          </w:p>
        </w:tc>
        <w:tc>
          <w:tcPr>
            <w:tcW w:w="0" w:type="auto"/>
            <w:gridSpan w:val="3"/>
            <w:tcBorders>
              <w:top w:val="single" w:sz="8" w:space="0" w:color="000000"/>
            </w:tcBorders>
            <w:shd w:val="clear" w:color="auto" w:fill="auto"/>
            <w:tcMar>
              <w:left w:w="20" w:type="dxa"/>
              <w:right w:w="20" w:type="dxa"/>
            </w:tcMar>
            <w:vAlign w:val="bottom"/>
          </w:tcPr>
          <w:p w14:paraId="64A8A990"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991" w14:textId="77777777" w:rsidR="008D6614" w:rsidRDefault="00866AF2">
            <w:pPr>
              <w:jc w:val="center"/>
              <w:textAlignment w:val="bottom"/>
            </w:pPr>
            <w:r>
              <w:rPr>
                <w:rFonts w:ascii="Arial" w:eastAsia="宋体" w:hAnsi="Arial" w:cs="Arial"/>
                <w:b/>
                <w:bCs/>
                <w:color w:val="000000"/>
                <w:sz w:val="14"/>
                <w:szCs w:val="14"/>
              </w:rPr>
              <w:t>December 31</w:t>
            </w:r>
          </w:p>
        </w:tc>
        <w:tc>
          <w:tcPr>
            <w:tcW w:w="0" w:type="auto"/>
            <w:shd w:val="clear" w:color="auto" w:fill="auto"/>
            <w:vAlign w:val="center"/>
          </w:tcPr>
          <w:p w14:paraId="64A8A992" w14:textId="77777777" w:rsidR="008D6614" w:rsidRDefault="008D6614">
            <w:pPr>
              <w:rPr>
                <w:rFonts w:ascii="宋体"/>
              </w:rPr>
            </w:pPr>
          </w:p>
        </w:tc>
        <w:tc>
          <w:tcPr>
            <w:tcW w:w="0" w:type="auto"/>
            <w:shd w:val="clear" w:color="auto" w:fill="auto"/>
            <w:vAlign w:val="center"/>
          </w:tcPr>
          <w:p w14:paraId="64A8A993" w14:textId="77777777" w:rsidR="008D6614" w:rsidRDefault="008D6614">
            <w:pPr>
              <w:rPr>
                <w:rFonts w:ascii="宋体"/>
              </w:rPr>
            </w:pPr>
          </w:p>
        </w:tc>
        <w:tc>
          <w:tcPr>
            <w:tcW w:w="0" w:type="auto"/>
            <w:shd w:val="clear" w:color="auto" w:fill="auto"/>
            <w:vAlign w:val="center"/>
          </w:tcPr>
          <w:p w14:paraId="64A8A994" w14:textId="77777777" w:rsidR="008D6614" w:rsidRDefault="008D6614">
            <w:pPr>
              <w:rPr>
                <w:rFonts w:ascii="宋体"/>
              </w:rPr>
            </w:pPr>
          </w:p>
        </w:tc>
        <w:tc>
          <w:tcPr>
            <w:tcW w:w="0" w:type="auto"/>
            <w:shd w:val="clear" w:color="auto" w:fill="auto"/>
            <w:vAlign w:val="center"/>
          </w:tcPr>
          <w:p w14:paraId="64A8A995" w14:textId="77777777" w:rsidR="008D6614" w:rsidRDefault="008D6614">
            <w:pPr>
              <w:rPr>
                <w:rFonts w:ascii="宋体"/>
              </w:rPr>
            </w:pPr>
          </w:p>
        </w:tc>
        <w:tc>
          <w:tcPr>
            <w:tcW w:w="0" w:type="auto"/>
            <w:shd w:val="clear" w:color="auto" w:fill="auto"/>
            <w:vAlign w:val="center"/>
          </w:tcPr>
          <w:p w14:paraId="64A8A996" w14:textId="77777777" w:rsidR="008D6614" w:rsidRDefault="008D6614">
            <w:pPr>
              <w:rPr>
                <w:rFonts w:ascii="宋体"/>
              </w:rPr>
            </w:pPr>
          </w:p>
        </w:tc>
        <w:tc>
          <w:tcPr>
            <w:tcW w:w="0" w:type="auto"/>
            <w:shd w:val="clear" w:color="auto" w:fill="auto"/>
            <w:vAlign w:val="center"/>
          </w:tcPr>
          <w:p w14:paraId="64A8A997" w14:textId="77777777" w:rsidR="008D6614" w:rsidRDefault="008D6614">
            <w:pPr>
              <w:rPr>
                <w:rFonts w:ascii="宋体"/>
              </w:rPr>
            </w:pPr>
          </w:p>
        </w:tc>
        <w:tc>
          <w:tcPr>
            <w:tcW w:w="0" w:type="auto"/>
            <w:shd w:val="clear" w:color="auto" w:fill="auto"/>
            <w:vAlign w:val="center"/>
          </w:tcPr>
          <w:p w14:paraId="64A8A998" w14:textId="77777777" w:rsidR="008D6614" w:rsidRDefault="008D6614">
            <w:pPr>
              <w:rPr>
                <w:rFonts w:ascii="宋体"/>
              </w:rPr>
            </w:pPr>
          </w:p>
        </w:tc>
        <w:tc>
          <w:tcPr>
            <w:tcW w:w="0" w:type="auto"/>
            <w:shd w:val="clear" w:color="auto" w:fill="auto"/>
            <w:vAlign w:val="center"/>
          </w:tcPr>
          <w:p w14:paraId="64A8A999" w14:textId="77777777" w:rsidR="008D6614" w:rsidRDefault="008D6614">
            <w:pPr>
              <w:rPr>
                <w:rFonts w:ascii="宋体"/>
              </w:rPr>
            </w:pPr>
          </w:p>
        </w:tc>
        <w:tc>
          <w:tcPr>
            <w:tcW w:w="0" w:type="auto"/>
            <w:shd w:val="clear" w:color="auto" w:fill="auto"/>
            <w:vAlign w:val="center"/>
          </w:tcPr>
          <w:p w14:paraId="64A8A99A" w14:textId="77777777" w:rsidR="008D6614" w:rsidRDefault="008D6614">
            <w:pPr>
              <w:rPr>
                <w:rFonts w:ascii="宋体"/>
              </w:rPr>
            </w:pPr>
          </w:p>
        </w:tc>
        <w:tc>
          <w:tcPr>
            <w:tcW w:w="0" w:type="auto"/>
            <w:shd w:val="clear" w:color="auto" w:fill="auto"/>
            <w:vAlign w:val="center"/>
          </w:tcPr>
          <w:p w14:paraId="64A8A99B" w14:textId="77777777" w:rsidR="008D6614" w:rsidRDefault="008D6614">
            <w:pPr>
              <w:rPr>
                <w:rFonts w:ascii="宋体"/>
              </w:rPr>
            </w:pPr>
          </w:p>
        </w:tc>
        <w:tc>
          <w:tcPr>
            <w:tcW w:w="0" w:type="auto"/>
            <w:shd w:val="clear" w:color="auto" w:fill="auto"/>
            <w:vAlign w:val="center"/>
          </w:tcPr>
          <w:p w14:paraId="64A8A99C" w14:textId="77777777" w:rsidR="008D6614" w:rsidRDefault="008D6614">
            <w:pPr>
              <w:rPr>
                <w:rFonts w:ascii="宋体"/>
              </w:rPr>
            </w:pPr>
          </w:p>
        </w:tc>
        <w:tc>
          <w:tcPr>
            <w:tcW w:w="0" w:type="auto"/>
            <w:shd w:val="clear" w:color="auto" w:fill="auto"/>
            <w:vAlign w:val="center"/>
          </w:tcPr>
          <w:p w14:paraId="64A8A99D" w14:textId="77777777" w:rsidR="008D6614" w:rsidRDefault="008D6614">
            <w:pPr>
              <w:rPr>
                <w:rFonts w:ascii="宋体"/>
              </w:rPr>
            </w:pPr>
          </w:p>
        </w:tc>
        <w:tc>
          <w:tcPr>
            <w:tcW w:w="0" w:type="auto"/>
            <w:shd w:val="clear" w:color="auto" w:fill="auto"/>
            <w:vAlign w:val="center"/>
          </w:tcPr>
          <w:p w14:paraId="64A8A99E" w14:textId="77777777" w:rsidR="008D6614" w:rsidRDefault="008D6614">
            <w:pPr>
              <w:rPr>
                <w:rFonts w:ascii="宋体"/>
              </w:rPr>
            </w:pPr>
          </w:p>
        </w:tc>
        <w:tc>
          <w:tcPr>
            <w:tcW w:w="0" w:type="auto"/>
            <w:shd w:val="clear" w:color="auto" w:fill="auto"/>
            <w:vAlign w:val="center"/>
          </w:tcPr>
          <w:p w14:paraId="64A8A99F" w14:textId="77777777" w:rsidR="008D6614" w:rsidRDefault="008D6614">
            <w:pPr>
              <w:rPr>
                <w:rFonts w:ascii="宋体"/>
              </w:rPr>
            </w:pPr>
          </w:p>
        </w:tc>
        <w:tc>
          <w:tcPr>
            <w:tcW w:w="0" w:type="auto"/>
            <w:shd w:val="clear" w:color="auto" w:fill="auto"/>
            <w:vAlign w:val="center"/>
          </w:tcPr>
          <w:p w14:paraId="64A8A9A0" w14:textId="77777777" w:rsidR="008D6614" w:rsidRDefault="008D6614">
            <w:pPr>
              <w:rPr>
                <w:rFonts w:ascii="宋体"/>
              </w:rPr>
            </w:pPr>
          </w:p>
        </w:tc>
        <w:tc>
          <w:tcPr>
            <w:tcW w:w="0" w:type="auto"/>
            <w:shd w:val="clear" w:color="auto" w:fill="auto"/>
            <w:vAlign w:val="center"/>
          </w:tcPr>
          <w:p w14:paraId="64A8A9A1" w14:textId="77777777" w:rsidR="008D6614" w:rsidRDefault="008D6614">
            <w:pPr>
              <w:rPr>
                <w:rFonts w:ascii="宋体"/>
              </w:rPr>
            </w:pPr>
          </w:p>
        </w:tc>
        <w:tc>
          <w:tcPr>
            <w:tcW w:w="0" w:type="auto"/>
            <w:shd w:val="clear" w:color="auto" w:fill="auto"/>
            <w:vAlign w:val="center"/>
          </w:tcPr>
          <w:p w14:paraId="64A8A9A2" w14:textId="77777777" w:rsidR="008D6614" w:rsidRDefault="008D6614">
            <w:pPr>
              <w:rPr>
                <w:rFonts w:ascii="宋体"/>
              </w:rPr>
            </w:pPr>
          </w:p>
        </w:tc>
        <w:tc>
          <w:tcPr>
            <w:tcW w:w="0" w:type="auto"/>
            <w:shd w:val="clear" w:color="auto" w:fill="auto"/>
            <w:vAlign w:val="center"/>
          </w:tcPr>
          <w:p w14:paraId="64A8A9A3" w14:textId="77777777" w:rsidR="008D6614" w:rsidRDefault="008D6614">
            <w:pPr>
              <w:rPr>
                <w:rFonts w:ascii="宋体"/>
              </w:rPr>
            </w:pPr>
          </w:p>
        </w:tc>
      </w:tr>
      <w:tr w:rsidR="008D6614" w14:paraId="64A8A9BF" w14:textId="77777777">
        <w:tc>
          <w:tcPr>
            <w:tcW w:w="0" w:type="auto"/>
            <w:gridSpan w:val="3"/>
            <w:shd w:val="clear" w:color="auto" w:fill="auto"/>
            <w:tcMar>
              <w:top w:w="40" w:type="dxa"/>
              <w:left w:w="20" w:type="dxa"/>
              <w:bottom w:w="40" w:type="dxa"/>
              <w:right w:w="20" w:type="dxa"/>
            </w:tcMar>
            <w:vAlign w:val="bottom"/>
          </w:tcPr>
          <w:p w14:paraId="64A8A9A5" w14:textId="77777777" w:rsidR="008D6614" w:rsidRDefault="00866AF2">
            <w:pPr>
              <w:textAlignment w:val="bottom"/>
            </w:pPr>
            <w:r>
              <w:rPr>
                <w:rFonts w:ascii="Arial" w:eastAsia="宋体" w:hAnsi="Arial" w:cs="Arial"/>
                <w:b/>
                <w:bCs/>
                <w:color w:val="000000"/>
                <w:sz w:val="16"/>
                <w:szCs w:val="16"/>
              </w:rPr>
              <w:t>2</w:t>
            </w:r>
            <w:r>
              <w:rPr>
                <w:rFonts w:ascii="Arial" w:eastAsia="宋体" w:hAnsi="Arial" w:cs="Arial"/>
                <w:b/>
                <w:bCs/>
                <w:color w:val="000000"/>
                <w:sz w:val="16"/>
                <w:szCs w:val="16"/>
              </w:rPr>
              <w:t>018</w:t>
            </w:r>
          </w:p>
        </w:tc>
        <w:tc>
          <w:tcPr>
            <w:tcW w:w="0" w:type="auto"/>
            <w:gridSpan w:val="3"/>
            <w:tcBorders>
              <w:top w:val="single" w:sz="8" w:space="0" w:color="000000"/>
            </w:tcBorders>
            <w:shd w:val="clear" w:color="auto" w:fill="auto"/>
            <w:tcMar>
              <w:left w:w="20" w:type="dxa"/>
              <w:right w:w="20" w:type="dxa"/>
            </w:tcMar>
            <w:vAlign w:val="bottom"/>
          </w:tcPr>
          <w:p w14:paraId="64A8A9A6"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9A7" w14:textId="77777777" w:rsidR="008D6614" w:rsidRDefault="008D661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64A8A9A8"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9A9" w14:textId="77777777" w:rsidR="008D6614" w:rsidRDefault="008D661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64A8A9AA"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A9AB" w14:textId="77777777" w:rsidR="008D6614" w:rsidRDefault="008D661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64A8A9AC" w14:textId="77777777" w:rsidR="008D6614" w:rsidRDefault="008D6614">
            <w:pPr>
              <w:rPr>
                <w:rFonts w:ascii="宋体"/>
              </w:rPr>
            </w:pPr>
          </w:p>
        </w:tc>
        <w:tc>
          <w:tcPr>
            <w:tcW w:w="0" w:type="auto"/>
            <w:shd w:val="clear" w:color="auto" w:fill="auto"/>
            <w:vAlign w:val="center"/>
          </w:tcPr>
          <w:p w14:paraId="64A8A9AD" w14:textId="77777777" w:rsidR="008D6614" w:rsidRDefault="008D6614">
            <w:pPr>
              <w:rPr>
                <w:rFonts w:ascii="宋体"/>
              </w:rPr>
            </w:pPr>
          </w:p>
        </w:tc>
        <w:tc>
          <w:tcPr>
            <w:tcW w:w="0" w:type="auto"/>
            <w:shd w:val="clear" w:color="auto" w:fill="auto"/>
            <w:vAlign w:val="center"/>
          </w:tcPr>
          <w:p w14:paraId="64A8A9AE" w14:textId="77777777" w:rsidR="008D6614" w:rsidRDefault="008D6614">
            <w:pPr>
              <w:rPr>
                <w:rFonts w:ascii="宋体"/>
              </w:rPr>
            </w:pPr>
          </w:p>
        </w:tc>
        <w:tc>
          <w:tcPr>
            <w:tcW w:w="0" w:type="auto"/>
            <w:shd w:val="clear" w:color="auto" w:fill="auto"/>
            <w:vAlign w:val="center"/>
          </w:tcPr>
          <w:p w14:paraId="64A8A9AF" w14:textId="77777777" w:rsidR="008D6614" w:rsidRDefault="008D6614">
            <w:pPr>
              <w:rPr>
                <w:rFonts w:ascii="宋体"/>
              </w:rPr>
            </w:pPr>
          </w:p>
        </w:tc>
        <w:tc>
          <w:tcPr>
            <w:tcW w:w="0" w:type="auto"/>
            <w:shd w:val="clear" w:color="auto" w:fill="auto"/>
            <w:vAlign w:val="center"/>
          </w:tcPr>
          <w:p w14:paraId="64A8A9B0" w14:textId="77777777" w:rsidR="008D6614" w:rsidRDefault="008D6614">
            <w:pPr>
              <w:rPr>
                <w:rFonts w:ascii="宋体"/>
              </w:rPr>
            </w:pPr>
          </w:p>
        </w:tc>
        <w:tc>
          <w:tcPr>
            <w:tcW w:w="0" w:type="auto"/>
            <w:shd w:val="clear" w:color="auto" w:fill="auto"/>
            <w:vAlign w:val="center"/>
          </w:tcPr>
          <w:p w14:paraId="64A8A9B1" w14:textId="77777777" w:rsidR="008D6614" w:rsidRDefault="008D6614">
            <w:pPr>
              <w:rPr>
                <w:rFonts w:ascii="宋体"/>
              </w:rPr>
            </w:pPr>
          </w:p>
        </w:tc>
        <w:tc>
          <w:tcPr>
            <w:tcW w:w="0" w:type="auto"/>
            <w:shd w:val="clear" w:color="auto" w:fill="auto"/>
            <w:vAlign w:val="center"/>
          </w:tcPr>
          <w:p w14:paraId="64A8A9B2" w14:textId="77777777" w:rsidR="008D6614" w:rsidRDefault="008D6614">
            <w:pPr>
              <w:rPr>
                <w:rFonts w:ascii="宋体"/>
              </w:rPr>
            </w:pPr>
          </w:p>
        </w:tc>
        <w:tc>
          <w:tcPr>
            <w:tcW w:w="0" w:type="auto"/>
            <w:shd w:val="clear" w:color="auto" w:fill="auto"/>
            <w:vAlign w:val="center"/>
          </w:tcPr>
          <w:p w14:paraId="64A8A9B3" w14:textId="77777777" w:rsidR="008D6614" w:rsidRDefault="008D6614">
            <w:pPr>
              <w:rPr>
                <w:rFonts w:ascii="宋体"/>
              </w:rPr>
            </w:pPr>
          </w:p>
        </w:tc>
        <w:tc>
          <w:tcPr>
            <w:tcW w:w="0" w:type="auto"/>
            <w:shd w:val="clear" w:color="auto" w:fill="auto"/>
            <w:vAlign w:val="center"/>
          </w:tcPr>
          <w:p w14:paraId="64A8A9B4" w14:textId="77777777" w:rsidR="008D6614" w:rsidRDefault="008D6614">
            <w:pPr>
              <w:rPr>
                <w:rFonts w:ascii="宋体"/>
              </w:rPr>
            </w:pPr>
          </w:p>
        </w:tc>
        <w:tc>
          <w:tcPr>
            <w:tcW w:w="0" w:type="auto"/>
            <w:shd w:val="clear" w:color="auto" w:fill="auto"/>
            <w:vAlign w:val="center"/>
          </w:tcPr>
          <w:p w14:paraId="64A8A9B5" w14:textId="77777777" w:rsidR="008D6614" w:rsidRDefault="008D6614">
            <w:pPr>
              <w:rPr>
                <w:rFonts w:ascii="宋体"/>
              </w:rPr>
            </w:pPr>
          </w:p>
        </w:tc>
        <w:tc>
          <w:tcPr>
            <w:tcW w:w="0" w:type="auto"/>
            <w:shd w:val="clear" w:color="auto" w:fill="auto"/>
            <w:vAlign w:val="center"/>
          </w:tcPr>
          <w:p w14:paraId="64A8A9B6" w14:textId="77777777" w:rsidR="008D6614" w:rsidRDefault="008D6614">
            <w:pPr>
              <w:rPr>
                <w:rFonts w:ascii="宋体"/>
              </w:rPr>
            </w:pPr>
          </w:p>
        </w:tc>
        <w:tc>
          <w:tcPr>
            <w:tcW w:w="0" w:type="auto"/>
            <w:shd w:val="clear" w:color="auto" w:fill="auto"/>
            <w:vAlign w:val="center"/>
          </w:tcPr>
          <w:p w14:paraId="64A8A9B7" w14:textId="77777777" w:rsidR="008D6614" w:rsidRDefault="008D6614">
            <w:pPr>
              <w:rPr>
                <w:rFonts w:ascii="宋体"/>
              </w:rPr>
            </w:pPr>
          </w:p>
        </w:tc>
        <w:tc>
          <w:tcPr>
            <w:tcW w:w="0" w:type="auto"/>
            <w:shd w:val="clear" w:color="auto" w:fill="auto"/>
            <w:vAlign w:val="center"/>
          </w:tcPr>
          <w:p w14:paraId="64A8A9B8" w14:textId="77777777" w:rsidR="008D6614" w:rsidRDefault="008D6614">
            <w:pPr>
              <w:rPr>
                <w:rFonts w:ascii="宋体"/>
              </w:rPr>
            </w:pPr>
          </w:p>
        </w:tc>
        <w:tc>
          <w:tcPr>
            <w:tcW w:w="0" w:type="auto"/>
            <w:shd w:val="clear" w:color="auto" w:fill="auto"/>
            <w:vAlign w:val="center"/>
          </w:tcPr>
          <w:p w14:paraId="64A8A9B9" w14:textId="77777777" w:rsidR="008D6614" w:rsidRDefault="008D6614">
            <w:pPr>
              <w:rPr>
                <w:rFonts w:ascii="宋体"/>
              </w:rPr>
            </w:pPr>
          </w:p>
        </w:tc>
        <w:tc>
          <w:tcPr>
            <w:tcW w:w="0" w:type="auto"/>
            <w:shd w:val="clear" w:color="auto" w:fill="auto"/>
            <w:vAlign w:val="center"/>
          </w:tcPr>
          <w:p w14:paraId="64A8A9BA" w14:textId="77777777" w:rsidR="008D6614" w:rsidRDefault="008D6614">
            <w:pPr>
              <w:rPr>
                <w:rFonts w:ascii="宋体"/>
              </w:rPr>
            </w:pPr>
          </w:p>
        </w:tc>
        <w:tc>
          <w:tcPr>
            <w:tcW w:w="0" w:type="auto"/>
            <w:shd w:val="clear" w:color="auto" w:fill="auto"/>
            <w:vAlign w:val="center"/>
          </w:tcPr>
          <w:p w14:paraId="64A8A9BB" w14:textId="77777777" w:rsidR="008D6614" w:rsidRDefault="008D6614">
            <w:pPr>
              <w:rPr>
                <w:rFonts w:ascii="宋体"/>
              </w:rPr>
            </w:pPr>
          </w:p>
        </w:tc>
        <w:tc>
          <w:tcPr>
            <w:tcW w:w="0" w:type="auto"/>
            <w:shd w:val="clear" w:color="auto" w:fill="auto"/>
            <w:vAlign w:val="center"/>
          </w:tcPr>
          <w:p w14:paraId="64A8A9BC" w14:textId="77777777" w:rsidR="008D6614" w:rsidRDefault="008D6614">
            <w:pPr>
              <w:rPr>
                <w:rFonts w:ascii="宋体"/>
              </w:rPr>
            </w:pPr>
          </w:p>
        </w:tc>
        <w:tc>
          <w:tcPr>
            <w:tcW w:w="0" w:type="auto"/>
            <w:shd w:val="clear" w:color="auto" w:fill="auto"/>
            <w:vAlign w:val="center"/>
          </w:tcPr>
          <w:p w14:paraId="64A8A9BD" w14:textId="77777777" w:rsidR="008D6614" w:rsidRDefault="008D6614">
            <w:pPr>
              <w:rPr>
                <w:rFonts w:ascii="宋体"/>
              </w:rPr>
            </w:pPr>
          </w:p>
        </w:tc>
        <w:tc>
          <w:tcPr>
            <w:tcW w:w="0" w:type="auto"/>
            <w:shd w:val="clear" w:color="auto" w:fill="auto"/>
            <w:vAlign w:val="center"/>
          </w:tcPr>
          <w:p w14:paraId="64A8A9BE" w14:textId="77777777" w:rsidR="008D6614" w:rsidRDefault="008D6614">
            <w:pPr>
              <w:rPr>
                <w:rFonts w:ascii="宋体"/>
              </w:rPr>
            </w:pPr>
          </w:p>
        </w:tc>
      </w:tr>
      <w:tr w:rsidR="008D6614" w14:paraId="64A8A9E2" w14:textId="77777777">
        <w:tc>
          <w:tcPr>
            <w:tcW w:w="0" w:type="auto"/>
            <w:gridSpan w:val="3"/>
            <w:shd w:val="clear" w:color="auto" w:fill="D3D3D3"/>
            <w:tcMar>
              <w:top w:w="40" w:type="dxa"/>
              <w:left w:w="135" w:type="dxa"/>
              <w:bottom w:w="40" w:type="dxa"/>
              <w:right w:w="20" w:type="dxa"/>
            </w:tcMar>
            <w:vAlign w:val="bottom"/>
          </w:tcPr>
          <w:p w14:paraId="64A8A9C0" w14:textId="77777777" w:rsidR="008D6614" w:rsidRDefault="00866AF2">
            <w:pPr>
              <w:textAlignment w:val="bottom"/>
            </w:pPr>
            <w:r>
              <w:rPr>
                <w:rFonts w:ascii="Arial" w:eastAsia="宋体" w:hAnsi="Arial" w:cs="Arial"/>
                <w:color w:val="000000"/>
                <w:sz w:val="16"/>
                <w:szCs w:val="16"/>
              </w:rPr>
              <w:t>Net revenues</w:t>
            </w:r>
          </w:p>
        </w:tc>
        <w:tc>
          <w:tcPr>
            <w:tcW w:w="0" w:type="auto"/>
            <w:shd w:val="clear" w:color="auto" w:fill="D3D3D3"/>
            <w:tcMar>
              <w:top w:w="40" w:type="dxa"/>
              <w:left w:w="20" w:type="dxa"/>
              <w:bottom w:w="40" w:type="dxa"/>
            </w:tcMar>
            <w:vAlign w:val="bottom"/>
          </w:tcPr>
          <w:p w14:paraId="64A8A9C1" w14:textId="77777777" w:rsidR="008D6614" w:rsidRDefault="00866AF2">
            <w:pPr>
              <w:textAlignment w:val="bottom"/>
            </w:pPr>
            <w:r>
              <w:rPr>
                <w:rFonts w:ascii="Arial" w:eastAsia="宋体" w:hAnsi="Arial" w:cs="Arial"/>
                <w:color w:val="000000"/>
                <w:sz w:val="16"/>
                <w:szCs w:val="16"/>
              </w:rPr>
              <w:t>$</w:t>
            </w:r>
          </w:p>
        </w:tc>
        <w:tc>
          <w:tcPr>
            <w:tcW w:w="0" w:type="auto"/>
            <w:shd w:val="clear" w:color="auto" w:fill="D3D3D3"/>
            <w:tcMar>
              <w:top w:w="40" w:type="dxa"/>
              <w:bottom w:w="40" w:type="dxa"/>
              <w:right w:w="0" w:type="dxa"/>
            </w:tcMar>
            <w:vAlign w:val="bottom"/>
          </w:tcPr>
          <w:p w14:paraId="64A8A9C2" w14:textId="77777777" w:rsidR="008D6614" w:rsidRDefault="00866AF2">
            <w:pPr>
              <w:jc w:val="right"/>
              <w:textAlignment w:val="bottom"/>
            </w:pPr>
            <w:r>
              <w:rPr>
                <w:rFonts w:ascii="Arial" w:eastAsia="宋体" w:hAnsi="Arial" w:cs="Arial"/>
                <w:color w:val="000000"/>
                <w:sz w:val="16"/>
                <w:szCs w:val="16"/>
              </w:rPr>
              <w:t>2,348 </w:t>
            </w:r>
          </w:p>
        </w:tc>
        <w:tc>
          <w:tcPr>
            <w:tcW w:w="0" w:type="auto"/>
            <w:shd w:val="clear" w:color="auto" w:fill="D3D3D3"/>
            <w:tcMar>
              <w:top w:w="40" w:type="dxa"/>
              <w:bottom w:w="40" w:type="dxa"/>
              <w:right w:w="20" w:type="dxa"/>
            </w:tcMar>
            <w:vAlign w:val="bottom"/>
          </w:tcPr>
          <w:p w14:paraId="64A8A9C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D3D3D3"/>
            <w:tcMar>
              <w:left w:w="20" w:type="dxa"/>
              <w:right w:w="20" w:type="dxa"/>
            </w:tcMar>
            <w:vAlign w:val="bottom"/>
          </w:tcPr>
          <w:p w14:paraId="64A8A9C4" w14:textId="77777777" w:rsidR="008D6614" w:rsidRDefault="008D6614">
            <w:pPr>
              <w:rPr>
                <w:rFonts w:ascii="宋体"/>
              </w:rPr>
            </w:pPr>
          </w:p>
        </w:tc>
        <w:tc>
          <w:tcPr>
            <w:tcW w:w="0" w:type="auto"/>
            <w:shd w:val="clear" w:color="auto" w:fill="D3D3D3"/>
            <w:tcMar>
              <w:top w:w="40" w:type="dxa"/>
              <w:left w:w="20" w:type="dxa"/>
              <w:bottom w:w="40" w:type="dxa"/>
            </w:tcMar>
            <w:vAlign w:val="bottom"/>
          </w:tcPr>
          <w:p w14:paraId="64A8A9C5" w14:textId="77777777" w:rsidR="008D6614" w:rsidRDefault="00866AF2">
            <w:pPr>
              <w:textAlignment w:val="bottom"/>
            </w:pPr>
            <w:r>
              <w:rPr>
                <w:rFonts w:ascii="Arial" w:eastAsia="宋体" w:hAnsi="Arial" w:cs="Arial"/>
                <w:color w:val="000000"/>
                <w:sz w:val="16"/>
                <w:szCs w:val="16"/>
              </w:rPr>
              <w:t>$</w:t>
            </w:r>
          </w:p>
        </w:tc>
        <w:tc>
          <w:tcPr>
            <w:tcW w:w="0" w:type="auto"/>
            <w:shd w:val="clear" w:color="auto" w:fill="D3D3D3"/>
            <w:tcMar>
              <w:top w:w="40" w:type="dxa"/>
              <w:bottom w:w="40" w:type="dxa"/>
              <w:right w:w="0" w:type="dxa"/>
            </w:tcMar>
            <w:vAlign w:val="bottom"/>
          </w:tcPr>
          <w:p w14:paraId="64A8A9C6" w14:textId="77777777" w:rsidR="008D6614" w:rsidRDefault="00866AF2">
            <w:pPr>
              <w:jc w:val="right"/>
              <w:textAlignment w:val="bottom"/>
            </w:pPr>
            <w:r>
              <w:rPr>
                <w:rFonts w:ascii="Arial" w:eastAsia="宋体" w:hAnsi="Arial" w:cs="Arial"/>
                <w:color w:val="000000"/>
                <w:sz w:val="16"/>
                <w:szCs w:val="16"/>
              </w:rPr>
              <w:t>2,394 </w:t>
            </w:r>
          </w:p>
        </w:tc>
        <w:tc>
          <w:tcPr>
            <w:tcW w:w="0" w:type="auto"/>
            <w:shd w:val="clear" w:color="auto" w:fill="D3D3D3"/>
            <w:tcMar>
              <w:top w:w="40" w:type="dxa"/>
              <w:bottom w:w="40" w:type="dxa"/>
              <w:right w:w="20" w:type="dxa"/>
            </w:tcMar>
            <w:vAlign w:val="bottom"/>
          </w:tcPr>
          <w:p w14:paraId="64A8A9C7"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D3D3D3"/>
            <w:tcMar>
              <w:left w:w="20" w:type="dxa"/>
              <w:right w:w="20" w:type="dxa"/>
            </w:tcMar>
            <w:vAlign w:val="bottom"/>
          </w:tcPr>
          <w:p w14:paraId="64A8A9C8" w14:textId="77777777" w:rsidR="008D6614" w:rsidRDefault="008D6614">
            <w:pPr>
              <w:rPr>
                <w:rFonts w:ascii="宋体"/>
              </w:rPr>
            </w:pPr>
          </w:p>
        </w:tc>
        <w:tc>
          <w:tcPr>
            <w:tcW w:w="0" w:type="auto"/>
            <w:shd w:val="clear" w:color="auto" w:fill="D3D3D3"/>
            <w:tcMar>
              <w:top w:w="40" w:type="dxa"/>
              <w:left w:w="20" w:type="dxa"/>
              <w:bottom w:w="40" w:type="dxa"/>
            </w:tcMar>
            <w:vAlign w:val="bottom"/>
          </w:tcPr>
          <w:p w14:paraId="64A8A9C9" w14:textId="77777777" w:rsidR="008D6614" w:rsidRDefault="00866AF2">
            <w:pPr>
              <w:textAlignment w:val="bottom"/>
            </w:pPr>
            <w:r>
              <w:rPr>
                <w:rFonts w:ascii="Arial" w:eastAsia="宋体" w:hAnsi="Arial" w:cs="Arial"/>
                <w:color w:val="000000"/>
                <w:sz w:val="16"/>
                <w:szCs w:val="16"/>
              </w:rPr>
              <w:t>$</w:t>
            </w:r>
          </w:p>
        </w:tc>
        <w:tc>
          <w:tcPr>
            <w:tcW w:w="0" w:type="auto"/>
            <w:shd w:val="clear" w:color="auto" w:fill="D3D3D3"/>
            <w:tcMar>
              <w:top w:w="40" w:type="dxa"/>
              <w:bottom w:w="40" w:type="dxa"/>
              <w:right w:w="0" w:type="dxa"/>
            </w:tcMar>
            <w:vAlign w:val="bottom"/>
          </w:tcPr>
          <w:p w14:paraId="64A8A9CA" w14:textId="77777777" w:rsidR="008D6614" w:rsidRDefault="00866AF2">
            <w:pPr>
              <w:jc w:val="right"/>
              <w:textAlignment w:val="bottom"/>
            </w:pPr>
            <w:r>
              <w:rPr>
                <w:rFonts w:ascii="Arial" w:eastAsia="宋体" w:hAnsi="Arial" w:cs="Arial"/>
                <w:color w:val="000000"/>
                <w:sz w:val="16"/>
                <w:szCs w:val="16"/>
              </w:rPr>
              <w:t>2,358 </w:t>
            </w:r>
          </w:p>
        </w:tc>
        <w:tc>
          <w:tcPr>
            <w:tcW w:w="0" w:type="auto"/>
            <w:shd w:val="clear" w:color="auto" w:fill="D3D3D3"/>
            <w:tcMar>
              <w:top w:w="40" w:type="dxa"/>
              <w:bottom w:w="40" w:type="dxa"/>
              <w:right w:w="20" w:type="dxa"/>
            </w:tcMar>
            <w:vAlign w:val="bottom"/>
          </w:tcPr>
          <w:p w14:paraId="64A8A9C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D3D3D3"/>
            <w:tcMar>
              <w:left w:w="20" w:type="dxa"/>
              <w:right w:w="20" w:type="dxa"/>
            </w:tcMar>
            <w:vAlign w:val="bottom"/>
          </w:tcPr>
          <w:p w14:paraId="64A8A9CC" w14:textId="77777777" w:rsidR="008D6614" w:rsidRDefault="008D6614">
            <w:pPr>
              <w:rPr>
                <w:rFonts w:ascii="宋体"/>
              </w:rPr>
            </w:pPr>
          </w:p>
        </w:tc>
        <w:tc>
          <w:tcPr>
            <w:tcW w:w="0" w:type="auto"/>
            <w:shd w:val="clear" w:color="auto" w:fill="D3D3D3"/>
            <w:tcMar>
              <w:top w:w="40" w:type="dxa"/>
              <w:left w:w="20" w:type="dxa"/>
              <w:bottom w:w="40" w:type="dxa"/>
            </w:tcMar>
            <w:vAlign w:val="bottom"/>
          </w:tcPr>
          <w:p w14:paraId="64A8A9CD" w14:textId="77777777" w:rsidR="008D6614" w:rsidRDefault="00866AF2">
            <w:pPr>
              <w:textAlignment w:val="bottom"/>
            </w:pPr>
            <w:r>
              <w:rPr>
                <w:rFonts w:ascii="Arial" w:eastAsia="宋体" w:hAnsi="Arial" w:cs="Arial"/>
                <w:color w:val="000000"/>
                <w:sz w:val="16"/>
                <w:szCs w:val="16"/>
              </w:rPr>
              <w:t>$</w:t>
            </w:r>
          </w:p>
        </w:tc>
        <w:tc>
          <w:tcPr>
            <w:tcW w:w="0" w:type="auto"/>
            <w:shd w:val="clear" w:color="auto" w:fill="D3D3D3"/>
            <w:tcMar>
              <w:top w:w="40" w:type="dxa"/>
              <w:bottom w:w="40" w:type="dxa"/>
              <w:right w:w="0" w:type="dxa"/>
            </w:tcMar>
            <w:vAlign w:val="bottom"/>
          </w:tcPr>
          <w:p w14:paraId="64A8A9CE" w14:textId="77777777" w:rsidR="008D6614" w:rsidRDefault="00866AF2">
            <w:pPr>
              <w:jc w:val="right"/>
              <w:textAlignment w:val="bottom"/>
            </w:pPr>
            <w:r>
              <w:rPr>
                <w:rFonts w:ascii="Arial" w:eastAsia="宋体" w:hAnsi="Arial" w:cs="Arial"/>
                <w:color w:val="000000"/>
                <w:sz w:val="16"/>
                <w:szCs w:val="16"/>
              </w:rPr>
              <w:t>2,563 </w:t>
            </w:r>
          </w:p>
        </w:tc>
        <w:tc>
          <w:tcPr>
            <w:tcW w:w="0" w:type="auto"/>
            <w:shd w:val="clear" w:color="auto" w:fill="D3D3D3"/>
            <w:tcMar>
              <w:top w:w="40" w:type="dxa"/>
              <w:bottom w:w="40" w:type="dxa"/>
              <w:right w:w="20" w:type="dxa"/>
            </w:tcMar>
            <w:vAlign w:val="bottom"/>
          </w:tcPr>
          <w:p w14:paraId="64A8A9CF"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auto"/>
            <w:vAlign w:val="center"/>
          </w:tcPr>
          <w:p w14:paraId="64A8A9D0" w14:textId="77777777" w:rsidR="008D6614" w:rsidRDefault="008D6614">
            <w:pPr>
              <w:rPr>
                <w:rFonts w:ascii="宋体"/>
              </w:rPr>
            </w:pPr>
          </w:p>
        </w:tc>
        <w:tc>
          <w:tcPr>
            <w:tcW w:w="0" w:type="auto"/>
            <w:shd w:val="clear" w:color="auto" w:fill="auto"/>
            <w:vAlign w:val="center"/>
          </w:tcPr>
          <w:p w14:paraId="64A8A9D1" w14:textId="77777777" w:rsidR="008D6614" w:rsidRDefault="008D6614">
            <w:pPr>
              <w:rPr>
                <w:rFonts w:ascii="宋体"/>
              </w:rPr>
            </w:pPr>
          </w:p>
        </w:tc>
        <w:tc>
          <w:tcPr>
            <w:tcW w:w="0" w:type="auto"/>
            <w:shd w:val="clear" w:color="auto" w:fill="auto"/>
            <w:vAlign w:val="center"/>
          </w:tcPr>
          <w:p w14:paraId="64A8A9D2" w14:textId="77777777" w:rsidR="008D6614" w:rsidRDefault="008D6614">
            <w:pPr>
              <w:rPr>
                <w:rFonts w:ascii="宋体"/>
              </w:rPr>
            </w:pPr>
          </w:p>
        </w:tc>
        <w:tc>
          <w:tcPr>
            <w:tcW w:w="0" w:type="auto"/>
            <w:shd w:val="clear" w:color="auto" w:fill="auto"/>
            <w:vAlign w:val="center"/>
          </w:tcPr>
          <w:p w14:paraId="64A8A9D3" w14:textId="77777777" w:rsidR="008D6614" w:rsidRDefault="008D6614">
            <w:pPr>
              <w:rPr>
                <w:rFonts w:ascii="宋体"/>
              </w:rPr>
            </w:pPr>
          </w:p>
        </w:tc>
        <w:tc>
          <w:tcPr>
            <w:tcW w:w="0" w:type="auto"/>
            <w:shd w:val="clear" w:color="auto" w:fill="auto"/>
            <w:vAlign w:val="center"/>
          </w:tcPr>
          <w:p w14:paraId="64A8A9D4" w14:textId="77777777" w:rsidR="008D6614" w:rsidRDefault="008D6614">
            <w:pPr>
              <w:rPr>
                <w:rFonts w:ascii="宋体"/>
              </w:rPr>
            </w:pPr>
          </w:p>
        </w:tc>
        <w:tc>
          <w:tcPr>
            <w:tcW w:w="0" w:type="auto"/>
            <w:shd w:val="clear" w:color="auto" w:fill="auto"/>
            <w:vAlign w:val="center"/>
          </w:tcPr>
          <w:p w14:paraId="64A8A9D5" w14:textId="77777777" w:rsidR="008D6614" w:rsidRDefault="008D6614">
            <w:pPr>
              <w:rPr>
                <w:rFonts w:ascii="宋体"/>
              </w:rPr>
            </w:pPr>
          </w:p>
        </w:tc>
        <w:tc>
          <w:tcPr>
            <w:tcW w:w="0" w:type="auto"/>
            <w:shd w:val="clear" w:color="auto" w:fill="auto"/>
            <w:vAlign w:val="center"/>
          </w:tcPr>
          <w:p w14:paraId="64A8A9D6" w14:textId="77777777" w:rsidR="008D6614" w:rsidRDefault="008D6614">
            <w:pPr>
              <w:rPr>
                <w:rFonts w:ascii="宋体"/>
              </w:rPr>
            </w:pPr>
          </w:p>
        </w:tc>
        <w:tc>
          <w:tcPr>
            <w:tcW w:w="0" w:type="auto"/>
            <w:shd w:val="clear" w:color="auto" w:fill="auto"/>
            <w:vAlign w:val="center"/>
          </w:tcPr>
          <w:p w14:paraId="64A8A9D7" w14:textId="77777777" w:rsidR="008D6614" w:rsidRDefault="008D6614">
            <w:pPr>
              <w:rPr>
                <w:rFonts w:ascii="宋体"/>
              </w:rPr>
            </w:pPr>
          </w:p>
        </w:tc>
        <w:tc>
          <w:tcPr>
            <w:tcW w:w="0" w:type="auto"/>
            <w:shd w:val="clear" w:color="auto" w:fill="auto"/>
            <w:vAlign w:val="center"/>
          </w:tcPr>
          <w:p w14:paraId="64A8A9D8" w14:textId="77777777" w:rsidR="008D6614" w:rsidRDefault="008D6614">
            <w:pPr>
              <w:rPr>
                <w:rFonts w:ascii="宋体"/>
              </w:rPr>
            </w:pPr>
          </w:p>
        </w:tc>
        <w:tc>
          <w:tcPr>
            <w:tcW w:w="0" w:type="auto"/>
            <w:shd w:val="clear" w:color="auto" w:fill="auto"/>
            <w:vAlign w:val="center"/>
          </w:tcPr>
          <w:p w14:paraId="64A8A9D9" w14:textId="77777777" w:rsidR="008D6614" w:rsidRDefault="008D6614">
            <w:pPr>
              <w:rPr>
                <w:rFonts w:ascii="宋体"/>
              </w:rPr>
            </w:pPr>
          </w:p>
        </w:tc>
        <w:tc>
          <w:tcPr>
            <w:tcW w:w="0" w:type="auto"/>
            <w:shd w:val="clear" w:color="auto" w:fill="auto"/>
            <w:vAlign w:val="center"/>
          </w:tcPr>
          <w:p w14:paraId="64A8A9DA" w14:textId="77777777" w:rsidR="008D6614" w:rsidRDefault="008D6614">
            <w:pPr>
              <w:rPr>
                <w:rFonts w:ascii="宋体"/>
              </w:rPr>
            </w:pPr>
          </w:p>
        </w:tc>
        <w:tc>
          <w:tcPr>
            <w:tcW w:w="0" w:type="auto"/>
            <w:shd w:val="clear" w:color="auto" w:fill="auto"/>
            <w:vAlign w:val="center"/>
          </w:tcPr>
          <w:p w14:paraId="64A8A9DB" w14:textId="77777777" w:rsidR="008D6614" w:rsidRDefault="008D6614">
            <w:pPr>
              <w:rPr>
                <w:rFonts w:ascii="宋体"/>
              </w:rPr>
            </w:pPr>
          </w:p>
        </w:tc>
        <w:tc>
          <w:tcPr>
            <w:tcW w:w="0" w:type="auto"/>
            <w:shd w:val="clear" w:color="auto" w:fill="auto"/>
            <w:vAlign w:val="center"/>
          </w:tcPr>
          <w:p w14:paraId="64A8A9DC" w14:textId="77777777" w:rsidR="008D6614" w:rsidRDefault="008D6614">
            <w:pPr>
              <w:rPr>
                <w:rFonts w:ascii="宋体"/>
              </w:rPr>
            </w:pPr>
          </w:p>
        </w:tc>
        <w:tc>
          <w:tcPr>
            <w:tcW w:w="0" w:type="auto"/>
            <w:shd w:val="clear" w:color="auto" w:fill="auto"/>
            <w:vAlign w:val="center"/>
          </w:tcPr>
          <w:p w14:paraId="64A8A9DD" w14:textId="77777777" w:rsidR="008D6614" w:rsidRDefault="008D6614">
            <w:pPr>
              <w:rPr>
                <w:rFonts w:ascii="宋体"/>
              </w:rPr>
            </w:pPr>
          </w:p>
        </w:tc>
        <w:tc>
          <w:tcPr>
            <w:tcW w:w="0" w:type="auto"/>
            <w:shd w:val="clear" w:color="auto" w:fill="auto"/>
            <w:vAlign w:val="center"/>
          </w:tcPr>
          <w:p w14:paraId="64A8A9DE" w14:textId="77777777" w:rsidR="008D6614" w:rsidRDefault="008D6614">
            <w:pPr>
              <w:rPr>
                <w:rFonts w:ascii="宋体"/>
              </w:rPr>
            </w:pPr>
          </w:p>
        </w:tc>
        <w:tc>
          <w:tcPr>
            <w:tcW w:w="0" w:type="auto"/>
            <w:shd w:val="clear" w:color="auto" w:fill="auto"/>
            <w:vAlign w:val="center"/>
          </w:tcPr>
          <w:p w14:paraId="64A8A9DF" w14:textId="77777777" w:rsidR="008D6614" w:rsidRDefault="008D6614">
            <w:pPr>
              <w:rPr>
                <w:rFonts w:ascii="宋体"/>
              </w:rPr>
            </w:pPr>
          </w:p>
        </w:tc>
        <w:tc>
          <w:tcPr>
            <w:tcW w:w="0" w:type="auto"/>
            <w:shd w:val="clear" w:color="auto" w:fill="auto"/>
            <w:vAlign w:val="center"/>
          </w:tcPr>
          <w:p w14:paraId="64A8A9E0" w14:textId="77777777" w:rsidR="008D6614" w:rsidRDefault="008D6614">
            <w:pPr>
              <w:rPr>
                <w:rFonts w:ascii="宋体"/>
              </w:rPr>
            </w:pPr>
          </w:p>
        </w:tc>
        <w:tc>
          <w:tcPr>
            <w:tcW w:w="0" w:type="auto"/>
            <w:shd w:val="clear" w:color="auto" w:fill="auto"/>
            <w:vAlign w:val="center"/>
          </w:tcPr>
          <w:p w14:paraId="64A8A9E1" w14:textId="77777777" w:rsidR="008D6614" w:rsidRDefault="008D6614">
            <w:pPr>
              <w:rPr>
                <w:rFonts w:ascii="宋体"/>
              </w:rPr>
            </w:pPr>
          </w:p>
        </w:tc>
      </w:tr>
      <w:tr w:rsidR="008D6614" w14:paraId="64A8AA01" w14:textId="77777777">
        <w:tc>
          <w:tcPr>
            <w:tcW w:w="0" w:type="auto"/>
            <w:gridSpan w:val="3"/>
            <w:shd w:val="clear" w:color="auto" w:fill="FFFFFF"/>
            <w:tcMar>
              <w:top w:w="40" w:type="dxa"/>
              <w:left w:w="135" w:type="dxa"/>
              <w:bottom w:w="40" w:type="dxa"/>
              <w:right w:w="20" w:type="dxa"/>
            </w:tcMar>
            <w:vAlign w:val="bottom"/>
          </w:tcPr>
          <w:p w14:paraId="64A8A9E3" w14:textId="77777777" w:rsidR="008D6614" w:rsidRDefault="00866AF2">
            <w:pPr>
              <w:textAlignment w:val="bottom"/>
            </w:pPr>
            <w:r>
              <w:rPr>
                <w:rFonts w:ascii="Arial" w:eastAsia="宋体" w:hAnsi="Arial" w:cs="Arial"/>
                <w:i/>
                <w:iCs/>
                <w:color w:val="000000"/>
                <w:sz w:val="16"/>
                <w:szCs w:val="16"/>
              </w:rPr>
              <w:t>% change from prior quarter</w:t>
            </w:r>
          </w:p>
        </w:tc>
        <w:tc>
          <w:tcPr>
            <w:tcW w:w="0" w:type="auto"/>
            <w:gridSpan w:val="2"/>
            <w:shd w:val="clear" w:color="auto" w:fill="FFFFFF"/>
            <w:tcMar>
              <w:top w:w="40" w:type="dxa"/>
              <w:left w:w="20" w:type="dxa"/>
              <w:bottom w:w="40" w:type="dxa"/>
              <w:right w:w="0" w:type="dxa"/>
            </w:tcMar>
            <w:vAlign w:val="bottom"/>
          </w:tcPr>
          <w:p w14:paraId="64A8A9E4" w14:textId="77777777" w:rsidR="008D6614" w:rsidRDefault="00866AF2">
            <w:pPr>
              <w:jc w:val="right"/>
              <w:textAlignment w:val="bottom"/>
            </w:pPr>
            <w:r>
              <w:rPr>
                <w:rFonts w:ascii="Arial" w:eastAsia="宋体" w:hAnsi="Arial" w:cs="Arial"/>
                <w:i/>
                <w:iCs/>
                <w:color w:val="000000"/>
                <w:sz w:val="16"/>
                <w:szCs w:val="16"/>
              </w:rPr>
              <w:t>(2)</w:t>
            </w:r>
          </w:p>
        </w:tc>
        <w:tc>
          <w:tcPr>
            <w:tcW w:w="0" w:type="auto"/>
            <w:shd w:val="clear" w:color="auto" w:fill="FFFFFF"/>
            <w:tcMar>
              <w:top w:w="40" w:type="dxa"/>
              <w:bottom w:w="40" w:type="dxa"/>
              <w:right w:w="20" w:type="dxa"/>
            </w:tcMar>
            <w:vAlign w:val="bottom"/>
          </w:tcPr>
          <w:p w14:paraId="64A8A9E5"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9E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9E7" w14:textId="77777777" w:rsidR="008D6614" w:rsidRDefault="00866AF2">
            <w:pPr>
              <w:jc w:val="right"/>
              <w:textAlignment w:val="bottom"/>
            </w:pPr>
            <w:r>
              <w:rPr>
                <w:rFonts w:ascii="Arial" w:eastAsia="宋体" w:hAnsi="Arial" w:cs="Arial"/>
                <w:i/>
                <w:iCs/>
                <w:color w:val="000000"/>
                <w:sz w:val="16"/>
                <w:szCs w:val="16"/>
              </w:rPr>
              <w:t>2 </w:t>
            </w:r>
          </w:p>
        </w:tc>
        <w:tc>
          <w:tcPr>
            <w:tcW w:w="0" w:type="auto"/>
            <w:shd w:val="clear" w:color="auto" w:fill="FFFFFF"/>
            <w:tcMar>
              <w:top w:w="40" w:type="dxa"/>
              <w:bottom w:w="40" w:type="dxa"/>
              <w:right w:w="20" w:type="dxa"/>
            </w:tcMar>
            <w:vAlign w:val="bottom"/>
          </w:tcPr>
          <w:p w14:paraId="64A8A9E8"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9E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9EA" w14:textId="77777777" w:rsidR="008D6614" w:rsidRDefault="00866AF2">
            <w:pPr>
              <w:jc w:val="right"/>
              <w:textAlignment w:val="bottom"/>
            </w:pPr>
            <w:r>
              <w:rPr>
                <w:rFonts w:ascii="Arial" w:eastAsia="宋体" w:hAnsi="Arial" w:cs="Arial"/>
                <w:i/>
                <w:iCs/>
                <w:color w:val="000000"/>
                <w:sz w:val="16"/>
                <w:szCs w:val="16"/>
              </w:rPr>
              <w:t>(1)</w:t>
            </w:r>
          </w:p>
        </w:tc>
        <w:tc>
          <w:tcPr>
            <w:tcW w:w="0" w:type="auto"/>
            <w:shd w:val="clear" w:color="auto" w:fill="FFFFFF"/>
            <w:tcMar>
              <w:top w:w="40" w:type="dxa"/>
              <w:bottom w:w="40" w:type="dxa"/>
              <w:right w:w="20" w:type="dxa"/>
            </w:tcMar>
            <w:vAlign w:val="bottom"/>
          </w:tcPr>
          <w:p w14:paraId="64A8A9EB"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9E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9ED" w14:textId="77777777" w:rsidR="008D6614" w:rsidRDefault="00866AF2">
            <w:pPr>
              <w:jc w:val="right"/>
              <w:textAlignment w:val="bottom"/>
            </w:pPr>
            <w:r>
              <w:rPr>
                <w:rFonts w:ascii="Arial" w:eastAsia="宋体" w:hAnsi="Arial" w:cs="Arial"/>
                <w:i/>
                <w:iCs/>
                <w:color w:val="000000"/>
                <w:sz w:val="16"/>
                <w:szCs w:val="16"/>
              </w:rPr>
              <w:t>9 </w:t>
            </w:r>
          </w:p>
        </w:tc>
        <w:tc>
          <w:tcPr>
            <w:tcW w:w="0" w:type="auto"/>
            <w:shd w:val="clear" w:color="auto" w:fill="FFFFFF"/>
            <w:tcMar>
              <w:top w:w="40" w:type="dxa"/>
              <w:bottom w:w="40" w:type="dxa"/>
              <w:right w:w="20" w:type="dxa"/>
            </w:tcMar>
            <w:vAlign w:val="bottom"/>
          </w:tcPr>
          <w:p w14:paraId="64A8A9EE" w14:textId="77777777" w:rsidR="008D6614" w:rsidRDefault="00866AF2">
            <w:pPr>
              <w:jc w:val="right"/>
              <w:textAlignment w:val="bottom"/>
            </w:pPr>
            <w:r>
              <w:rPr>
                <w:rFonts w:ascii="Arial" w:eastAsia="宋体" w:hAnsi="Arial" w:cs="Arial"/>
                <w:i/>
                <w:iCs/>
                <w:color w:val="000000"/>
                <w:sz w:val="16"/>
                <w:szCs w:val="16"/>
              </w:rPr>
              <w:t>%</w:t>
            </w:r>
          </w:p>
        </w:tc>
        <w:tc>
          <w:tcPr>
            <w:tcW w:w="0" w:type="auto"/>
            <w:shd w:val="clear" w:color="auto" w:fill="auto"/>
            <w:vAlign w:val="center"/>
          </w:tcPr>
          <w:p w14:paraId="64A8A9EF" w14:textId="77777777" w:rsidR="008D6614" w:rsidRDefault="008D6614">
            <w:pPr>
              <w:rPr>
                <w:rFonts w:ascii="宋体"/>
              </w:rPr>
            </w:pPr>
          </w:p>
        </w:tc>
        <w:tc>
          <w:tcPr>
            <w:tcW w:w="0" w:type="auto"/>
            <w:shd w:val="clear" w:color="auto" w:fill="auto"/>
            <w:vAlign w:val="center"/>
          </w:tcPr>
          <w:p w14:paraId="64A8A9F0" w14:textId="77777777" w:rsidR="008D6614" w:rsidRDefault="008D6614">
            <w:pPr>
              <w:rPr>
                <w:rFonts w:ascii="宋体"/>
              </w:rPr>
            </w:pPr>
          </w:p>
        </w:tc>
        <w:tc>
          <w:tcPr>
            <w:tcW w:w="0" w:type="auto"/>
            <w:shd w:val="clear" w:color="auto" w:fill="auto"/>
            <w:vAlign w:val="center"/>
          </w:tcPr>
          <w:p w14:paraId="64A8A9F1" w14:textId="77777777" w:rsidR="008D6614" w:rsidRDefault="008D6614">
            <w:pPr>
              <w:rPr>
                <w:rFonts w:ascii="宋体"/>
              </w:rPr>
            </w:pPr>
          </w:p>
        </w:tc>
        <w:tc>
          <w:tcPr>
            <w:tcW w:w="0" w:type="auto"/>
            <w:shd w:val="clear" w:color="auto" w:fill="auto"/>
            <w:vAlign w:val="center"/>
          </w:tcPr>
          <w:p w14:paraId="64A8A9F2" w14:textId="77777777" w:rsidR="008D6614" w:rsidRDefault="008D6614">
            <w:pPr>
              <w:rPr>
                <w:rFonts w:ascii="宋体"/>
              </w:rPr>
            </w:pPr>
          </w:p>
        </w:tc>
        <w:tc>
          <w:tcPr>
            <w:tcW w:w="0" w:type="auto"/>
            <w:shd w:val="clear" w:color="auto" w:fill="auto"/>
            <w:vAlign w:val="center"/>
          </w:tcPr>
          <w:p w14:paraId="64A8A9F3" w14:textId="77777777" w:rsidR="008D6614" w:rsidRDefault="008D6614">
            <w:pPr>
              <w:rPr>
                <w:rFonts w:ascii="宋体"/>
              </w:rPr>
            </w:pPr>
          </w:p>
        </w:tc>
        <w:tc>
          <w:tcPr>
            <w:tcW w:w="0" w:type="auto"/>
            <w:shd w:val="clear" w:color="auto" w:fill="auto"/>
            <w:vAlign w:val="center"/>
          </w:tcPr>
          <w:p w14:paraId="64A8A9F4" w14:textId="77777777" w:rsidR="008D6614" w:rsidRDefault="008D6614">
            <w:pPr>
              <w:rPr>
                <w:rFonts w:ascii="宋体"/>
              </w:rPr>
            </w:pPr>
          </w:p>
        </w:tc>
        <w:tc>
          <w:tcPr>
            <w:tcW w:w="0" w:type="auto"/>
            <w:shd w:val="clear" w:color="auto" w:fill="auto"/>
            <w:vAlign w:val="center"/>
          </w:tcPr>
          <w:p w14:paraId="64A8A9F5" w14:textId="77777777" w:rsidR="008D6614" w:rsidRDefault="008D6614">
            <w:pPr>
              <w:rPr>
                <w:rFonts w:ascii="宋体"/>
              </w:rPr>
            </w:pPr>
          </w:p>
        </w:tc>
        <w:tc>
          <w:tcPr>
            <w:tcW w:w="0" w:type="auto"/>
            <w:shd w:val="clear" w:color="auto" w:fill="auto"/>
            <w:vAlign w:val="center"/>
          </w:tcPr>
          <w:p w14:paraId="64A8A9F6" w14:textId="77777777" w:rsidR="008D6614" w:rsidRDefault="008D6614">
            <w:pPr>
              <w:rPr>
                <w:rFonts w:ascii="宋体"/>
              </w:rPr>
            </w:pPr>
          </w:p>
        </w:tc>
        <w:tc>
          <w:tcPr>
            <w:tcW w:w="0" w:type="auto"/>
            <w:shd w:val="clear" w:color="auto" w:fill="auto"/>
            <w:vAlign w:val="center"/>
          </w:tcPr>
          <w:p w14:paraId="64A8A9F7" w14:textId="77777777" w:rsidR="008D6614" w:rsidRDefault="008D6614">
            <w:pPr>
              <w:rPr>
                <w:rFonts w:ascii="宋体"/>
              </w:rPr>
            </w:pPr>
          </w:p>
        </w:tc>
        <w:tc>
          <w:tcPr>
            <w:tcW w:w="0" w:type="auto"/>
            <w:shd w:val="clear" w:color="auto" w:fill="auto"/>
            <w:vAlign w:val="center"/>
          </w:tcPr>
          <w:p w14:paraId="64A8A9F8" w14:textId="77777777" w:rsidR="008D6614" w:rsidRDefault="008D6614">
            <w:pPr>
              <w:rPr>
                <w:rFonts w:ascii="宋体"/>
              </w:rPr>
            </w:pPr>
          </w:p>
        </w:tc>
        <w:tc>
          <w:tcPr>
            <w:tcW w:w="0" w:type="auto"/>
            <w:shd w:val="clear" w:color="auto" w:fill="auto"/>
            <w:vAlign w:val="center"/>
          </w:tcPr>
          <w:p w14:paraId="64A8A9F9" w14:textId="77777777" w:rsidR="008D6614" w:rsidRDefault="008D6614">
            <w:pPr>
              <w:rPr>
                <w:rFonts w:ascii="宋体"/>
              </w:rPr>
            </w:pPr>
          </w:p>
        </w:tc>
        <w:tc>
          <w:tcPr>
            <w:tcW w:w="0" w:type="auto"/>
            <w:shd w:val="clear" w:color="auto" w:fill="auto"/>
            <w:vAlign w:val="center"/>
          </w:tcPr>
          <w:p w14:paraId="64A8A9FA" w14:textId="77777777" w:rsidR="008D6614" w:rsidRDefault="008D6614">
            <w:pPr>
              <w:rPr>
                <w:rFonts w:ascii="宋体"/>
              </w:rPr>
            </w:pPr>
          </w:p>
        </w:tc>
        <w:tc>
          <w:tcPr>
            <w:tcW w:w="0" w:type="auto"/>
            <w:shd w:val="clear" w:color="auto" w:fill="auto"/>
            <w:vAlign w:val="center"/>
          </w:tcPr>
          <w:p w14:paraId="64A8A9FB" w14:textId="77777777" w:rsidR="008D6614" w:rsidRDefault="008D6614">
            <w:pPr>
              <w:rPr>
                <w:rFonts w:ascii="宋体"/>
              </w:rPr>
            </w:pPr>
          </w:p>
        </w:tc>
        <w:tc>
          <w:tcPr>
            <w:tcW w:w="0" w:type="auto"/>
            <w:shd w:val="clear" w:color="auto" w:fill="auto"/>
            <w:vAlign w:val="center"/>
          </w:tcPr>
          <w:p w14:paraId="64A8A9FC" w14:textId="77777777" w:rsidR="008D6614" w:rsidRDefault="008D6614">
            <w:pPr>
              <w:rPr>
                <w:rFonts w:ascii="宋体"/>
              </w:rPr>
            </w:pPr>
          </w:p>
        </w:tc>
        <w:tc>
          <w:tcPr>
            <w:tcW w:w="0" w:type="auto"/>
            <w:shd w:val="clear" w:color="auto" w:fill="auto"/>
            <w:vAlign w:val="center"/>
          </w:tcPr>
          <w:p w14:paraId="64A8A9FD" w14:textId="77777777" w:rsidR="008D6614" w:rsidRDefault="008D6614">
            <w:pPr>
              <w:rPr>
                <w:rFonts w:ascii="宋体"/>
              </w:rPr>
            </w:pPr>
          </w:p>
        </w:tc>
        <w:tc>
          <w:tcPr>
            <w:tcW w:w="0" w:type="auto"/>
            <w:shd w:val="clear" w:color="auto" w:fill="auto"/>
            <w:vAlign w:val="center"/>
          </w:tcPr>
          <w:p w14:paraId="64A8A9FE" w14:textId="77777777" w:rsidR="008D6614" w:rsidRDefault="008D6614">
            <w:pPr>
              <w:rPr>
                <w:rFonts w:ascii="宋体"/>
              </w:rPr>
            </w:pPr>
          </w:p>
        </w:tc>
        <w:tc>
          <w:tcPr>
            <w:tcW w:w="0" w:type="auto"/>
            <w:shd w:val="clear" w:color="auto" w:fill="auto"/>
            <w:vAlign w:val="center"/>
          </w:tcPr>
          <w:p w14:paraId="64A8A9FF" w14:textId="77777777" w:rsidR="008D6614" w:rsidRDefault="008D6614">
            <w:pPr>
              <w:rPr>
                <w:rFonts w:ascii="宋体"/>
              </w:rPr>
            </w:pPr>
          </w:p>
        </w:tc>
        <w:tc>
          <w:tcPr>
            <w:tcW w:w="0" w:type="auto"/>
            <w:shd w:val="clear" w:color="auto" w:fill="auto"/>
            <w:vAlign w:val="center"/>
          </w:tcPr>
          <w:p w14:paraId="64A8AA00" w14:textId="77777777" w:rsidR="008D6614" w:rsidRDefault="008D6614">
            <w:pPr>
              <w:rPr>
                <w:rFonts w:ascii="宋体"/>
              </w:rPr>
            </w:pPr>
          </w:p>
        </w:tc>
      </w:tr>
      <w:tr w:rsidR="008D6614" w14:paraId="64A8AA1C" w14:textId="77777777">
        <w:tc>
          <w:tcPr>
            <w:tcW w:w="0" w:type="auto"/>
            <w:gridSpan w:val="3"/>
            <w:shd w:val="clear" w:color="auto" w:fill="D3D3D3"/>
            <w:tcMar>
              <w:top w:w="40" w:type="dxa"/>
              <w:left w:w="20" w:type="dxa"/>
              <w:bottom w:w="40" w:type="dxa"/>
              <w:right w:w="20" w:type="dxa"/>
            </w:tcMar>
            <w:vAlign w:val="bottom"/>
          </w:tcPr>
          <w:p w14:paraId="64A8AA02" w14:textId="77777777" w:rsidR="008D6614" w:rsidRDefault="00866AF2">
            <w:pPr>
              <w:textAlignment w:val="bottom"/>
            </w:pPr>
            <w:r>
              <w:rPr>
                <w:rFonts w:ascii="Arial" w:eastAsia="宋体" w:hAnsi="Arial" w:cs="Arial"/>
                <w:b/>
                <w:bCs/>
                <w:color w:val="000000"/>
                <w:sz w:val="16"/>
                <w:szCs w:val="16"/>
              </w:rPr>
              <w:t>2019</w:t>
            </w:r>
          </w:p>
        </w:tc>
        <w:tc>
          <w:tcPr>
            <w:tcW w:w="0" w:type="auto"/>
            <w:gridSpan w:val="3"/>
            <w:shd w:val="clear" w:color="auto" w:fill="D3D3D3"/>
            <w:tcMar>
              <w:left w:w="20" w:type="dxa"/>
              <w:right w:w="20" w:type="dxa"/>
            </w:tcMar>
            <w:vAlign w:val="bottom"/>
          </w:tcPr>
          <w:p w14:paraId="64A8AA03" w14:textId="77777777" w:rsidR="008D6614" w:rsidRDefault="008D6614">
            <w:pPr>
              <w:rPr>
                <w:rFonts w:ascii="宋体"/>
              </w:rPr>
            </w:pPr>
          </w:p>
        </w:tc>
        <w:tc>
          <w:tcPr>
            <w:tcW w:w="0" w:type="auto"/>
            <w:gridSpan w:val="3"/>
            <w:shd w:val="clear" w:color="auto" w:fill="D3D3D3"/>
            <w:tcMar>
              <w:left w:w="20" w:type="dxa"/>
              <w:right w:w="20" w:type="dxa"/>
            </w:tcMar>
            <w:vAlign w:val="bottom"/>
          </w:tcPr>
          <w:p w14:paraId="64A8AA04" w14:textId="77777777" w:rsidR="008D6614" w:rsidRDefault="008D6614">
            <w:pPr>
              <w:rPr>
                <w:rFonts w:ascii="宋体"/>
              </w:rPr>
            </w:pPr>
          </w:p>
        </w:tc>
        <w:tc>
          <w:tcPr>
            <w:tcW w:w="0" w:type="auto"/>
            <w:gridSpan w:val="3"/>
            <w:shd w:val="clear" w:color="auto" w:fill="D3D3D3"/>
            <w:tcMar>
              <w:left w:w="20" w:type="dxa"/>
              <w:right w:w="20" w:type="dxa"/>
            </w:tcMar>
            <w:vAlign w:val="bottom"/>
          </w:tcPr>
          <w:p w14:paraId="64A8AA05" w14:textId="77777777" w:rsidR="008D6614" w:rsidRDefault="008D6614">
            <w:pPr>
              <w:rPr>
                <w:rFonts w:ascii="宋体"/>
              </w:rPr>
            </w:pPr>
          </w:p>
        </w:tc>
        <w:tc>
          <w:tcPr>
            <w:tcW w:w="0" w:type="auto"/>
            <w:gridSpan w:val="3"/>
            <w:shd w:val="clear" w:color="auto" w:fill="D3D3D3"/>
            <w:tcMar>
              <w:left w:w="20" w:type="dxa"/>
              <w:right w:w="20" w:type="dxa"/>
            </w:tcMar>
            <w:vAlign w:val="bottom"/>
          </w:tcPr>
          <w:p w14:paraId="64A8AA06" w14:textId="77777777" w:rsidR="008D6614" w:rsidRDefault="008D6614">
            <w:pPr>
              <w:rPr>
                <w:rFonts w:ascii="宋体"/>
              </w:rPr>
            </w:pPr>
          </w:p>
        </w:tc>
        <w:tc>
          <w:tcPr>
            <w:tcW w:w="0" w:type="auto"/>
            <w:gridSpan w:val="3"/>
            <w:shd w:val="clear" w:color="auto" w:fill="D3D3D3"/>
            <w:tcMar>
              <w:left w:w="20" w:type="dxa"/>
              <w:right w:w="20" w:type="dxa"/>
            </w:tcMar>
            <w:vAlign w:val="bottom"/>
          </w:tcPr>
          <w:p w14:paraId="64A8AA07" w14:textId="77777777" w:rsidR="008D6614" w:rsidRDefault="008D6614">
            <w:pPr>
              <w:rPr>
                <w:rFonts w:ascii="宋体"/>
              </w:rPr>
            </w:pPr>
          </w:p>
        </w:tc>
        <w:tc>
          <w:tcPr>
            <w:tcW w:w="0" w:type="auto"/>
            <w:gridSpan w:val="3"/>
            <w:shd w:val="clear" w:color="auto" w:fill="D3D3D3"/>
            <w:tcMar>
              <w:left w:w="20" w:type="dxa"/>
              <w:right w:w="20" w:type="dxa"/>
            </w:tcMar>
            <w:vAlign w:val="bottom"/>
          </w:tcPr>
          <w:p w14:paraId="64A8AA08" w14:textId="77777777" w:rsidR="008D6614" w:rsidRDefault="008D6614">
            <w:pPr>
              <w:rPr>
                <w:rFonts w:ascii="宋体"/>
              </w:rPr>
            </w:pPr>
          </w:p>
        </w:tc>
        <w:tc>
          <w:tcPr>
            <w:tcW w:w="0" w:type="auto"/>
            <w:gridSpan w:val="3"/>
            <w:shd w:val="clear" w:color="auto" w:fill="D3D3D3"/>
            <w:tcMar>
              <w:left w:w="20" w:type="dxa"/>
              <w:right w:w="20" w:type="dxa"/>
            </w:tcMar>
            <w:vAlign w:val="bottom"/>
          </w:tcPr>
          <w:p w14:paraId="64A8AA09" w14:textId="77777777" w:rsidR="008D6614" w:rsidRDefault="008D6614">
            <w:pPr>
              <w:rPr>
                <w:rFonts w:ascii="宋体"/>
              </w:rPr>
            </w:pPr>
          </w:p>
        </w:tc>
        <w:tc>
          <w:tcPr>
            <w:tcW w:w="0" w:type="auto"/>
            <w:shd w:val="clear" w:color="auto" w:fill="auto"/>
            <w:vAlign w:val="center"/>
          </w:tcPr>
          <w:p w14:paraId="64A8AA0A" w14:textId="77777777" w:rsidR="008D6614" w:rsidRDefault="008D6614">
            <w:pPr>
              <w:rPr>
                <w:rFonts w:ascii="宋体"/>
              </w:rPr>
            </w:pPr>
          </w:p>
        </w:tc>
        <w:tc>
          <w:tcPr>
            <w:tcW w:w="0" w:type="auto"/>
            <w:shd w:val="clear" w:color="auto" w:fill="auto"/>
            <w:vAlign w:val="center"/>
          </w:tcPr>
          <w:p w14:paraId="64A8AA0B" w14:textId="77777777" w:rsidR="008D6614" w:rsidRDefault="008D6614">
            <w:pPr>
              <w:rPr>
                <w:rFonts w:ascii="宋体"/>
              </w:rPr>
            </w:pPr>
          </w:p>
        </w:tc>
        <w:tc>
          <w:tcPr>
            <w:tcW w:w="0" w:type="auto"/>
            <w:shd w:val="clear" w:color="auto" w:fill="auto"/>
            <w:vAlign w:val="center"/>
          </w:tcPr>
          <w:p w14:paraId="64A8AA0C" w14:textId="77777777" w:rsidR="008D6614" w:rsidRDefault="008D6614">
            <w:pPr>
              <w:rPr>
                <w:rFonts w:ascii="宋体"/>
              </w:rPr>
            </w:pPr>
          </w:p>
        </w:tc>
        <w:tc>
          <w:tcPr>
            <w:tcW w:w="0" w:type="auto"/>
            <w:shd w:val="clear" w:color="auto" w:fill="auto"/>
            <w:vAlign w:val="center"/>
          </w:tcPr>
          <w:p w14:paraId="64A8AA0D" w14:textId="77777777" w:rsidR="008D6614" w:rsidRDefault="008D6614">
            <w:pPr>
              <w:rPr>
                <w:rFonts w:ascii="宋体"/>
              </w:rPr>
            </w:pPr>
          </w:p>
        </w:tc>
        <w:tc>
          <w:tcPr>
            <w:tcW w:w="0" w:type="auto"/>
            <w:shd w:val="clear" w:color="auto" w:fill="auto"/>
            <w:vAlign w:val="center"/>
          </w:tcPr>
          <w:p w14:paraId="64A8AA0E" w14:textId="77777777" w:rsidR="008D6614" w:rsidRDefault="008D6614">
            <w:pPr>
              <w:rPr>
                <w:rFonts w:ascii="宋体"/>
              </w:rPr>
            </w:pPr>
          </w:p>
        </w:tc>
        <w:tc>
          <w:tcPr>
            <w:tcW w:w="0" w:type="auto"/>
            <w:shd w:val="clear" w:color="auto" w:fill="auto"/>
            <w:vAlign w:val="center"/>
          </w:tcPr>
          <w:p w14:paraId="64A8AA0F" w14:textId="77777777" w:rsidR="008D6614" w:rsidRDefault="008D6614">
            <w:pPr>
              <w:rPr>
                <w:rFonts w:ascii="宋体"/>
              </w:rPr>
            </w:pPr>
          </w:p>
        </w:tc>
        <w:tc>
          <w:tcPr>
            <w:tcW w:w="0" w:type="auto"/>
            <w:shd w:val="clear" w:color="auto" w:fill="auto"/>
            <w:vAlign w:val="center"/>
          </w:tcPr>
          <w:p w14:paraId="64A8AA10" w14:textId="77777777" w:rsidR="008D6614" w:rsidRDefault="008D6614">
            <w:pPr>
              <w:rPr>
                <w:rFonts w:ascii="宋体"/>
              </w:rPr>
            </w:pPr>
          </w:p>
        </w:tc>
        <w:tc>
          <w:tcPr>
            <w:tcW w:w="0" w:type="auto"/>
            <w:shd w:val="clear" w:color="auto" w:fill="auto"/>
            <w:vAlign w:val="center"/>
          </w:tcPr>
          <w:p w14:paraId="64A8AA11" w14:textId="77777777" w:rsidR="008D6614" w:rsidRDefault="008D6614">
            <w:pPr>
              <w:rPr>
                <w:rFonts w:ascii="宋体"/>
              </w:rPr>
            </w:pPr>
          </w:p>
        </w:tc>
        <w:tc>
          <w:tcPr>
            <w:tcW w:w="0" w:type="auto"/>
            <w:shd w:val="clear" w:color="auto" w:fill="auto"/>
            <w:vAlign w:val="center"/>
          </w:tcPr>
          <w:p w14:paraId="64A8AA12" w14:textId="77777777" w:rsidR="008D6614" w:rsidRDefault="008D6614">
            <w:pPr>
              <w:rPr>
                <w:rFonts w:ascii="宋体"/>
              </w:rPr>
            </w:pPr>
          </w:p>
        </w:tc>
        <w:tc>
          <w:tcPr>
            <w:tcW w:w="0" w:type="auto"/>
            <w:shd w:val="clear" w:color="auto" w:fill="auto"/>
            <w:vAlign w:val="center"/>
          </w:tcPr>
          <w:p w14:paraId="64A8AA13" w14:textId="77777777" w:rsidR="008D6614" w:rsidRDefault="008D6614">
            <w:pPr>
              <w:rPr>
                <w:rFonts w:ascii="宋体"/>
              </w:rPr>
            </w:pPr>
          </w:p>
        </w:tc>
        <w:tc>
          <w:tcPr>
            <w:tcW w:w="0" w:type="auto"/>
            <w:shd w:val="clear" w:color="auto" w:fill="auto"/>
            <w:vAlign w:val="center"/>
          </w:tcPr>
          <w:p w14:paraId="64A8AA14" w14:textId="77777777" w:rsidR="008D6614" w:rsidRDefault="008D6614">
            <w:pPr>
              <w:rPr>
                <w:rFonts w:ascii="宋体"/>
              </w:rPr>
            </w:pPr>
          </w:p>
        </w:tc>
        <w:tc>
          <w:tcPr>
            <w:tcW w:w="0" w:type="auto"/>
            <w:shd w:val="clear" w:color="auto" w:fill="auto"/>
            <w:vAlign w:val="center"/>
          </w:tcPr>
          <w:p w14:paraId="64A8AA15" w14:textId="77777777" w:rsidR="008D6614" w:rsidRDefault="008D6614">
            <w:pPr>
              <w:rPr>
                <w:rFonts w:ascii="宋体"/>
              </w:rPr>
            </w:pPr>
          </w:p>
        </w:tc>
        <w:tc>
          <w:tcPr>
            <w:tcW w:w="0" w:type="auto"/>
            <w:shd w:val="clear" w:color="auto" w:fill="auto"/>
            <w:vAlign w:val="center"/>
          </w:tcPr>
          <w:p w14:paraId="64A8AA16" w14:textId="77777777" w:rsidR="008D6614" w:rsidRDefault="008D6614">
            <w:pPr>
              <w:rPr>
                <w:rFonts w:ascii="宋体"/>
              </w:rPr>
            </w:pPr>
          </w:p>
        </w:tc>
        <w:tc>
          <w:tcPr>
            <w:tcW w:w="0" w:type="auto"/>
            <w:shd w:val="clear" w:color="auto" w:fill="auto"/>
            <w:vAlign w:val="center"/>
          </w:tcPr>
          <w:p w14:paraId="64A8AA17" w14:textId="77777777" w:rsidR="008D6614" w:rsidRDefault="008D6614">
            <w:pPr>
              <w:rPr>
                <w:rFonts w:ascii="宋体"/>
              </w:rPr>
            </w:pPr>
          </w:p>
        </w:tc>
        <w:tc>
          <w:tcPr>
            <w:tcW w:w="0" w:type="auto"/>
            <w:shd w:val="clear" w:color="auto" w:fill="auto"/>
            <w:vAlign w:val="center"/>
          </w:tcPr>
          <w:p w14:paraId="64A8AA18" w14:textId="77777777" w:rsidR="008D6614" w:rsidRDefault="008D6614">
            <w:pPr>
              <w:rPr>
                <w:rFonts w:ascii="宋体"/>
              </w:rPr>
            </w:pPr>
          </w:p>
        </w:tc>
        <w:tc>
          <w:tcPr>
            <w:tcW w:w="0" w:type="auto"/>
            <w:shd w:val="clear" w:color="auto" w:fill="auto"/>
            <w:vAlign w:val="center"/>
          </w:tcPr>
          <w:p w14:paraId="64A8AA19" w14:textId="77777777" w:rsidR="008D6614" w:rsidRDefault="008D6614">
            <w:pPr>
              <w:rPr>
                <w:rFonts w:ascii="宋体"/>
              </w:rPr>
            </w:pPr>
          </w:p>
        </w:tc>
        <w:tc>
          <w:tcPr>
            <w:tcW w:w="0" w:type="auto"/>
            <w:shd w:val="clear" w:color="auto" w:fill="auto"/>
            <w:vAlign w:val="center"/>
          </w:tcPr>
          <w:p w14:paraId="64A8AA1A" w14:textId="77777777" w:rsidR="008D6614" w:rsidRDefault="008D6614">
            <w:pPr>
              <w:rPr>
                <w:rFonts w:ascii="宋体"/>
              </w:rPr>
            </w:pPr>
          </w:p>
        </w:tc>
        <w:tc>
          <w:tcPr>
            <w:tcW w:w="0" w:type="auto"/>
            <w:shd w:val="clear" w:color="auto" w:fill="auto"/>
            <w:vAlign w:val="center"/>
          </w:tcPr>
          <w:p w14:paraId="64A8AA1B" w14:textId="77777777" w:rsidR="008D6614" w:rsidRDefault="008D6614">
            <w:pPr>
              <w:rPr>
                <w:rFonts w:ascii="宋体"/>
              </w:rPr>
            </w:pPr>
          </w:p>
        </w:tc>
      </w:tr>
      <w:tr w:rsidR="008D6614" w14:paraId="64A8AA3F" w14:textId="77777777">
        <w:tc>
          <w:tcPr>
            <w:tcW w:w="0" w:type="auto"/>
            <w:gridSpan w:val="3"/>
            <w:shd w:val="clear" w:color="auto" w:fill="FFFFFF"/>
            <w:tcMar>
              <w:top w:w="40" w:type="dxa"/>
              <w:left w:w="135" w:type="dxa"/>
              <w:bottom w:w="40" w:type="dxa"/>
              <w:right w:w="20" w:type="dxa"/>
            </w:tcMar>
            <w:vAlign w:val="bottom"/>
          </w:tcPr>
          <w:p w14:paraId="64A8AA1D" w14:textId="77777777" w:rsidR="008D6614" w:rsidRDefault="00866AF2">
            <w:pPr>
              <w:textAlignment w:val="bottom"/>
            </w:pPr>
            <w:r>
              <w:rPr>
                <w:rFonts w:ascii="Arial" w:eastAsia="宋体" w:hAnsi="Arial" w:cs="Arial"/>
                <w:color w:val="000000"/>
                <w:sz w:val="16"/>
                <w:szCs w:val="16"/>
              </w:rPr>
              <w:t>Net revenues</w:t>
            </w:r>
          </w:p>
        </w:tc>
        <w:tc>
          <w:tcPr>
            <w:tcW w:w="0" w:type="auto"/>
            <w:shd w:val="clear" w:color="auto" w:fill="FFFFFF"/>
            <w:tcMar>
              <w:top w:w="40" w:type="dxa"/>
              <w:left w:w="20" w:type="dxa"/>
              <w:bottom w:w="40" w:type="dxa"/>
            </w:tcMar>
            <w:vAlign w:val="bottom"/>
          </w:tcPr>
          <w:p w14:paraId="64A8AA1E"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AA1F" w14:textId="77777777" w:rsidR="008D6614" w:rsidRDefault="00866AF2">
            <w:pPr>
              <w:jc w:val="right"/>
              <w:textAlignment w:val="bottom"/>
            </w:pPr>
            <w:r>
              <w:rPr>
                <w:rFonts w:ascii="Arial" w:eastAsia="宋体" w:hAnsi="Arial" w:cs="Arial"/>
                <w:color w:val="000000"/>
                <w:sz w:val="16"/>
                <w:szCs w:val="16"/>
              </w:rPr>
              <w:t>2,413 </w:t>
            </w:r>
          </w:p>
        </w:tc>
        <w:tc>
          <w:tcPr>
            <w:tcW w:w="0" w:type="auto"/>
            <w:shd w:val="clear" w:color="auto" w:fill="FFFFFF"/>
            <w:tcMar>
              <w:top w:w="40" w:type="dxa"/>
              <w:bottom w:w="40" w:type="dxa"/>
              <w:right w:w="20" w:type="dxa"/>
            </w:tcMar>
            <w:vAlign w:val="bottom"/>
          </w:tcPr>
          <w:p w14:paraId="64A8AA2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A21"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AA22"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AA23" w14:textId="77777777" w:rsidR="008D6614" w:rsidRDefault="00866AF2">
            <w:pPr>
              <w:jc w:val="right"/>
              <w:textAlignment w:val="bottom"/>
            </w:pPr>
            <w:r>
              <w:rPr>
                <w:rFonts w:ascii="Arial" w:eastAsia="宋体" w:hAnsi="Arial" w:cs="Arial"/>
                <w:color w:val="000000"/>
                <w:sz w:val="16"/>
                <w:szCs w:val="16"/>
              </w:rPr>
              <w:t>2,423 </w:t>
            </w:r>
          </w:p>
        </w:tc>
        <w:tc>
          <w:tcPr>
            <w:tcW w:w="0" w:type="auto"/>
            <w:shd w:val="clear" w:color="auto" w:fill="FFFFFF"/>
            <w:tcMar>
              <w:top w:w="40" w:type="dxa"/>
              <w:bottom w:w="40" w:type="dxa"/>
              <w:right w:w="20" w:type="dxa"/>
            </w:tcMar>
            <w:vAlign w:val="bottom"/>
          </w:tcPr>
          <w:p w14:paraId="64A8AA2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A25"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AA26"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AA27" w14:textId="77777777" w:rsidR="008D6614" w:rsidRDefault="00866AF2">
            <w:pPr>
              <w:jc w:val="right"/>
              <w:textAlignment w:val="bottom"/>
            </w:pPr>
            <w:r>
              <w:rPr>
                <w:rFonts w:ascii="Arial" w:eastAsia="宋体" w:hAnsi="Arial" w:cs="Arial"/>
                <w:color w:val="000000"/>
                <w:sz w:val="16"/>
                <w:szCs w:val="16"/>
              </w:rPr>
              <w:t>2,343 </w:t>
            </w:r>
          </w:p>
        </w:tc>
        <w:tc>
          <w:tcPr>
            <w:tcW w:w="0" w:type="auto"/>
            <w:shd w:val="clear" w:color="auto" w:fill="FFFFFF"/>
            <w:tcMar>
              <w:top w:w="40" w:type="dxa"/>
              <w:bottom w:w="40" w:type="dxa"/>
              <w:right w:w="20" w:type="dxa"/>
            </w:tcMar>
            <w:vAlign w:val="bottom"/>
          </w:tcPr>
          <w:p w14:paraId="64A8AA2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A29"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AA2A"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AA2B" w14:textId="77777777" w:rsidR="008D6614" w:rsidRDefault="00866AF2">
            <w:pPr>
              <w:jc w:val="right"/>
              <w:textAlignment w:val="bottom"/>
            </w:pPr>
            <w:r>
              <w:rPr>
                <w:rFonts w:ascii="Arial" w:eastAsia="宋体" w:hAnsi="Arial" w:cs="Arial"/>
                <w:color w:val="000000"/>
                <w:sz w:val="16"/>
                <w:szCs w:val="16"/>
              </w:rPr>
              <w:t>2,500 </w:t>
            </w:r>
          </w:p>
        </w:tc>
        <w:tc>
          <w:tcPr>
            <w:tcW w:w="0" w:type="auto"/>
            <w:shd w:val="clear" w:color="auto" w:fill="FFFFFF"/>
            <w:tcMar>
              <w:top w:w="40" w:type="dxa"/>
              <w:bottom w:w="40" w:type="dxa"/>
              <w:right w:w="20" w:type="dxa"/>
            </w:tcMar>
            <w:vAlign w:val="bottom"/>
          </w:tcPr>
          <w:p w14:paraId="64A8AA2C"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auto"/>
            <w:vAlign w:val="center"/>
          </w:tcPr>
          <w:p w14:paraId="64A8AA2D" w14:textId="77777777" w:rsidR="008D6614" w:rsidRDefault="008D6614">
            <w:pPr>
              <w:rPr>
                <w:rFonts w:ascii="宋体"/>
              </w:rPr>
            </w:pPr>
          </w:p>
        </w:tc>
        <w:tc>
          <w:tcPr>
            <w:tcW w:w="0" w:type="auto"/>
            <w:shd w:val="clear" w:color="auto" w:fill="auto"/>
            <w:vAlign w:val="center"/>
          </w:tcPr>
          <w:p w14:paraId="64A8AA2E" w14:textId="77777777" w:rsidR="008D6614" w:rsidRDefault="008D6614">
            <w:pPr>
              <w:rPr>
                <w:rFonts w:ascii="宋体"/>
              </w:rPr>
            </w:pPr>
          </w:p>
        </w:tc>
        <w:tc>
          <w:tcPr>
            <w:tcW w:w="0" w:type="auto"/>
            <w:shd w:val="clear" w:color="auto" w:fill="auto"/>
            <w:vAlign w:val="center"/>
          </w:tcPr>
          <w:p w14:paraId="64A8AA2F" w14:textId="77777777" w:rsidR="008D6614" w:rsidRDefault="008D6614">
            <w:pPr>
              <w:rPr>
                <w:rFonts w:ascii="宋体"/>
              </w:rPr>
            </w:pPr>
          </w:p>
        </w:tc>
        <w:tc>
          <w:tcPr>
            <w:tcW w:w="0" w:type="auto"/>
            <w:shd w:val="clear" w:color="auto" w:fill="auto"/>
            <w:vAlign w:val="center"/>
          </w:tcPr>
          <w:p w14:paraId="64A8AA30" w14:textId="77777777" w:rsidR="008D6614" w:rsidRDefault="008D6614">
            <w:pPr>
              <w:rPr>
                <w:rFonts w:ascii="宋体"/>
              </w:rPr>
            </w:pPr>
          </w:p>
        </w:tc>
        <w:tc>
          <w:tcPr>
            <w:tcW w:w="0" w:type="auto"/>
            <w:shd w:val="clear" w:color="auto" w:fill="auto"/>
            <w:vAlign w:val="center"/>
          </w:tcPr>
          <w:p w14:paraId="64A8AA31" w14:textId="77777777" w:rsidR="008D6614" w:rsidRDefault="008D6614">
            <w:pPr>
              <w:rPr>
                <w:rFonts w:ascii="宋体"/>
              </w:rPr>
            </w:pPr>
          </w:p>
        </w:tc>
        <w:tc>
          <w:tcPr>
            <w:tcW w:w="0" w:type="auto"/>
            <w:shd w:val="clear" w:color="auto" w:fill="auto"/>
            <w:vAlign w:val="center"/>
          </w:tcPr>
          <w:p w14:paraId="64A8AA32" w14:textId="77777777" w:rsidR="008D6614" w:rsidRDefault="008D6614">
            <w:pPr>
              <w:rPr>
                <w:rFonts w:ascii="宋体"/>
              </w:rPr>
            </w:pPr>
          </w:p>
        </w:tc>
        <w:tc>
          <w:tcPr>
            <w:tcW w:w="0" w:type="auto"/>
            <w:shd w:val="clear" w:color="auto" w:fill="auto"/>
            <w:vAlign w:val="center"/>
          </w:tcPr>
          <w:p w14:paraId="64A8AA33" w14:textId="77777777" w:rsidR="008D6614" w:rsidRDefault="008D6614">
            <w:pPr>
              <w:rPr>
                <w:rFonts w:ascii="宋体"/>
              </w:rPr>
            </w:pPr>
          </w:p>
        </w:tc>
        <w:tc>
          <w:tcPr>
            <w:tcW w:w="0" w:type="auto"/>
            <w:shd w:val="clear" w:color="auto" w:fill="auto"/>
            <w:vAlign w:val="center"/>
          </w:tcPr>
          <w:p w14:paraId="64A8AA34" w14:textId="77777777" w:rsidR="008D6614" w:rsidRDefault="008D6614">
            <w:pPr>
              <w:rPr>
                <w:rFonts w:ascii="宋体"/>
              </w:rPr>
            </w:pPr>
          </w:p>
        </w:tc>
        <w:tc>
          <w:tcPr>
            <w:tcW w:w="0" w:type="auto"/>
            <w:shd w:val="clear" w:color="auto" w:fill="auto"/>
            <w:vAlign w:val="center"/>
          </w:tcPr>
          <w:p w14:paraId="64A8AA35" w14:textId="77777777" w:rsidR="008D6614" w:rsidRDefault="008D6614">
            <w:pPr>
              <w:rPr>
                <w:rFonts w:ascii="宋体"/>
              </w:rPr>
            </w:pPr>
          </w:p>
        </w:tc>
        <w:tc>
          <w:tcPr>
            <w:tcW w:w="0" w:type="auto"/>
            <w:shd w:val="clear" w:color="auto" w:fill="auto"/>
            <w:vAlign w:val="center"/>
          </w:tcPr>
          <w:p w14:paraId="64A8AA36" w14:textId="77777777" w:rsidR="008D6614" w:rsidRDefault="008D6614">
            <w:pPr>
              <w:rPr>
                <w:rFonts w:ascii="宋体"/>
              </w:rPr>
            </w:pPr>
          </w:p>
        </w:tc>
        <w:tc>
          <w:tcPr>
            <w:tcW w:w="0" w:type="auto"/>
            <w:shd w:val="clear" w:color="auto" w:fill="auto"/>
            <w:vAlign w:val="center"/>
          </w:tcPr>
          <w:p w14:paraId="64A8AA37" w14:textId="77777777" w:rsidR="008D6614" w:rsidRDefault="008D6614">
            <w:pPr>
              <w:rPr>
                <w:rFonts w:ascii="宋体"/>
              </w:rPr>
            </w:pPr>
          </w:p>
        </w:tc>
        <w:tc>
          <w:tcPr>
            <w:tcW w:w="0" w:type="auto"/>
            <w:shd w:val="clear" w:color="auto" w:fill="auto"/>
            <w:vAlign w:val="center"/>
          </w:tcPr>
          <w:p w14:paraId="64A8AA38" w14:textId="77777777" w:rsidR="008D6614" w:rsidRDefault="008D6614">
            <w:pPr>
              <w:rPr>
                <w:rFonts w:ascii="宋体"/>
              </w:rPr>
            </w:pPr>
          </w:p>
        </w:tc>
        <w:tc>
          <w:tcPr>
            <w:tcW w:w="0" w:type="auto"/>
            <w:shd w:val="clear" w:color="auto" w:fill="auto"/>
            <w:vAlign w:val="center"/>
          </w:tcPr>
          <w:p w14:paraId="64A8AA39" w14:textId="77777777" w:rsidR="008D6614" w:rsidRDefault="008D6614">
            <w:pPr>
              <w:rPr>
                <w:rFonts w:ascii="宋体"/>
              </w:rPr>
            </w:pPr>
          </w:p>
        </w:tc>
        <w:tc>
          <w:tcPr>
            <w:tcW w:w="0" w:type="auto"/>
            <w:shd w:val="clear" w:color="auto" w:fill="auto"/>
            <w:vAlign w:val="center"/>
          </w:tcPr>
          <w:p w14:paraId="64A8AA3A" w14:textId="77777777" w:rsidR="008D6614" w:rsidRDefault="008D6614">
            <w:pPr>
              <w:rPr>
                <w:rFonts w:ascii="宋体"/>
              </w:rPr>
            </w:pPr>
          </w:p>
        </w:tc>
        <w:tc>
          <w:tcPr>
            <w:tcW w:w="0" w:type="auto"/>
            <w:shd w:val="clear" w:color="auto" w:fill="auto"/>
            <w:vAlign w:val="center"/>
          </w:tcPr>
          <w:p w14:paraId="64A8AA3B" w14:textId="77777777" w:rsidR="008D6614" w:rsidRDefault="008D6614">
            <w:pPr>
              <w:rPr>
                <w:rFonts w:ascii="宋体"/>
              </w:rPr>
            </w:pPr>
          </w:p>
        </w:tc>
        <w:tc>
          <w:tcPr>
            <w:tcW w:w="0" w:type="auto"/>
            <w:shd w:val="clear" w:color="auto" w:fill="auto"/>
            <w:vAlign w:val="center"/>
          </w:tcPr>
          <w:p w14:paraId="64A8AA3C" w14:textId="77777777" w:rsidR="008D6614" w:rsidRDefault="008D6614">
            <w:pPr>
              <w:rPr>
                <w:rFonts w:ascii="宋体"/>
              </w:rPr>
            </w:pPr>
          </w:p>
        </w:tc>
        <w:tc>
          <w:tcPr>
            <w:tcW w:w="0" w:type="auto"/>
            <w:shd w:val="clear" w:color="auto" w:fill="auto"/>
            <w:vAlign w:val="center"/>
          </w:tcPr>
          <w:p w14:paraId="64A8AA3D" w14:textId="77777777" w:rsidR="008D6614" w:rsidRDefault="008D6614">
            <w:pPr>
              <w:rPr>
                <w:rFonts w:ascii="宋体"/>
              </w:rPr>
            </w:pPr>
          </w:p>
        </w:tc>
        <w:tc>
          <w:tcPr>
            <w:tcW w:w="0" w:type="auto"/>
            <w:shd w:val="clear" w:color="auto" w:fill="auto"/>
            <w:vAlign w:val="center"/>
          </w:tcPr>
          <w:p w14:paraId="64A8AA3E" w14:textId="77777777" w:rsidR="008D6614" w:rsidRDefault="008D6614">
            <w:pPr>
              <w:rPr>
                <w:rFonts w:ascii="宋体"/>
              </w:rPr>
            </w:pPr>
          </w:p>
        </w:tc>
      </w:tr>
      <w:tr w:rsidR="008D6614" w14:paraId="64A8AA5E" w14:textId="77777777">
        <w:tc>
          <w:tcPr>
            <w:tcW w:w="0" w:type="auto"/>
            <w:gridSpan w:val="3"/>
            <w:shd w:val="clear" w:color="auto" w:fill="D3D3D3"/>
            <w:tcMar>
              <w:top w:w="40" w:type="dxa"/>
              <w:left w:w="135" w:type="dxa"/>
              <w:bottom w:w="40" w:type="dxa"/>
              <w:right w:w="20" w:type="dxa"/>
            </w:tcMar>
            <w:vAlign w:val="bottom"/>
          </w:tcPr>
          <w:p w14:paraId="64A8AA40" w14:textId="77777777" w:rsidR="008D6614" w:rsidRDefault="00866AF2">
            <w:pPr>
              <w:textAlignment w:val="bottom"/>
            </w:pPr>
            <w:r>
              <w:rPr>
                <w:rFonts w:ascii="Arial" w:eastAsia="宋体" w:hAnsi="Arial" w:cs="Arial"/>
                <w:i/>
                <w:iCs/>
                <w:color w:val="000000"/>
                <w:sz w:val="16"/>
                <w:szCs w:val="16"/>
              </w:rPr>
              <w:t>% change from prior quarter</w:t>
            </w:r>
          </w:p>
        </w:tc>
        <w:tc>
          <w:tcPr>
            <w:tcW w:w="0" w:type="auto"/>
            <w:gridSpan w:val="2"/>
            <w:shd w:val="clear" w:color="auto" w:fill="D3D3D3"/>
            <w:tcMar>
              <w:top w:w="40" w:type="dxa"/>
              <w:left w:w="20" w:type="dxa"/>
              <w:bottom w:w="40" w:type="dxa"/>
              <w:right w:w="0" w:type="dxa"/>
            </w:tcMar>
            <w:vAlign w:val="bottom"/>
          </w:tcPr>
          <w:p w14:paraId="64A8AA41" w14:textId="77777777" w:rsidR="008D6614" w:rsidRDefault="00866AF2">
            <w:pPr>
              <w:jc w:val="right"/>
              <w:textAlignment w:val="bottom"/>
            </w:pPr>
            <w:r>
              <w:rPr>
                <w:rFonts w:ascii="Arial" w:eastAsia="宋体" w:hAnsi="Arial" w:cs="Arial"/>
                <w:i/>
                <w:iCs/>
                <w:color w:val="000000"/>
                <w:sz w:val="16"/>
                <w:szCs w:val="16"/>
              </w:rPr>
              <w:t>(6)</w:t>
            </w:r>
          </w:p>
        </w:tc>
        <w:tc>
          <w:tcPr>
            <w:tcW w:w="0" w:type="auto"/>
            <w:shd w:val="clear" w:color="auto" w:fill="D3D3D3"/>
            <w:tcMar>
              <w:top w:w="40" w:type="dxa"/>
              <w:bottom w:w="40" w:type="dxa"/>
              <w:right w:w="20" w:type="dxa"/>
            </w:tcMar>
            <w:vAlign w:val="bottom"/>
          </w:tcPr>
          <w:p w14:paraId="64A8AA42"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D3D3D3"/>
            <w:tcMar>
              <w:left w:w="20" w:type="dxa"/>
              <w:right w:w="20" w:type="dxa"/>
            </w:tcMar>
            <w:vAlign w:val="bottom"/>
          </w:tcPr>
          <w:p w14:paraId="64A8AA43" w14:textId="77777777" w:rsidR="008D6614" w:rsidRDefault="008D6614">
            <w:pPr>
              <w:rPr>
                <w:rFonts w:ascii="宋体"/>
              </w:rPr>
            </w:pPr>
          </w:p>
        </w:tc>
        <w:tc>
          <w:tcPr>
            <w:tcW w:w="0" w:type="auto"/>
            <w:gridSpan w:val="2"/>
            <w:shd w:val="clear" w:color="auto" w:fill="D3D3D3"/>
            <w:tcMar>
              <w:top w:w="40" w:type="dxa"/>
              <w:left w:w="20" w:type="dxa"/>
              <w:bottom w:w="40" w:type="dxa"/>
              <w:right w:w="0" w:type="dxa"/>
            </w:tcMar>
            <w:vAlign w:val="bottom"/>
          </w:tcPr>
          <w:p w14:paraId="64A8AA44" w14:textId="77777777" w:rsidR="008D6614" w:rsidRDefault="00866AF2">
            <w:pPr>
              <w:jc w:val="right"/>
              <w:textAlignment w:val="bottom"/>
            </w:pPr>
            <w:r>
              <w:rPr>
                <w:rFonts w:ascii="Arial" w:eastAsia="宋体" w:hAnsi="Arial" w:cs="Arial"/>
                <w:i/>
                <w:iCs/>
                <w:color w:val="000000"/>
                <w:sz w:val="16"/>
                <w:szCs w:val="16"/>
              </w:rPr>
              <w:t>— </w:t>
            </w:r>
          </w:p>
        </w:tc>
        <w:tc>
          <w:tcPr>
            <w:tcW w:w="0" w:type="auto"/>
            <w:shd w:val="clear" w:color="auto" w:fill="D3D3D3"/>
            <w:tcMar>
              <w:top w:w="40" w:type="dxa"/>
              <w:bottom w:w="40" w:type="dxa"/>
              <w:right w:w="20" w:type="dxa"/>
            </w:tcMar>
            <w:vAlign w:val="bottom"/>
          </w:tcPr>
          <w:p w14:paraId="64A8AA45"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D3D3D3"/>
            <w:tcMar>
              <w:left w:w="20" w:type="dxa"/>
              <w:right w:w="20" w:type="dxa"/>
            </w:tcMar>
            <w:vAlign w:val="bottom"/>
          </w:tcPr>
          <w:p w14:paraId="64A8AA46" w14:textId="77777777" w:rsidR="008D6614" w:rsidRDefault="008D6614">
            <w:pPr>
              <w:rPr>
                <w:rFonts w:ascii="宋体"/>
              </w:rPr>
            </w:pPr>
          </w:p>
        </w:tc>
        <w:tc>
          <w:tcPr>
            <w:tcW w:w="0" w:type="auto"/>
            <w:gridSpan w:val="2"/>
            <w:shd w:val="clear" w:color="auto" w:fill="D3D3D3"/>
            <w:tcMar>
              <w:top w:w="40" w:type="dxa"/>
              <w:left w:w="20" w:type="dxa"/>
              <w:bottom w:w="40" w:type="dxa"/>
              <w:right w:w="0" w:type="dxa"/>
            </w:tcMar>
            <w:vAlign w:val="bottom"/>
          </w:tcPr>
          <w:p w14:paraId="64A8AA47" w14:textId="77777777" w:rsidR="008D6614" w:rsidRDefault="00866AF2">
            <w:pPr>
              <w:jc w:val="right"/>
              <w:textAlignment w:val="bottom"/>
            </w:pPr>
            <w:r>
              <w:rPr>
                <w:rFonts w:ascii="Arial" w:eastAsia="宋体" w:hAnsi="Arial" w:cs="Arial"/>
                <w:i/>
                <w:iCs/>
                <w:color w:val="000000"/>
                <w:sz w:val="16"/>
                <w:szCs w:val="16"/>
              </w:rPr>
              <w:t>(3)</w:t>
            </w:r>
          </w:p>
        </w:tc>
        <w:tc>
          <w:tcPr>
            <w:tcW w:w="0" w:type="auto"/>
            <w:shd w:val="clear" w:color="auto" w:fill="D3D3D3"/>
            <w:tcMar>
              <w:top w:w="40" w:type="dxa"/>
              <w:bottom w:w="40" w:type="dxa"/>
              <w:right w:w="20" w:type="dxa"/>
            </w:tcMar>
            <w:vAlign w:val="bottom"/>
          </w:tcPr>
          <w:p w14:paraId="64A8AA48"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D3D3D3"/>
            <w:tcMar>
              <w:left w:w="20" w:type="dxa"/>
              <w:right w:w="20" w:type="dxa"/>
            </w:tcMar>
            <w:vAlign w:val="bottom"/>
          </w:tcPr>
          <w:p w14:paraId="64A8AA49" w14:textId="77777777" w:rsidR="008D6614" w:rsidRDefault="008D6614">
            <w:pPr>
              <w:rPr>
                <w:rFonts w:ascii="宋体"/>
              </w:rPr>
            </w:pPr>
          </w:p>
        </w:tc>
        <w:tc>
          <w:tcPr>
            <w:tcW w:w="0" w:type="auto"/>
            <w:gridSpan w:val="2"/>
            <w:shd w:val="clear" w:color="auto" w:fill="D3D3D3"/>
            <w:tcMar>
              <w:top w:w="40" w:type="dxa"/>
              <w:left w:w="20" w:type="dxa"/>
              <w:bottom w:w="40" w:type="dxa"/>
              <w:right w:w="0" w:type="dxa"/>
            </w:tcMar>
            <w:vAlign w:val="bottom"/>
          </w:tcPr>
          <w:p w14:paraId="64A8AA4A" w14:textId="77777777" w:rsidR="008D6614" w:rsidRDefault="00866AF2">
            <w:pPr>
              <w:jc w:val="right"/>
              <w:textAlignment w:val="bottom"/>
            </w:pPr>
            <w:r>
              <w:rPr>
                <w:rFonts w:ascii="Arial" w:eastAsia="宋体" w:hAnsi="Arial" w:cs="Arial"/>
                <w:i/>
                <w:iCs/>
                <w:color w:val="000000"/>
                <w:sz w:val="16"/>
                <w:szCs w:val="16"/>
              </w:rPr>
              <w:t>7 </w:t>
            </w:r>
          </w:p>
        </w:tc>
        <w:tc>
          <w:tcPr>
            <w:tcW w:w="0" w:type="auto"/>
            <w:shd w:val="clear" w:color="auto" w:fill="D3D3D3"/>
            <w:tcMar>
              <w:top w:w="40" w:type="dxa"/>
              <w:bottom w:w="40" w:type="dxa"/>
              <w:right w:w="20" w:type="dxa"/>
            </w:tcMar>
            <w:vAlign w:val="bottom"/>
          </w:tcPr>
          <w:p w14:paraId="64A8AA4B" w14:textId="77777777" w:rsidR="008D6614" w:rsidRDefault="00866AF2">
            <w:pPr>
              <w:jc w:val="right"/>
              <w:textAlignment w:val="bottom"/>
            </w:pPr>
            <w:r>
              <w:rPr>
                <w:rFonts w:ascii="Arial" w:eastAsia="宋体" w:hAnsi="Arial" w:cs="Arial"/>
                <w:i/>
                <w:iCs/>
                <w:color w:val="000000"/>
                <w:sz w:val="16"/>
                <w:szCs w:val="16"/>
              </w:rPr>
              <w:t>%</w:t>
            </w:r>
          </w:p>
        </w:tc>
        <w:tc>
          <w:tcPr>
            <w:tcW w:w="0" w:type="auto"/>
            <w:shd w:val="clear" w:color="auto" w:fill="auto"/>
            <w:vAlign w:val="center"/>
          </w:tcPr>
          <w:p w14:paraId="64A8AA4C" w14:textId="77777777" w:rsidR="008D6614" w:rsidRDefault="008D6614">
            <w:pPr>
              <w:rPr>
                <w:rFonts w:ascii="宋体"/>
              </w:rPr>
            </w:pPr>
          </w:p>
        </w:tc>
        <w:tc>
          <w:tcPr>
            <w:tcW w:w="0" w:type="auto"/>
            <w:shd w:val="clear" w:color="auto" w:fill="auto"/>
            <w:vAlign w:val="center"/>
          </w:tcPr>
          <w:p w14:paraId="64A8AA4D" w14:textId="77777777" w:rsidR="008D6614" w:rsidRDefault="008D6614">
            <w:pPr>
              <w:rPr>
                <w:rFonts w:ascii="宋体"/>
              </w:rPr>
            </w:pPr>
          </w:p>
        </w:tc>
        <w:tc>
          <w:tcPr>
            <w:tcW w:w="0" w:type="auto"/>
            <w:shd w:val="clear" w:color="auto" w:fill="auto"/>
            <w:vAlign w:val="center"/>
          </w:tcPr>
          <w:p w14:paraId="64A8AA4E" w14:textId="77777777" w:rsidR="008D6614" w:rsidRDefault="008D6614">
            <w:pPr>
              <w:rPr>
                <w:rFonts w:ascii="宋体"/>
              </w:rPr>
            </w:pPr>
          </w:p>
        </w:tc>
        <w:tc>
          <w:tcPr>
            <w:tcW w:w="0" w:type="auto"/>
            <w:shd w:val="clear" w:color="auto" w:fill="auto"/>
            <w:vAlign w:val="center"/>
          </w:tcPr>
          <w:p w14:paraId="64A8AA4F" w14:textId="77777777" w:rsidR="008D6614" w:rsidRDefault="008D6614">
            <w:pPr>
              <w:rPr>
                <w:rFonts w:ascii="宋体"/>
              </w:rPr>
            </w:pPr>
          </w:p>
        </w:tc>
        <w:tc>
          <w:tcPr>
            <w:tcW w:w="0" w:type="auto"/>
            <w:shd w:val="clear" w:color="auto" w:fill="auto"/>
            <w:vAlign w:val="center"/>
          </w:tcPr>
          <w:p w14:paraId="64A8AA50" w14:textId="77777777" w:rsidR="008D6614" w:rsidRDefault="008D6614">
            <w:pPr>
              <w:rPr>
                <w:rFonts w:ascii="宋体"/>
              </w:rPr>
            </w:pPr>
          </w:p>
        </w:tc>
        <w:tc>
          <w:tcPr>
            <w:tcW w:w="0" w:type="auto"/>
            <w:shd w:val="clear" w:color="auto" w:fill="auto"/>
            <w:vAlign w:val="center"/>
          </w:tcPr>
          <w:p w14:paraId="64A8AA51" w14:textId="77777777" w:rsidR="008D6614" w:rsidRDefault="008D6614">
            <w:pPr>
              <w:rPr>
                <w:rFonts w:ascii="宋体"/>
              </w:rPr>
            </w:pPr>
          </w:p>
        </w:tc>
        <w:tc>
          <w:tcPr>
            <w:tcW w:w="0" w:type="auto"/>
            <w:shd w:val="clear" w:color="auto" w:fill="auto"/>
            <w:vAlign w:val="center"/>
          </w:tcPr>
          <w:p w14:paraId="64A8AA52" w14:textId="77777777" w:rsidR="008D6614" w:rsidRDefault="008D6614">
            <w:pPr>
              <w:rPr>
                <w:rFonts w:ascii="宋体"/>
              </w:rPr>
            </w:pPr>
          </w:p>
        </w:tc>
        <w:tc>
          <w:tcPr>
            <w:tcW w:w="0" w:type="auto"/>
            <w:shd w:val="clear" w:color="auto" w:fill="auto"/>
            <w:vAlign w:val="center"/>
          </w:tcPr>
          <w:p w14:paraId="64A8AA53" w14:textId="77777777" w:rsidR="008D6614" w:rsidRDefault="008D6614">
            <w:pPr>
              <w:rPr>
                <w:rFonts w:ascii="宋体"/>
              </w:rPr>
            </w:pPr>
          </w:p>
        </w:tc>
        <w:tc>
          <w:tcPr>
            <w:tcW w:w="0" w:type="auto"/>
            <w:shd w:val="clear" w:color="auto" w:fill="auto"/>
            <w:vAlign w:val="center"/>
          </w:tcPr>
          <w:p w14:paraId="64A8AA54" w14:textId="77777777" w:rsidR="008D6614" w:rsidRDefault="008D6614">
            <w:pPr>
              <w:rPr>
                <w:rFonts w:ascii="宋体"/>
              </w:rPr>
            </w:pPr>
          </w:p>
        </w:tc>
        <w:tc>
          <w:tcPr>
            <w:tcW w:w="0" w:type="auto"/>
            <w:shd w:val="clear" w:color="auto" w:fill="auto"/>
            <w:vAlign w:val="center"/>
          </w:tcPr>
          <w:p w14:paraId="64A8AA55" w14:textId="77777777" w:rsidR="008D6614" w:rsidRDefault="008D6614">
            <w:pPr>
              <w:rPr>
                <w:rFonts w:ascii="宋体"/>
              </w:rPr>
            </w:pPr>
          </w:p>
        </w:tc>
        <w:tc>
          <w:tcPr>
            <w:tcW w:w="0" w:type="auto"/>
            <w:shd w:val="clear" w:color="auto" w:fill="auto"/>
            <w:vAlign w:val="center"/>
          </w:tcPr>
          <w:p w14:paraId="64A8AA56" w14:textId="77777777" w:rsidR="008D6614" w:rsidRDefault="008D6614">
            <w:pPr>
              <w:rPr>
                <w:rFonts w:ascii="宋体"/>
              </w:rPr>
            </w:pPr>
          </w:p>
        </w:tc>
        <w:tc>
          <w:tcPr>
            <w:tcW w:w="0" w:type="auto"/>
            <w:shd w:val="clear" w:color="auto" w:fill="auto"/>
            <w:vAlign w:val="center"/>
          </w:tcPr>
          <w:p w14:paraId="64A8AA57" w14:textId="77777777" w:rsidR="008D6614" w:rsidRDefault="008D6614">
            <w:pPr>
              <w:rPr>
                <w:rFonts w:ascii="宋体"/>
              </w:rPr>
            </w:pPr>
          </w:p>
        </w:tc>
        <w:tc>
          <w:tcPr>
            <w:tcW w:w="0" w:type="auto"/>
            <w:shd w:val="clear" w:color="auto" w:fill="auto"/>
            <w:vAlign w:val="center"/>
          </w:tcPr>
          <w:p w14:paraId="64A8AA58" w14:textId="77777777" w:rsidR="008D6614" w:rsidRDefault="008D6614">
            <w:pPr>
              <w:rPr>
                <w:rFonts w:ascii="宋体"/>
              </w:rPr>
            </w:pPr>
          </w:p>
        </w:tc>
        <w:tc>
          <w:tcPr>
            <w:tcW w:w="0" w:type="auto"/>
            <w:shd w:val="clear" w:color="auto" w:fill="auto"/>
            <w:vAlign w:val="center"/>
          </w:tcPr>
          <w:p w14:paraId="64A8AA59" w14:textId="77777777" w:rsidR="008D6614" w:rsidRDefault="008D6614">
            <w:pPr>
              <w:rPr>
                <w:rFonts w:ascii="宋体"/>
              </w:rPr>
            </w:pPr>
          </w:p>
        </w:tc>
        <w:tc>
          <w:tcPr>
            <w:tcW w:w="0" w:type="auto"/>
            <w:shd w:val="clear" w:color="auto" w:fill="auto"/>
            <w:vAlign w:val="center"/>
          </w:tcPr>
          <w:p w14:paraId="64A8AA5A" w14:textId="77777777" w:rsidR="008D6614" w:rsidRDefault="008D6614">
            <w:pPr>
              <w:rPr>
                <w:rFonts w:ascii="宋体"/>
              </w:rPr>
            </w:pPr>
          </w:p>
        </w:tc>
        <w:tc>
          <w:tcPr>
            <w:tcW w:w="0" w:type="auto"/>
            <w:shd w:val="clear" w:color="auto" w:fill="auto"/>
            <w:vAlign w:val="center"/>
          </w:tcPr>
          <w:p w14:paraId="64A8AA5B" w14:textId="77777777" w:rsidR="008D6614" w:rsidRDefault="008D6614">
            <w:pPr>
              <w:rPr>
                <w:rFonts w:ascii="宋体"/>
              </w:rPr>
            </w:pPr>
          </w:p>
        </w:tc>
        <w:tc>
          <w:tcPr>
            <w:tcW w:w="0" w:type="auto"/>
            <w:shd w:val="clear" w:color="auto" w:fill="auto"/>
            <w:vAlign w:val="center"/>
          </w:tcPr>
          <w:p w14:paraId="64A8AA5C" w14:textId="77777777" w:rsidR="008D6614" w:rsidRDefault="008D6614">
            <w:pPr>
              <w:rPr>
                <w:rFonts w:ascii="宋体"/>
              </w:rPr>
            </w:pPr>
          </w:p>
        </w:tc>
        <w:tc>
          <w:tcPr>
            <w:tcW w:w="0" w:type="auto"/>
            <w:shd w:val="clear" w:color="auto" w:fill="auto"/>
            <w:vAlign w:val="center"/>
          </w:tcPr>
          <w:p w14:paraId="64A8AA5D" w14:textId="77777777" w:rsidR="008D6614" w:rsidRDefault="008D6614">
            <w:pPr>
              <w:rPr>
                <w:rFonts w:ascii="宋体"/>
              </w:rPr>
            </w:pPr>
          </w:p>
        </w:tc>
      </w:tr>
      <w:tr w:rsidR="008D6614" w14:paraId="64A8AA79" w14:textId="77777777">
        <w:tc>
          <w:tcPr>
            <w:tcW w:w="0" w:type="auto"/>
            <w:gridSpan w:val="3"/>
            <w:shd w:val="clear" w:color="auto" w:fill="FFFFFF"/>
            <w:tcMar>
              <w:top w:w="40" w:type="dxa"/>
              <w:left w:w="20" w:type="dxa"/>
              <w:bottom w:w="40" w:type="dxa"/>
              <w:right w:w="20" w:type="dxa"/>
            </w:tcMar>
            <w:vAlign w:val="bottom"/>
          </w:tcPr>
          <w:p w14:paraId="64A8AA5F" w14:textId="77777777" w:rsidR="008D6614" w:rsidRDefault="00866AF2">
            <w:pPr>
              <w:textAlignment w:val="bottom"/>
            </w:pPr>
            <w:r>
              <w:rPr>
                <w:rFonts w:ascii="Arial" w:eastAsia="宋体" w:hAnsi="Arial" w:cs="Arial"/>
                <w:b/>
                <w:bCs/>
                <w:color w:val="000000"/>
                <w:sz w:val="16"/>
                <w:szCs w:val="16"/>
              </w:rPr>
              <w:t>2020</w:t>
            </w:r>
          </w:p>
        </w:tc>
        <w:tc>
          <w:tcPr>
            <w:tcW w:w="0" w:type="auto"/>
            <w:gridSpan w:val="3"/>
            <w:shd w:val="clear" w:color="auto" w:fill="FFFFFF"/>
            <w:tcMar>
              <w:left w:w="20" w:type="dxa"/>
              <w:right w:w="20" w:type="dxa"/>
            </w:tcMar>
            <w:vAlign w:val="bottom"/>
          </w:tcPr>
          <w:p w14:paraId="64A8AA60"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A61"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A62"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A6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A64"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A6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A66" w14:textId="77777777" w:rsidR="008D6614" w:rsidRDefault="008D6614">
            <w:pPr>
              <w:rPr>
                <w:rFonts w:ascii="宋体"/>
              </w:rPr>
            </w:pPr>
          </w:p>
        </w:tc>
        <w:tc>
          <w:tcPr>
            <w:tcW w:w="0" w:type="auto"/>
            <w:shd w:val="clear" w:color="auto" w:fill="auto"/>
            <w:vAlign w:val="center"/>
          </w:tcPr>
          <w:p w14:paraId="64A8AA67" w14:textId="77777777" w:rsidR="008D6614" w:rsidRDefault="008D6614">
            <w:pPr>
              <w:rPr>
                <w:rFonts w:ascii="宋体"/>
              </w:rPr>
            </w:pPr>
          </w:p>
        </w:tc>
        <w:tc>
          <w:tcPr>
            <w:tcW w:w="0" w:type="auto"/>
            <w:shd w:val="clear" w:color="auto" w:fill="auto"/>
            <w:vAlign w:val="center"/>
          </w:tcPr>
          <w:p w14:paraId="64A8AA68" w14:textId="77777777" w:rsidR="008D6614" w:rsidRDefault="008D6614">
            <w:pPr>
              <w:rPr>
                <w:rFonts w:ascii="宋体"/>
              </w:rPr>
            </w:pPr>
          </w:p>
        </w:tc>
        <w:tc>
          <w:tcPr>
            <w:tcW w:w="0" w:type="auto"/>
            <w:shd w:val="clear" w:color="auto" w:fill="auto"/>
            <w:vAlign w:val="center"/>
          </w:tcPr>
          <w:p w14:paraId="64A8AA69" w14:textId="77777777" w:rsidR="008D6614" w:rsidRDefault="008D6614">
            <w:pPr>
              <w:rPr>
                <w:rFonts w:ascii="宋体"/>
              </w:rPr>
            </w:pPr>
          </w:p>
        </w:tc>
        <w:tc>
          <w:tcPr>
            <w:tcW w:w="0" w:type="auto"/>
            <w:shd w:val="clear" w:color="auto" w:fill="auto"/>
            <w:vAlign w:val="center"/>
          </w:tcPr>
          <w:p w14:paraId="64A8AA6A" w14:textId="77777777" w:rsidR="008D6614" w:rsidRDefault="008D6614">
            <w:pPr>
              <w:rPr>
                <w:rFonts w:ascii="宋体"/>
              </w:rPr>
            </w:pPr>
          </w:p>
        </w:tc>
        <w:tc>
          <w:tcPr>
            <w:tcW w:w="0" w:type="auto"/>
            <w:shd w:val="clear" w:color="auto" w:fill="auto"/>
            <w:vAlign w:val="center"/>
          </w:tcPr>
          <w:p w14:paraId="64A8AA6B" w14:textId="77777777" w:rsidR="008D6614" w:rsidRDefault="008D6614">
            <w:pPr>
              <w:rPr>
                <w:rFonts w:ascii="宋体"/>
              </w:rPr>
            </w:pPr>
          </w:p>
        </w:tc>
        <w:tc>
          <w:tcPr>
            <w:tcW w:w="0" w:type="auto"/>
            <w:shd w:val="clear" w:color="auto" w:fill="auto"/>
            <w:vAlign w:val="center"/>
          </w:tcPr>
          <w:p w14:paraId="64A8AA6C" w14:textId="77777777" w:rsidR="008D6614" w:rsidRDefault="008D6614">
            <w:pPr>
              <w:rPr>
                <w:rFonts w:ascii="宋体"/>
              </w:rPr>
            </w:pPr>
          </w:p>
        </w:tc>
        <w:tc>
          <w:tcPr>
            <w:tcW w:w="0" w:type="auto"/>
            <w:shd w:val="clear" w:color="auto" w:fill="auto"/>
            <w:vAlign w:val="center"/>
          </w:tcPr>
          <w:p w14:paraId="64A8AA6D" w14:textId="77777777" w:rsidR="008D6614" w:rsidRDefault="008D6614">
            <w:pPr>
              <w:rPr>
                <w:rFonts w:ascii="宋体"/>
              </w:rPr>
            </w:pPr>
          </w:p>
        </w:tc>
        <w:tc>
          <w:tcPr>
            <w:tcW w:w="0" w:type="auto"/>
            <w:shd w:val="clear" w:color="auto" w:fill="auto"/>
            <w:vAlign w:val="center"/>
          </w:tcPr>
          <w:p w14:paraId="64A8AA6E" w14:textId="77777777" w:rsidR="008D6614" w:rsidRDefault="008D6614">
            <w:pPr>
              <w:rPr>
                <w:rFonts w:ascii="宋体"/>
              </w:rPr>
            </w:pPr>
          </w:p>
        </w:tc>
        <w:tc>
          <w:tcPr>
            <w:tcW w:w="0" w:type="auto"/>
            <w:shd w:val="clear" w:color="auto" w:fill="auto"/>
            <w:vAlign w:val="center"/>
          </w:tcPr>
          <w:p w14:paraId="64A8AA6F" w14:textId="77777777" w:rsidR="008D6614" w:rsidRDefault="008D6614">
            <w:pPr>
              <w:rPr>
                <w:rFonts w:ascii="宋体"/>
              </w:rPr>
            </w:pPr>
          </w:p>
        </w:tc>
        <w:tc>
          <w:tcPr>
            <w:tcW w:w="0" w:type="auto"/>
            <w:shd w:val="clear" w:color="auto" w:fill="auto"/>
            <w:vAlign w:val="center"/>
          </w:tcPr>
          <w:p w14:paraId="64A8AA70" w14:textId="77777777" w:rsidR="008D6614" w:rsidRDefault="008D6614">
            <w:pPr>
              <w:rPr>
                <w:rFonts w:ascii="宋体"/>
              </w:rPr>
            </w:pPr>
          </w:p>
        </w:tc>
        <w:tc>
          <w:tcPr>
            <w:tcW w:w="0" w:type="auto"/>
            <w:shd w:val="clear" w:color="auto" w:fill="auto"/>
            <w:vAlign w:val="center"/>
          </w:tcPr>
          <w:p w14:paraId="64A8AA71" w14:textId="77777777" w:rsidR="008D6614" w:rsidRDefault="008D6614">
            <w:pPr>
              <w:rPr>
                <w:rFonts w:ascii="宋体"/>
              </w:rPr>
            </w:pPr>
          </w:p>
        </w:tc>
        <w:tc>
          <w:tcPr>
            <w:tcW w:w="0" w:type="auto"/>
            <w:shd w:val="clear" w:color="auto" w:fill="auto"/>
            <w:vAlign w:val="center"/>
          </w:tcPr>
          <w:p w14:paraId="64A8AA72" w14:textId="77777777" w:rsidR="008D6614" w:rsidRDefault="008D6614">
            <w:pPr>
              <w:rPr>
                <w:rFonts w:ascii="宋体"/>
              </w:rPr>
            </w:pPr>
          </w:p>
        </w:tc>
        <w:tc>
          <w:tcPr>
            <w:tcW w:w="0" w:type="auto"/>
            <w:shd w:val="clear" w:color="auto" w:fill="auto"/>
            <w:vAlign w:val="center"/>
          </w:tcPr>
          <w:p w14:paraId="64A8AA73" w14:textId="77777777" w:rsidR="008D6614" w:rsidRDefault="008D6614">
            <w:pPr>
              <w:rPr>
                <w:rFonts w:ascii="宋体"/>
              </w:rPr>
            </w:pPr>
          </w:p>
        </w:tc>
        <w:tc>
          <w:tcPr>
            <w:tcW w:w="0" w:type="auto"/>
            <w:shd w:val="clear" w:color="auto" w:fill="auto"/>
            <w:vAlign w:val="center"/>
          </w:tcPr>
          <w:p w14:paraId="64A8AA74" w14:textId="77777777" w:rsidR="008D6614" w:rsidRDefault="008D6614">
            <w:pPr>
              <w:rPr>
                <w:rFonts w:ascii="宋体"/>
              </w:rPr>
            </w:pPr>
          </w:p>
        </w:tc>
        <w:tc>
          <w:tcPr>
            <w:tcW w:w="0" w:type="auto"/>
            <w:shd w:val="clear" w:color="auto" w:fill="auto"/>
            <w:vAlign w:val="center"/>
          </w:tcPr>
          <w:p w14:paraId="64A8AA75" w14:textId="77777777" w:rsidR="008D6614" w:rsidRDefault="008D6614">
            <w:pPr>
              <w:rPr>
                <w:rFonts w:ascii="宋体"/>
              </w:rPr>
            </w:pPr>
          </w:p>
        </w:tc>
        <w:tc>
          <w:tcPr>
            <w:tcW w:w="0" w:type="auto"/>
            <w:shd w:val="clear" w:color="auto" w:fill="auto"/>
            <w:vAlign w:val="center"/>
          </w:tcPr>
          <w:p w14:paraId="64A8AA76" w14:textId="77777777" w:rsidR="008D6614" w:rsidRDefault="008D6614">
            <w:pPr>
              <w:rPr>
                <w:rFonts w:ascii="宋体"/>
              </w:rPr>
            </w:pPr>
          </w:p>
        </w:tc>
        <w:tc>
          <w:tcPr>
            <w:tcW w:w="0" w:type="auto"/>
            <w:shd w:val="clear" w:color="auto" w:fill="auto"/>
            <w:vAlign w:val="center"/>
          </w:tcPr>
          <w:p w14:paraId="64A8AA77" w14:textId="77777777" w:rsidR="008D6614" w:rsidRDefault="008D6614">
            <w:pPr>
              <w:rPr>
                <w:rFonts w:ascii="宋体"/>
              </w:rPr>
            </w:pPr>
          </w:p>
        </w:tc>
        <w:tc>
          <w:tcPr>
            <w:tcW w:w="0" w:type="auto"/>
            <w:shd w:val="clear" w:color="auto" w:fill="auto"/>
            <w:vAlign w:val="center"/>
          </w:tcPr>
          <w:p w14:paraId="64A8AA78" w14:textId="77777777" w:rsidR="008D6614" w:rsidRDefault="008D6614">
            <w:pPr>
              <w:rPr>
                <w:rFonts w:ascii="宋体"/>
              </w:rPr>
            </w:pPr>
          </w:p>
        </w:tc>
      </w:tr>
      <w:tr w:rsidR="008D6614" w14:paraId="64A8AA9C" w14:textId="77777777">
        <w:tc>
          <w:tcPr>
            <w:tcW w:w="0" w:type="auto"/>
            <w:gridSpan w:val="3"/>
            <w:shd w:val="clear" w:color="auto" w:fill="D3D3D3"/>
            <w:tcMar>
              <w:top w:w="40" w:type="dxa"/>
              <w:left w:w="135" w:type="dxa"/>
              <w:bottom w:w="40" w:type="dxa"/>
              <w:right w:w="20" w:type="dxa"/>
            </w:tcMar>
            <w:vAlign w:val="bottom"/>
          </w:tcPr>
          <w:p w14:paraId="64A8AA7A" w14:textId="77777777" w:rsidR="008D6614" w:rsidRDefault="00866AF2">
            <w:pPr>
              <w:textAlignment w:val="bottom"/>
            </w:pPr>
            <w:r>
              <w:rPr>
                <w:rFonts w:ascii="Arial" w:eastAsia="宋体" w:hAnsi="Arial" w:cs="Arial"/>
                <w:color w:val="000000"/>
                <w:sz w:val="16"/>
                <w:szCs w:val="16"/>
              </w:rPr>
              <w:t>Net revenues</w:t>
            </w:r>
          </w:p>
        </w:tc>
        <w:tc>
          <w:tcPr>
            <w:tcW w:w="0" w:type="auto"/>
            <w:shd w:val="clear" w:color="auto" w:fill="D3D3D3"/>
            <w:tcMar>
              <w:top w:w="40" w:type="dxa"/>
              <w:left w:w="20" w:type="dxa"/>
              <w:bottom w:w="40" w:type="dxa"/>
            </w:tcMar>
            <w:vAlign w:val="bottom"/>
          </w:tcPr>
          <w:p w14:paraId="64A8AA7B" w14:textId="77777777" w:rsidR="008D6614" w:rsidRDefault="00866AF2">
            <w:pPr>
              <w:textAlignment w:val="bottom"/>
            </w:pPr>
            <w:r>
              <w:rPr>
                <w:rFonts w:ascii="Arial" w:eastAsia="宋体" w:hAnsi="Arial" w:cs="Arial"/>
                <w:color w:val="000000"/>
                <w:sz w:val="16"/>
                <w:szCs w:val="16"/>
              </w:rPr>
              <w:t>$</w:t>
            </w:r>
          </w:p>
        </w:tc>
        <w:tc>
          <w:tcPr>
            <w:tcW w:w="0" w:type="auto"/>
            <w:shd w:val="clear" w:color="auto" w:fill="D3D3D3"/>
            <w:tcMar>
              <w:top w:w="40" w:type="dxa"/>
              <w:bottom w:w="40" w:type="dxa"/>
              <w:right w:w="0" w:type="dxa"/>
            </w:tcMar>
            <w:vAlign w:val="bottom"/>
          </w:tcPr>
          <w:p w14:paraId="64A8AA7C" w14:textId="77777777" w:rsidR="008D6614" w:rsidRDefault="00866AF2">
            <w:pPr>
              <w:jc w:val="right"/>
              <w:textAlignment w:val="bottom"/>
            </w:pPr>
            <w:r>
              <w:rPr>
                <w:rFonts w:ascii="Arial" w:eastAsia="宋体" w:hAnsi="Arial" w:cs="Arial"/>
                <w:color w:val="000000"/>
                <w:sz w:val="16"/>
                <w:szCs w:val="16"/>
              </w:rPr>
              <w:t>2,374 </w:t>
            </w:r>
          </w:p>
        </w:tc>
        <w:tc>
          <w:tcPr>
            <w:tcW w:w="0" w:type="auto"/>
            <w:shd w:val="clear" w:color="auto" w:fill="D3D3D3"/>
            <w:tcMar>
              <w:top w:w="40" w:type="dxa"/>
              <w:bottom w:w="40" w:type="dxa"/>
              <w:right w:w="20" w:type="dxa"/>
            </w:tcMar>
            <w:vAlign w:val="bottom"/>
          </w:tcPr>
          <w:p w14:paraId="64A8AA7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D3D3D3"/>
            <w:tcMar>
              <w:left w:w="20" w:type="dxa"/>
              <w:right w:w="20" w:type="dxa"/>
            </w:tcMar>
            <w:vAlign w:val="bottom"/>
          </w:tcPr>
          <w:p w14:paraId="64A8AA7E" w14:textId="77777777" w:rsidR="008D6614" w:rsidRDefault="008D6614">
            <w:pPr>
              <w:rPr>
                <w:rFonts w:ascii="宋体"/>
              </w:rPr>
            </w:pPr>
          </w:p>
        </w:tc>
        <w:tc>
          <w:tcPr>
            <w:tcW w:w="0" w:type="auto"/>
            <w:shd w:val="clear" w:color="auto" w:fill="D3D3D3"/>
            <w:tcMar>
              <w:top w:w="40" w:type="dxa"/>
              <w:left w:w="20" w:type="dxa"/>
              <w:bottom w:w="40" w:type="dxa"/>
            </w:tcMar>
            <w:vAlign w:val="bottom"/>
          </w:tcPr>
          <w:p w14:paraId="64A8AA7F" w14:textId="77777777" w:rsidR="008D6614" w:rsidRDefault="00866AF2">
            <w:pPr>
              <w:textAlignment w:val="bottom"/>
            </w:pPr>
            <w:r>
              <w:rPr>
                <w:rFonts w:ascii="Arial" w:eastAsia="宋体" w:hAnsi="Arial" w:cs="Arial"/>
                <w:color w:val="000000"/>
                <w:sz w:val="16"/>
                <w:szCs w:val="16"/>
              </w:rPr>
              <w:t>$</w:t>
            </w:r>
          </w:p>
        </w:tc>
        <w:tc>
          <w:tcPr>
            <w:tcW w:w="0" w:type="auto"/>
            <w:shd w:val="clear" w:color="auto" w:fill="D3D3D3"/>
            <w:tcMar>
              <w:top w:w="40" w:type="dxa"/>
              <w:bottom w:w="40" w:type="dxa"/>
              <w:right w:w="0" w:type="dxa"/>
            </w:tcMar>
            <w:vAlign w:val="bottom"/>
          </w:tcPr>
          <w:p w14:paraId="64A8AA80"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D3D3D3"/>
            <w:tcMar>
              <w:top w:w="40" w:type="dxa"/>
              <w:bottom w:w="40" w:type="dxa"/>
              <w:right w:w="20" w:type="dxa"/>
            </w:tcMar>
            <w:vAlign w:val="bottom"/>
          </w:tcPr>
          <w:p w14:paraId="64A8AA8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D3D3D3"/>
            <w:tcMar>
              <w:left w:w="20" w:type="dxa"/>
              <w:right w:w="20" w:type="dxa"/>
            </w:tcMar>
            <w:vAlign w:val="bottom"/>
          </w:tcPr>
          <w:p w14:paraId="64A8AA82" w14:textId="77777777" w:rsidR="008D6614" w:rsidRDefault="008D6614">
            <w:pPr>
              <w:rPr>
                <w:rFonts w:ascii="宋体"/>
              </w:rPr>
            </w:pPr>
          </w:p>
        </w:tc>
        <w:tc>
          <w:tcPr>
            <w:tcW w:w="0" w:type="auto"/>
            <w:shd w:val="clear" w:color="auto" w:fill="D3D3D3"/>
            <w:tcMar>
              <w:top w:w="40" w:type="dxa"/>
              <w:left w:w="20" w:type="dxa"/>
              <w:bottom w:w="40" w:type="dxa"/>
            </w:tcMar>
            <w:vAlign w:val="bottom"/>
          </w:tcPr>
          <w:p w14:paraId="64A8AA83" w14:textId="77777777" w:rsidR="008D6614" w:rsidRDefault="00866AF2">
            <w:pPr>
              <w:textAlignment w:val="bottom"/>
            </w:pPr>
            <w:r>
              <w:rPr>
                <w:rFonts w:ascii="Arial" w:eastAsia="宋体" w:hAnsi="Arial" w:cs="Arial"/>
                <w:color w:val="000000"/>
                <w:sz w:val="16"/>
                <w:szCs w:val="16"/>
              </w:rPr>
              <w:t>$</w:t>
            </w:r>
          </w:p>
        </w:tc>
        <w:tc>
          <w:tcPr>
            <w:tcW w:w="0" w:type="auto"/>
            <w:shd w:val="clear" w:color="auto" w:fill="D3D3D3"/>
            <w:tcMar>
              <w:top w:w="40" w:type="dxa"/>
              <w:bottom w:w="40" w:type="dxa"/>
              <w:right w:w="0" w:type="dxa"/>
            </w:tcMar>
            <w:vAlign w:val="bottom"/>
          </w:tcPr>
          <w:p w14:paraId="64A8AA84"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D3D3D3"/>
            <w:tcMar>
              <w:top w:w="40" w:type="dxa"/>
              <w:bottom w:w="40" w:type="dxa"/>
              <w:right w:w="20" w:type="dxa"/>
            </w:tcMar>
            <w:vAlign w:val="bottom"/>
          </w:tcPr>
          <w:p w14:paraId="64A8AA8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D3D3D3"/>
            <w:tcMar>
              <w:left w:w="20" w:type="dxa"/>
              <w:right w:w="20" w:type="dxa"/>
            </w:tcMar>
            <w:vAlign w:val="bottom"/>
          </w:tcPr>
          <w:p w14:paraId="64A8AA86" w14:textId="77777777" w:rsidR="008D6614" w:rsidRDefault="008D6614">
            <w:pPr>
              <w:rPr>
                <w:rFonts w:ascii="宋体"/>
              </w:rPr>
            </w:pPr>
          </w:p>
        </w:tc>
        <w:tc>
          <w:tcPr>
            <w:tcW w:w="0" w:type="auto"/>
            <w:shd w:val="clear" w:color="auto" w:fill="D3D3D3"/>
            <w:tcMar>
              <w:top w:w="40" w:type="dxa"/>
              <w:left w:w="20" w:type="dxa"/>
              <w:bottom w:w="40" w:type="dxa"/>
            </w:tcMar>
            <w:vAlign w:val="bottom"/>
          </w:tcPr>
          <w:p w14:paraId="64A8AA87" w14:textId="77777777" w:rsidR="008D6614" w:rsidRDefault="00866AF2">
            <w:pPr>
              <w:textAlignment w:val="bottom"/>
            </w:pPr>
            <w:r>
              <w:rPr>
                <w:rFonts w:ascii="Arial" w:eastAsia="宋体" w:hAnsi="Arial" w:cs="Arial"/>
                <w:color w:val="000000"/>
                <w:sz w:val="16"/>
                <w:szCs w:val="16"/>
              </w:rPr>
              <w:t>$</w:t>
            </w:r>
          </w:p>
        </w:tc>
        <w:tc>
          <w:tcPr>
            <w:tcW w:w="0" w:type="auto"/>
            <w:shd w:val="clear" w:color="auto" w:fill="D3D3D3"/>
            <w:tcMar>
              <w:top w:w="40" w:type="dxa"/>
              <w:bottom w:w="40" w:type="dxa"/>
              <w:right w:w="0" w:type="dxa"/>
            </w:tcMar>
            <w:vAlign w:val="bottom"/>
          </w:tcPr>
          <w:p w14:paraId="64A8AA88"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D3D3D3"/>
            <w:tcMar>
              <w:top w:w="40" w:type="dxa"/>
              <w:bottom w:w="40" w:type="dxa"/>
              <w:right w:w="20" w:type="dxa"/>
            </w:tcMar>
            <w:vAlign w:val="bottom"/>
          </w:tcPr>
          <w:p w14:paraId="64A8AA89"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auto"/>
            <w:vAlign w:val="center"/>
          </w:tcPr>
          <w:p w14:paraId="64A8AA8A" w14:textId="77777777" w:rsidR="008D6614" w:rsidRDefault="008D6614">
            <w:pPr>
              <w:rPr>
                <w:rFonts w:ascii="宋体"/>
              </w:rPr>
            </w:pPr>
          </w:p>
        </w:tc>
        <w:tc>
          <w:tcPr>
            <w:tcW w:w="0" w:type="auto"/>
            <w:shd w:val="clear" w:color="auto" w:fill="auto"/>
            <w:vAlign w:val="center"/>
          </w:tcPr>
          <w:p w14:paraId="64A8AA8B" w14:textId="77777777" w:rsidR="008D6614" w:rsidRDefault="008D6614">
            <w:pPr>
              <w:rPr>
                <w:rFonts w:ascii="宋体"/>
              </w:rPr>
            </w:pPr>
          </w:p>
        </w:tc>
        <w:tc>
          <w:tcPr>
            <w:tcW w:w="0" w:type="auto"/>
            <w:shd w:val="clear" w:color="auto" w:fill="auto"/>
            <w:vAlign w:val="center"/>
          </w:tcPr>
          <w:p w14:paraId="64A8AA8C" w14:textId="77777777" w:rsidR="008D6614" w:rsidRDefault="008D6614">
            <w:pPr>
              <w:rPr>
                <w:rFonts w:ascii="宋体"/>
              </w:rPr>
            </w:pPr>
          </w:p>
        </w:tc>
        <w:tc>
          <w:tcPr>
            <w:tcW w:w="0" w:type="auto"/>
            <w:shd w:val="clear" w:color="auto" w:fill="auto"/>
            <w:vAlign w:val="center"/>
          </w:tcPr>
          <w:p w14:paraId="64A8AA8D" w14:textId="77777777" w:rsidR="008D6614" w:rsidRDefault="008D6614">
            <w:pPr>
              <w:rPr>
                <w:rFonts w:ascii="宋体"/>
              </w:rPr>
            </w:pPr>
          </w:p>
        </w:tc>
        <w:tc>
          <w:tcPr>
            <w:tcW w:w="0" w:type="auto"/>
            <w:shd w:val="clear" w:color="auto" w:fill="auto"/>
            <w:vAlign w:val="center"/>
          </w:tcPr>
          <w:p w14:paraId="64A8AA8E" w14:textId="77777777" w:rsidR="008D6614" w:rsidRDefault="008D6614">
            <w:pPr>
              <w:rPr>
                <w:rFonts w:ascii="宋体"/>
              </w:rPr>
            </w:pPr>
          </w:p>
        </w:tc>
        <w:tc>
          <w:tcPr>
            <w:tcW w:w="0" w:type="auto"/>
            <w:shd w:val="clear" w:color="auto" w:fill="auto"/>
            <w:vAlign w:val="center"/>
          </w:tcPr>
          <w:p w14:paraId="64A8AA8F" w14:textId="77777777" w:rsidR="008D6614" w:rsidRDefault="008D6614">
            <w:pPr>
              <w:rPr>
                <w:rFonts w:ascii="宋体"/>
              </w:rPr>
            </w:pPr>
          </w:p>
        </w:tc>
        <w:tc>
          <w:tcPr>
            <w:tcW w:w="0" w:type="auto"/>
            <w:shd w:val="clear" w:color="auto" w:fill="auto"/>
            <w:vAlign w:val="center"/>
          </w:tcPr>
          <w:p w14:paraId="64A8AA90" w14:textId="77777777" w:rsidR="008D6614" w:rsidRDefault="008D6614">
            <w:pPr>
              <w:rPr>
                <w:rFonts w:ascii="宋体"/>
              </w:rPr>
            </w:pPr>
          </w:p>
        </w:tc>
        <w:tc>
          <w:tcPr>
            <w:tcW w:w="0" w:type="auto"/>
            <w:shd w:val="clear" w:color="auto" w:fill="auto"/>
            <w:vAlign w:val="center"/>
          </w:tcPr>
          <w:p w14:paraId="64A8AA91" w14:textId="77777777" w:rsidR="008D6614" w:rsidRDefault="008D6614">
            <w:pPr>
              <w:rPr>
                <w:rFonts w:ascii="宋体"/>
              </w:rPr>
            </w:pPr>
          </w:p>
        </w:tc>
        <w:tc>
          <w:tcPr>
            <w:tcW w:w="0" w:type="auto"/>
            <w:shd w:val="clear" w:color="auto" w:fill="auto"/>
            <w:vAlign w:val="center"/>
          </w:tcPr>
          <w:p w14:paraId="64A8AA92" w14:textId="77777777" w:rsidR="008D6614" w:rsidRDefault="008D6614">
            <w:pPr>
              <w:rPr>
                <w:rFonts w:ascii="宋体"/>
              </w:rPr>
            </w:pPr>
          </w:p>
        </w:tc>
        <w:tc>
          <w:tcPr>
            <w:tcW w:w="0" w:type="auto"/>
            <w:shd w:val="clear" w:color="auto" w:fill="auto"/>
            <w:vAlign w:val="center"/>
          </w:tcPr>
          <w:p w14:paraId="64A8AA93" w14:textId="77777777" w:rsidR="008D6614" w:rsidRDefault="008D6614">
            <w:pPr>
              <w:rPr>
                <w:rFonts w:ascii="宋体"/>
              </w:rPr>
            </w:pPr>
          </w:p>
        </w:tc>
        <w:tc>
          <w:tcPr>
            <w:tcW w:w="0" w:type="auto"/>
            <w:shd w:val="clear" w:color="auto" w:fill="auto"/>
            <w:vAlign w:val="center"/>
          </w:tcPr>
          <w:p w14:paraId="64A8AA94" w14:textId="77777777" w:rsidR="008D6614" w:rsidRDefault="008D6614">
            <w:pPr>
              <w:rPr>
                <w:rFonts w:ascii="宋体"/>
              </w:rPr>
            </w:pPr>
          </w:p>
        </w:tc>
        <w:tc>
          <w:tcPr>
            <w:tcW w:w="0" w:type="auto"/>
            <w:shd w:val="clear" w:color="auto" w:fill="auto"/>
            <w:vAlign w:val="center"/>
          </w:tcPr>
          <w:p w14:paraId="64A8AA95" w14:textId="77777777" w:rsidR="008D6614" w:rsidRDefault="008D6614">
            <w:pPr>
              <w:rPr>
                <w:rFonts w:ascii="宋体"/>
              </w:rPr>
            </w:pPr>
          </w:p>
        </w:tc>
        <w:tc>
          <w:tcPr>
            <w:tcW w:w="0" w:type="auto"/>
            <w:shd w:val="clear" w:color="auto" w:fill="auto"/>
            <w:vAlign w:val="center"/>
          </w:tcPr>
          <w:p w14:paraId="64A8AA96" w14:textId="77777777" w:rsidR="008D6614" w:rsidRDefault="008D6614">
            <w:pPr>
              <w:rPr>
                <w:rFonts w:ascii="宋体"/>
              </w:rPr>
            </w:pPr>
          </w:p>
        </w:tc>
        <w:tc>
          <w:tcPr>
            <w:tcW w:w="0" w:type="auto"/>
            <w:shd w:val="clear" w:color="auto" w:fill="auto"/>
            <w:vAlign w:val="center"/>
          </w:tcPr>
          <w:p w14:paraId="64A8AA97" w14:textId="77777777" w:rsidR="008D6614" w:rsidRDefault="008D6614">
            <w:pPr>
              <w:rPr>
                <w:rFonts w:ascii="宋体"/>
              </w:rPr>
            </w:pPr>
          </w:p>
        </w:tc>
        <w:tc>
          <w:tcPr>
            <w:tcW w:w="0" w:type="auto"/>
            <w:shd w:val="clear" w:color="auto" w:fill="auto"/>
            <w:vAlign w:val="center"/>
          </w:tcPr>
          <w:p w14:paraId="64A8AA98" w14:textId="77777777" w:rsidR="008D6614" w:rsidRDefault="008D6614">
            <w:pPr>
              <w:rPr>
                <w:rFonts w:ascii="宋体"/>
              </w:rPr>
            </w:pPr>
          </w:p>
        </w:tc>
        <w:tc>
          <w:tcPr>
            <w:tcW w:w="0" w:type="auto"/>
            <w:shd w:val="clear" w:color="auto" w:fill="auto"/>
            <w:vAlign w:val="center"/>
          </w:tcPr>
          <w:p w14:paraId="64A8AA99" w14:textId="77777777" w:rsidR="008D6614" w:rsidRDefault="008D6614">
            <w:pPr>
              <w:rPr>
                <w:rFonts w:ascii="宋体"/>
              </w:rPr>
            </w:pPr>
          </w:p>
        </w:tc>
        <w:tc>
          <w:tcPr>
            <w:tcW w:w="0" w:type="auto"/>
            <w:shd w:val="clear" w:color="auto" w:fill="auto"/>
            <w:vAlign w:val="center"/>
          </w:tcPr>
          <w:p w14:paraId="64A8AA9A" w14:textId="77777777" w:rsidR="008D6614" w:rsidRDefault="008D6614">
            <w:pPr>
              <w:rPr>
                <w:rFonts w:ascii="宋体"/>
              </w:rPr>
            </w:pPr>
          </w:p>
        </w:tc>
        <w:tc>
          <w:tcPr>
            <w:tcW w:w="0" w:type="auto"/>
            <w:shd w:val="clear" w:color="auto" w:fill="auto"/>
            <w:vAlign w:val="center"/>
          </w:tcPr>
          <w:p w14:paraId="64A8AA9B" w14:textId="77777777" w:rsidR="008D6614" w:rsidRDefault="008D6614">
            <w:pPr>
              <w:rPr>
                <w:rFonts w:ascii="宋体"/>
              </w:rPr>
            </w:pPr>
          </w:p>
        </w:tc>
      </w:tr>
      <w:tr w:rsidR="008D6614" w14:paraId="64A8AABA" w14:textId="77777777">
        <w:tc>
          <w:tcPr>
            <w:tcW w:w="0" w:type="auto"/>
            <w:gridSpan w:val="3"/>
            <w:shd w:val="clear" w:color="auto" w:fill="FFFFFF"/>
            <w:tcMar>
              <w:top w:w="40" w:type="dxa"/>
              <w:left w:w="135" w:type="dxa"/>
              <w:bottom w:w="40" w:type="dxa"/>
              <w:right w:w="20" w:type="dxa"/>
            </w:tcMar>
            <w:vAlign w:val="bottom"/>
          </w:tcPr>
          <w:p w14:paraId="64A8AA9D" w14:textId="77777777" w:rsidR="008D6614" w:rsidRDefault="00866AF2">
            <w:pPr>
              <w:textAlignment w:val="bottom"/>
            </w:pPr>
            <w:r>
              <w:rPr>
                <w:rFonts w:ascii="Arial" w:eastAsia="宋体" w:hAnsi="Arial" w:cs="Arial"/>
                <w:i/>
                <w:iCs/>
                <w:color w:val="000000"/>
                <w:sz w:val="16"/>
                <w:szCs w:val="16"/>
              </w:rPr>
              <w:t>% change from prior quarter</w:t>
            </w:r>
          </w:p>
        </w:tc>
        <w:tc>
          <w:tcPr>
            <w:tcW w:w="0" w:type="auto"/>
            <w:gridSpan w:val="2"/>
            <w:shd w:val="clear" w:color="auto" w:fill="FFFFFF"/>
            <w:tcMar>
              <w:top w:w="40" w:type="dxa"/>
              <w:left w:w="20" w:type="dxa"/>
              <w:bottom w:w="40" w:type="dxa"/>
              <w:right w:w="0" w:type="dxa"/>
            </w:tcMar>
            <w:vAlign w:val="bottom"/>
          </w:tcPr>
          <w:p w14:paraId="64A8AA9E" w14:textId="77777777" w:rsidR="008D6614" w:rsidRDefault="00866AF2">
            <w:pPr>
              <w:jc w:val="right"/>
              <w:textAlignment w:val="bottom"/>
            </w:pPr>
            <w:r>
              <w:rPr>
                <w:rFonts w:ascii="Arial" w:eastAsia="宋体" w:hAnsi="Arial" w:cs="Arial"/>
                <w:i/>
                <w:iCs/>
                <w:color w:val="000000"/>
                <w:sz w:val="16"/>
                <w:szCs w:val="16"/>
              </w:rPr>
              <w:t>(5)</w:t>
            </w:r>
          </w:p>
        </w:tc>
        <w:tc>
          <w:tcPr>
            <w:tcW w:w="0" w:type="auto"/>
            <w:shd w:val="clear" w:color="auto" w:fill="FFFFFF"/>
            <w:tcMar>
              <w:top w:w="40" w:type="dxa"/>
              <w:bottom w:w="40" w:type="dxa"/>
              <w:right w:w="20" w:type="dxa"/>
            </w:tcMar>
            <w:vAlign w:val="bottom"/>
          </w:tcPr>
          <w:p w14:paraId="64A8AA9F"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AA0"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AAA1" w14:textId="77777777" w:rsidR="008D6614" w:rsidRDefault="008D6614">
            <w:pPr>
              <w:jc w:val="right"/>
              <w:rPr>
                <w:rFonts w:ascii="宋体"/>
              </w:rPr>
            </w:pPr>
          </w:p>
        </w:tc>
        <w:tc>
          <w:tcPr>
            <w:tcW w:w="0" w:type="auto"/>
            <w:shd w:val="clear" w:color="auto" w:fill="FFFFFF"/>
            <w:tcMar>
              <w:right w:w="20" w:type="dxa"/>
            </w:tcMar>
            <w:vAlign w:val="bottom"/>
          </w:tcPr>
          <w:p w14:paraId="64A8AAA2" w14:textId="77777777" w:rsidR="008D6614" w:rsidRDefault="008D6614">
            <w:pPr>
              <w:jc w:val="right"/>
              <w:rPr>
                <w:rFonts w:ascii="宋体"/>
              </w:rPr>
            </w:pPr>
          </w:p>
        </w:tc>
        <w:tc>
          <w:tcPr>
            <w:tcW w:w="0" w:type="auto"/>
            <w:gridSpan w:val="3"/>
            <w:shd w:val="clear" w:color="auto" w:fill="FFFFFF"/>
            <w:tcMar>
              <w:left w:w="20" w:type="dxa"/>
              <w:right w:w="20" w:type="dxa"/>
            </w:tcMar>
            <w:vAlign w:val="bottom"/>
          </w:tcPr>
          <w:p w14:paraId="64A8AAA3"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AAA4" w14:textId="77777777" w:rsidR="008D6614" w:rsidRDefault="008D6614">
            <w:pPr>
              <w:jc w:val="right"/>
              <w:rPr>
                <w:rFonts w:ascii="宋体"/>
              </w:rPr>
            </w:pPr>
          </w:p>
        </w:tc>
        <w:tc>
          <w:tcPr>
            <w:tcW w:w="0" w:type="auto"/>
            <w:shd w:val="clear" w:color="auto" w:fill="FFFFFF"/>
            <w:tcMar>
              <w:right w:w="20" w:type="dxa"/>
            </w:tcMar>
            <w:vAlign w:val="bottom"/>
          </w:tcPr>
          <w:p w14:paraId="64A8AAA5" w14:textId="77777777" w:rsidR="008D6614" w:rsidRDefault="008D6614">
            <w:pPr>
              <w:jc w:val="right"/>
              <w:rPr>
                <w:rFonts w:ascii="宋体"/>
              </w:rPr>
            </w:pPr>
          </w:p>
        </w:tc>
        <w:tc>
          <w:tcPr>
            <w:tcW w:w="0" w:type="auto"/>
            <w:gridSpan w:val="3"/>
            <w:shd w:val="clear" w:color="auto" w:fill="FFFFFF"/>
            <w:tcMar>
              <w:left w:w="20" w:type="dxa"/>
              <w:right w:w="20" w:type="dxa"/>
            </w:tcMar>
            <w:vAlign w:val="bottom"/>
          </w:tcPr>
          <w:p w14:paraId="64A8AAA6"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AA7" w14:textId="77777777" w:rsidR="008D6614" w:rsidRDefault="008D6614">
            <w:pPr>
              <w:rPr>
                <w:rFonts w:ascii="宋体"/>
              </w:rPr>
            </w:pPr>
          </w:p>
        </w:tc>
        <w:tc>
          <w:tcPr>
            <w:tcW w:w="0" w:type="auto"/>
            <w:shd w:val="clear" w:color="auto" w:fill="auto"/>
            <w:vAlign w:val="center"/>
          </w:tcPr>
          <w:p w14:paraId="64A8AAA8" w14:textId="77777777" w:rsidR="008D6614" w:rsidRDefault="008D6614">
            <w:pPr>
              <w:rPr>
                <w:rFonts w:ascii="宋体"/>
              </w:rPr>
            </w:pPr>
          </w:p>
        </w:tc>
        <w:tc>
          <w:tcPr>
            <w:tcW w:w="0" w:type="auto"/>
            <w:shd w:val="clear" w:color="auto" w:fill="auto"/>
            <w:vAlign w:val="center"/>
          </w:tcPr>
          <w:p w14:paraId="64A8AAA9" w14:textId="77777777" w:rsidR="008D6614" w:rsidRDefault="008D6614">
            <w:pPr>
              <w:rPr>
                <w:rFonts w:ascii="宋体"/>
              </w:rPr>
            </w:pPr>
          </w:p>
        </w:tc>
        <w:tc>
          <w:tcPr>
            <w:tcW w:w="0" w:type="auto"/>
            <w:shd w:val="clear" w:color="auto" w:fill="auto"/>
            <w:vAlign w:val="center"/>
          </w:tcPr>
          <w:p w14:paraId="64A8AAAA" w14:textId="77777777" w:rsidR="008D6614" w:rsidRDefault="008D6614">
            <w:pPr>
              <w:rPr>
                <w:rFonts w:ascii="宋体"/>
              </w:rPr>
            </w:pPr>
          </w:p>
        </w:tc>
        <w:tc>
          <w:tcPr>
            <w:tcW w:w="0" w:type="auto"/>
            <w:shd w:val="clear" w:color="auto" w:fill="auto"/>
            <w:vAlign w:val="center"/>
          </w:tcPr>
          <w:p w14:paraId="64A8AAAB" w14:textId="77777777" w:rsidR="008D6614" w:rsidRDefault="008D6614">
            <w:pPr>
              <w:rPr>
                <w:rFonts w:ascii="宋体"/>
              </w:rPr>
            </w:pPr>
          </w:p>
        </w:tc>
        <w:tc>
          <w:tcPr>
            <w:tcW w:w="0" w:type="auto"/>
            <w:shd w:val="clear" w:color="auto" w:fill="auto"/>
            <w:vAlign w:val="center"/>
          </w:tcPr>
          <w:p w14:paraId="64A8AAAC" w14:textId="77777777" w:rsidR="008D6614" w:rsidRDefault="008D6614">
            <w:pPr>
              <w:rPr>
                <w:rFonts w:ascii="宋体"/>
              </w:rPr>
            </w:pPr>
          </w:p>
        </w:tc>
        <w:tc>
          <w:tcPr>
            <w:tcW w:w="0" w:type="auto"/>
            <w:shd w:val="clear" w:color="auto" w:fill="auto"/>
            <w:vAlign w:val="center"/>
          </w:tcPr>
          <w:p w14:paraId="64A8AAAD" w14:textId="77777777" w:rsidR="008D6614" w:rsidRDefault="008D6614">
            <w:pPr>
              <w:rPr>
                <w:rFonts w:ascii="宋体"/>
              </w:rPr>
            </w:pPr>
          </w:p>
        </w:tc>
        <w:tc>
          <w:tcPr>
            <w:tcW w:w="0" w:type="auto"/>
            <w:shd w:val="clear" w:color="auto" w:fill="auto"/>
            <w:vAlign w:val="center"/>
          </w:tcPr>
          <w:p w14:paraId="64A8AAAE" w14:textId="77777777" w:rsidR="008D6614" w:rsidRDefault="008D6614">
            <w:pPr>
              <w:rPr>
                <w:rFonts w:ascii="宋体"/>
              </w:rPr>
            </w:pPr>
          </w:p>
        </w:tc>
        <w:tc>
          <w:tcPr>
            <w:tcW w:w="0" w:type="auto"/>
            <w:shd w:val="clear" w:color="auto" w:fill="auto"/>
            <w:vAlign w:val="center"/>
          </w:tcPr>
          <w:p w14:paraId="64A8AAAF" w14:textId="77777777" w:rsidR="008D6614" w:rsidRDefault="008D6614">
            <w:pPr>
              <w:rPr>
                <w:rFonts w:ascii="宋体"/>
              </w:rPr>
            </w:pPr>
          </w:p>
        </w:tc>
        <w:tc>
          <w:tcPr>
            <w:tcW w:w="0" w:type="auto"/>
            <w:shd w:val="clear" w:color="auto" w:fill="auto"/>
            <w:vAlign w:val="center"/>
          </w:tcPr>
          <w:p w14:paraId="64A8AAB0" w14:textId="77777777" w:rsidR="008D6614" w:rsidRDefault="008D6614">
            <w:pPr>
              <w:rPr>
                <w:rFonts w:ascii="宋体"/>
              </w:rPr>
            </w:pPr>
          </w:p>
        </w:tc>
        <w:tc>
          <w:tcPr>
            <w:tcW w:w="0" w:type="auto"/>
            <w:shd w:val="clear" w:color="auto" w:fill="auto"/>
            <w:vAlign w:val="center"/>
          </w:tcPr>
          <w:p w14:paraId="64A8AAB1" w14:textId="77777777" w:rsidR="008D6614" w:rsidRDefault="008D6614">
            <w:pPr>
              <w:rPr>
                <w:rFonts w:ascii="宋体"/>
              </w:rPr>
            </w:pPr>
          </w:p>
        </w:tc>
        <w:tc>
          <w:tcPr>
            <w:tcW w:w="0" w:type="auto"/>
            <w:shd w:val="clear" w:color="auto" w:fill="auto"/>
            <w:vAlign w:val="center"/>
          </w:tcPr>
          <w:p w14:paraId="64A8AAB2" w14:textId="77777777" w:rsidR="008D6614" w:rsidRDefault="008D6614">
            <w:pPr>
              <w:rPr>
                <w:rFonts w:ascii="宋体"/>
              </w:rPr>
            </w:pPr>
          </w:p>
        </w:tc>
        <w:tc>
          <w:tcPr>
            <w:tcW w:w="0" w:type="auto"/>
            <w:shd w:val="clear" w:color="auto" w:fill="auto"/>
            <w:vAlign w:val="center"/>
          </w:tcPr>
          <w:p w14:paraId="64A8AAB3" w14:textId="77777777" w:rsidR="008D6614" w:rsidRDefault="008D6614">
            <w:pPr>
              <w:rPr>
                <w:rFonts w:ascii="宋体"/>
              </w:rPr>
            </w:pPr>
          </w:p>
        </w:tc>
        <w:tc>
          <w:tcPr>
            <w:tcW w:w="0" w:type="auto"/>
            <w:shd w:val="clear" w:color="auto" w:fill="auto"/>
            <w:vAlign w:val="center"/>
          </w:tcPr>
          <w:p w14:paraId="64A8AAB4" w14:textId="77777777" w:rsidR="008D6614" w:rsidRDefault="008D6614">
            <w:pPr>
              <w:rPr>
                <w:rFonts w:ascii="宋体"/>
              </w:rPr>
            </w:pPr>
          </w:p>
        </w:tc>
        <w:tc>
          <w:tcPr>
            <w:tcW w:w="0" w:type="auto"/>
            <w:shd w:val="clear" w:color="auto" w:fill="auto"/>
            <w:vAlign w:val="center"/>
          </w:tcPr>
          <w:p w14:paraId="64A8AAB5" w14:textId="77777777" w:rsidR="008D6614" w:rsidRDefault="008D6614">
            <w:pPr>
              <w:rPr>
                <w:rFonts w:ascii="宋体"/>
              </w:rPr>
            </w:pPr>
          </w:p>
        </w:tc>
        <w:tc>
          <w:tcPr>
            <w:tcW w:w="0" w:type="auto"/>
            <w:shd w:val="clear" w:color="auto" w:fill="auto"/>
            <w:vAlign w:val="center"/>
          </w:tcPr>
          <w:p w14:paraId="64A8AAB6" w14:textId="77777777" w:rsidR="008D6614" w:rsidRDefault="008D6614">
            <w:pPr>
              <w:rPr>
                <w:rFonts w:ascii="宋体"/>
              </w:rPr>
            </w:pPr>
          </w:p>
        </w:tc>
        <w:tc>
          <w:tcPr>
            <w:tcW w:w="0" w:type="auto"/>
            <w:shd w:val="clear" w:color="auto" w:fill="auto"/>
            <w:vAlign w:val="center"/>
          </w:tcPr>
          <w:p w14:paraId="64A8AAB7" w14:textId="77777777" w:rsidR="008D6614" w:rsidRDefault="008D6614">
            <w:pPr>
              <w:rPr>
                <w:rFonts w:ascii="宋体"/>
              </w:rPr>
            </w:pPr>
          </w:p>
        </w:tc>
        <w:tc>
          <w:tcPr>
            <w:tcW w:w="0" w:type="auto"/>
            <w:shd w:val="clear" w:color="auto" w:fill="auto"/>
            <w:vAlign w:val="center"/>
          </w:tcPr>
          <w:p w14:paraId="64A8AAB8" w14:textId="77777777" w:rsidR="008D6614" w:rsidRDefault="008D6614">
            <w:pPr>
              <w:rPr>
                <w:rFonts w:ascii="宋体"/>
              </w:rPr>
            </w:pPr>
          </w:p>
        </w:tc>
        <w:tc>
          <w:tcPr>
            <w:tcW w:w="0" w:type="auto"/>
            <w:shd w:val="clear" w:color="auto" w:fill="auto"/>
            <w:vAlign w:val="center"/>
          </w:tcPr>
          <w:p w14:paraId="64A8AAB9" w14:textId="77777777" w:rsidR="008D6614" w:rsidRDefault="008D6614">
            <w:pPr>
              <w:rPr>
                <w:rFonts w:ascii="宋体"/>
              </w:rPr>
            </w:pPr>
          </w:p>
        </w:tc>
      </w:tr>
    </w:tbl>
    <w:p w14:paraId="64A8AABB" w14:textId="77777777" w:rsidR="008D6614" w:rsidRDefault="008D6614">
      <w:pPr>
        <w:ind w:firstLine="270"/>
        <w:jc w:val="both"/>
      </w:pPr>
    </w:p>
    <w:p w14:paraId="64A8AABC" w14:textId="77777777" w:rsidR="008D6614" w:rsidRDefault="00866AF2">
      <w:pPr>
        <w:ind w:firstLine="270"/>
        <w:jc w:val="both"/>
      </w:pPr>
      <w:r>
        <w:rPr>
          <w:rFonts w:ascii="Arial" w:eastAsia="宋体" w:hAnsi="Arial" w:cs="Arial"/>
          <w:b/>
          <w:bCs/>
          <w:color w:val="000000"/>
          <w:sz w:val="20"/>
          <w:szCs w:val="20"/>
        </w:rPr>
        <w:t>Net Revenues by Geography</w:t>
      </w:r>
    </w:p>
    <w:p w14:paraId="64A8AABD" w14:textId="77777777" w:rsidR="008D6614" w:rsidRDefault="008D6614">
      <w:pPr>
        <w:ind w:firstLine="540"/>
        <w:jc w:val="both"/>
      </w:pPr>
    </w:p>
    <w:p w14:paraId="64A8AABE" w14:textId="77777777" w:rsidR="008D6614" w:rsidRDefault="00866AF2">
      <w:pPr>
        <w:ind w:firstLine="540"/>
        <w:jc w:val="both"/>
      </w:pPr>
      <w:r>
        <w:rPr>
          <w:rFonts w:ascii="Arial" w:eastAsia="宋体" w:hAnsi="Arial" w:cs="Arial"/>
          <w:color w:val="000000"/>
          <w:sz w:val="20"/>
          <w:szCs w:val="20"/>
        </w:rPr>
        <w:t xml:space="preserve">Revenues are attributed to U.S. and international geographies primarily based upon the country in which the seller, platform that displays advertising, other service provider or </w:t>
      </w:r>
      <w:r>
        <w:rPr>
          <w:rFonts w:ascii="Arial" w:eastAsia="宋体" w:hAnsi="Arial" w:cs="Arial"/>
          <w:color w:val="000000"/>
          <w:sz w:val="20"/>
          <w:szCs w:val="20"/>
        </w:rPr>
        <w:t>customer, as the case may be, is located. The following table presents net revenues by geography for the periods presented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4224"/>
        <w:gridCol w:w="37"/>
        <w:gridCol w:w="124"/>
        <w:gridCol w:w="709"/>
        <w:gridCol w:w="178"/>
        <w:gridCol w:w="36"/>
        <w:gridCol w:w="36"/>
        <w:gridCol w:w="36"/>
        <w:gridCol w:w="124"/>
        <w:gridCol w:w="676"/>
        <w:gridCol w:w="178"/>
        <w:gridCol w:w="36"/>
        <w:gridCol w:w="36"/>
        <w:gridCol w:w="36"/>
        <w:gridCol w:w="52"/>
        <w:gridCol w:w="641"/>
        <w:gridCol w:w="178"/>
        <w:gridCol w:w="46"/>
        <w:gridCol w:w="554"/>
        <w:gridCol w:w="36"/>
        <w:gridCol w:w="36"/>
        <w:gridCol w:w="36"/>
        <w:gridCol w:w="36"/>
        <w:gridCol w:w="36"/>
        <w:gridCol w:w="36"/>
        <w:gridCol w:w="36"/>
        <w:gridCol w:w="36"/>
        <w:gridCol w:w="36"/>
        <w:gridCol w:w="36"/>
      </w:tblGrid>
      <w:tr w:rsidR="008D6614" w14:paraId="64A8AAD7" w14:textId="77777777">
        <w:trPr>
          <w:gridAfter w:val="6"/>
        </w:trPr>
        <w:tc>
          <w:tcPr>
            <w:tcW w:w="50" w:type="pct"/>
            <w:shd w:val="clear" w:color="auto" w:fill="auto"/>
            <w:vAlign w:val="center"/>
          </w:tcPr>
          <w:p w14:paraId="64A8AABF" w14:textId="77777777" w:rsidR="008D6614" w:rsidRDefault="008D6614">
            <w:pPr>
              <w:rPr>
                <w:rFonts w:ascii="宋体"/>
              </w:rPr>
            </w:pPr>
          </w:p>
        </w:tc>
        <w:tc>
          <w:tcPr>
            <w:tcW w:w="2919" w:type="pct"/>
            <w:shd w:val="clear" w:color="auto" w:fill="auto"/>
            <w:vAlign w:val="center"/>
          </w:tcPr>
          <w:p w14:paraId="64A8AAC0" w14:textId="77777777" w:rsidR="008D6614" w:rsidRDefault="008D6614">
            <w:pPr>
              <w:rPr>
                <w:rFonts w:ascii="宋体"/>
              </w:rPr>
            </w:pPr>
          </w:p>
        </w:tc>
        <w:tc>
          <w:tcPr>
            <w:tcW w:w="50" w:type="pct"/>
            <w:shd w:val="clear" w:color="auto" w:fill="auto"/>
            <w:vAlign w:val="center"/>
          </w:tcPr>
          <w:p w14:paraId="64A8AAC1" w14:textId="77777777" w:rsidR="008D6614" w:rsidRDefault="008D6614">
            <w:pPr>
              <w:rPr>
                <w:rFonts w:ascii="宋体"/>
              </w:rPr>
            </w:pPr>
          </w:p>
        </w:tc>
        <w:tc>
          <w:tcPr>
            <w:tcW w:w="50" w:type="pct"/>
            <w:shd w:val="clear" w:color="auto" w:fill="auto"/>
            <w:vAlign w:val="center"/>
          </w:tcPr>
          <w:p w14:paraId="64A8AAC2" w14:textId="77777777" w:rsidR="008D6614" w:rsidRDefault="008D6614">
            <w:pPr>
              <w:rPr>
                <w:rFonts w:ascii="宋体"/>
              </w:rPr>
            </w:pPr>
          </w:p>
        </w:tc>
        <w:tc>
          <w:tcPr>
            <w:tcW w:w="535" w:type="pct"/>
            <w:shd w:val="clear" w:color="auto" w:fill="auto"/>
            <w:vAlign w:val="center"/>
          </w:tcPr>
          <w:p w14:paraId="64A8AAC3" w14:textId="77777777" w:rsidR="008D6614" w:rsidRDefault="008D6614">
            <w:pPr>
              <w:rPr>
                <w:rFonts w:ascii="宋体"/>
              </w:rPr>
            </w:pPr>
          </w:p>
        </w:tc>
        <w:tc>
          <w:tcPr>
            <w:tcW w:w="50" w:type="pct"/>
            <w:shd w:val="clear" w:color="auto" w:fill="auto"/>
            <w:vAlign w:val="center"/>
          </w:tcPr>
          <w:p w14:paraId="64A8AAC4" w14:textId="77777777" w:rsidR="008D6614" w:rsidRDefault="008D6614">
            <w:pPr>
              <w:rPr>
                <w:rFonts w:ascii="宋体"/>
              </w:rPr>
            </w:pPr>
          </w:p>
        </w:tc>
        <w:tc>
          <w:tcPr>
            <w:tcW w:w="5" w:type="pct"/>
            <w:shd w:val="clear" w:color="auto" w:fill="auto"/>
            <w:vAlign w:val="center"/>
          </w:tcPr>
          <w:p w14:paraId="64A8AAC5" w14:textId="77777777" w:rsidR="008D6614" w:rsidRDefault="008D6614">
            <w:pPr>
              <w:rPr>
                <w:rFonts w:ascii="宋体"/>
              </w:rPr>
            </w:pPr>
          </w:p>
        </w:tc>
        <w:tc>
          <w:tcPr>
            <w:tcW w:w="26" w:type="pct"/>
            <w:shd w:val="clear" w:color="auto" w:fill="auto"/>
            <w:vAlign w:val="center"/>
          </w:tcPr>
          <w:p w14:paraId="64A8AAC6" w14:textId="77777777" w:rsidR="008D6614" w:rsidRDefault="008D6614">
            <w:pPr>
              <w:rPr>
                <w:rFonts w:ascii="宋体"/>
              </w:rPr>
            </w:pPr>
          </w:p>
        </w:tc>
        <w:tc>
          <w:tcPr>
            <w:tcW w:w="5" w:type="pct"/>
            <w:shd w:val="clear" w:color="auto" w:fill="auto"/>
            <w:vAlign w:val="center"/>
          </w:tcPr>
          <w:p w14:paraId="64A8AAC7" w14:textId="77777777" w:rsidR="008D6614" w:rsidRDefault="008D6614">
            <w:pPr>
              <w:rPr>
                <w:rFonts w:ascii="宋体"/>
              </w:rPr>
            </w:pPr>
          </w:p>
        </w:tc>
        <w:tc>
          <w:tcPr>
            <w:tcW w:w="50" w:type="pct"/>
            <w:shd w:val="clear" w:color="auto" w:fill="auto"/>
            <w:vAlign w:val="center"/>
          </w:tcPr>
          <w:p w14:paraId="64A8AAC8" w14:textId="77777777" w:rsidR="008D6614" w:rsidRDefault="008D6614">
            <w:pPr>
              <w:rPr>
                <w:rFonts w:ascii="宋体"/>
              </w:rPr>
            </w:pPr>
          </w:p>
        </w:tc>
        <w:tc>
          <w:tcPr>
            <w:tcW w:w="535" w:type="pct"/>
            <w:shd w:val="clear" w:color="auto" w:fill="auto"/>
            <w:vAlign w:val="center"/>
          </w:tcPr>
          <w:p w14:paraId="64A8AAC9" w14:textId="77777777" w:rsidR="008D6614" w:rsidRDefault="008D6614">
            <w:pPr>
              <w:rPr>
                <w:rFonts w:ascii="宋体"/>
              </w:rPr>
            </w:pPr>
          </w:p>
        </w:tc>
        <w:tc>
          <w:tcPr>
            <w:tcW w:w="50" w:type="pct"/>
            <w:shd w:val="clear" w:color="auto" w:fill="auto"/>
            <w:vAlign w:val="center"/>
          </w:tcPr>
          <w:p w14:paraId="64A8AACA" w14:textId="77777777" w:rsidR="008D6614" w:rsidRDefault="008D6614">
            <w:pPr>
              <w:rPr>
                <w:rFonts w:ascii="宋体"/>
              </w:rPr>
            </w:pPr>
          </w:p>
        </w:tc>
        <w:tc>
          <w:tcPr>
            <w:tcW w:w="5" w:type="pct"/>
            <w:shd w:val="clear" w:color="auto" w:fill="auto"/>
            <w:vAlign w:val="center"/>
          </w:tcPr>
          <w:p w14:paraId="64A8AACB" w14:textId="77777777" w:rsidR="008D6614" w:rsidRDefault="008D6614">
            <w:pPr>
              <w:rPr>
                <w:rFonts w:ascii="宋体"/>
              </w:rPr>
            </w:pPr>
          </w:p>
        </w:tc>
        <w:tc>
          <w:tcPr>
            <w:tcW w:w="26" w:type="pct"/>
            <w:shd w:val="clear" w:color="auto" w:fill="auto"/>
            <w:vAlign w:val="center"/>
          </w:tcPr>
          <w:p w14:paraId="64A8AACC" w14:textId="77777777" w:rsidR="008D6614" w:rsidRDefault="008D6614">
            <w:pPr>
              <w:rPr>
                <w:rFonts w:ascii="宋体"/>
              </w:rPr>
            </w:pPr>
          </w:p>
        </w:tc>
        <w:tc>
          <w:tcPr>
            <w:tcW w:w="5" w:type="pct"/>
            <w:shd w:val="clear" w:color="auto" w:fill="auto"/>
            <w:vAlign w:val="center"/>
          </w:tcPr>
          <w:p w14:paraId="64A8AACD" w14:textId="77777777" w:rsidR="008D6614" w:rsidRDefault="008D6614">
            <w:pPr>
              <w:rPr>
                <w:rFonts w:ascii="宋体"/>
              </w:rPr>
            </w:pPr>
          </w:p>
        </w:tc>
        <w:tc>
          <w:tcPr>
            <w:tcW w:w="50" w:type="pct"/>
            <w:shd w:val="clear" w:color="auto" w:fill="auto"/>
            <w:vAlign w:val="center"/>
          </w:tcPr>
          <w:p w14:paraId="64A8AACE" w14:textId="77777777" w:rsidR="008D6614" w:rsidRDefault="008D6614">
            <w:pPr>
              <w:rPr>
                <w:rFonts w:ascii="宋体"/>
              </w:rPr>
            </w:pPr>
          </w:p>
        </w:tc>
        <w:tc>
          <w:tcPr>
            <w:tcW w:w="536" w:type="pct"/>
            <w:shd w:val="clear" w:color="auto" w:fill="auto"/>
            <w:vAlign w:val="center"/>
          </w:tcPr>
          <w:p w14:paraId="64A8AACF" w14:textId="77777777" w:rsidR="008D6614" w:rsidRDefault="008D6614">
            <w:pPr>
              <w:rPr>
                <w:rFonts w:ascii="宋体"/>
              </w:rPr>
            </w:pPr>
          </w:p>
        </w:tc>
        <w:tc>
          <w:tcPr>
            <w:tcW w:w="50" w:type="pct"/>
            <w:shd w:val="clear" w:color="auto" w:fill="auto"/>
            <w:vAlign w:val="center"/>
          </w:tcPr>
          <w:p w14:paraId="64A8AAD0" w14:textId="77777777" w:rsidR="008D6614" w:rsidRDefault="008D6614">
            <w:pPr>
              <w:rPr>
                <w:rFonts w:ascii="宋体"/>
              </w:rPr>
            </w:pPr>
          </w:p>
        </w:tc>
        <w:tc>
          <w:tcPr>
            <w:tcW w:w="0" w:type="auto"/>
            <w:shd w:val="clear" w:color="auto" w:fill="auto"/>
            <w:vAlign w:val="center"/>
          </w:tcPr>
          <w:p w14:paraId="64A8AAD1" w14:textId="77777777" w:rsidR="008D6614" w:rsidRDefault="008D6614">
            <w:pPr>
              <w:rPr>
                <w:rFonts w:ascii="宋体"/>
                <w:vanish/>
              </w:rPr>
            </w:pPr>
          </w:p>
        </w:tc>
        <w:tc>
          <w:tcPr>
            <w:tcW w:w="0" w:type="auto"/>
            <w:shd w:val="clear" w:color="auto" w:fill="auto"/>
            <w:vAlign w:val="center"/>
          </w:tcPr>
          <w:p w14:paraId="64A8AAD2" w14:textId="77777777" w:rsidR="008D6614" w:rsidRDefault="008D6614">
            <w:pPr>
              <w:rPr>
                <w:rFonts w:ascii="宋体"/>
                <w:vanish/>
              </w:rPr>
            </w:pPr>
          </w:p>
        </w:tc>
        <w:tc>
          <w:tcPr>
            <w:tcW w:w="0" w:type="auto"/>
            <w:shd w:val="clear" w:color="auto" w:fill="auto"/>
            <w:vAlign w:val="center"/>
          </w:tcPr>
          <w:p w14:paraId="64A8AAD3" w14:textId="77777777" w:rsidR="008D6614" w:rsidRDefault="008D6614">
            <w:pPr>
              <w:rPr>
                <w:rFonts w:ascii="宋体"/>
                <w:vanish/>
              </w:rPr>
            </w:pPr>
          </w:p>
        </w:tc>
        <w:tc>
          <w:tcPr>
            <w:tcW w:w="0" w:type="auto"/>
            <w:shd w:val="clear" w:color="auto" w:fill="auto"/>
            <w:vAlign w:val="center"/>
          </w:tcPr>
          <w:p w14:paraId="64A8AAD4" w14:textId="77777777" w:rsidR="008D6614" w:rsidRDefault="008D6614">
            <w:pPr>
              <w:rPr>
                <w:rFonts w:ascii="宋体"/>
                <w:vanish/>
              </w:rPr>
            </w:pPr>
          </w:p>
        </w:tc>
        <w:tc>
          <w:tcPr>
            <w:tcW w:w="0" w:type="auto"/>
            <w:shd w:val="clear" w:color="auto" w:fill="auto"/>
            <w:vAlign w:val="center"/>
          </w:tcPr>
          <w:p w14:paraId="64A8AAD5" w14:textId="77777777" w:rsidR="008D6614" w:rsidRDefault="008D6614">
            <w:pPr>
              <w:rPr>
                <w:rFonts w:ascii="宋体"/>
                <w:vanish/>
              </w:rPr>
            </w:pPr>
          </w:p>
        </w:tc>
        <w:tc>
          <w:tcPr>
            <w:tcW w:w="0" w:type="auto"/>
            <w:shd w:val="clear" w:color="auto" w:fill="auto"/>
            <w:vAlign w:val="center"/>
          </w:tcPr>
          <w:p w14:paraId="64A8AAD6" w14:textId="77777777" w:rsidR="008D6614" w:rsidRDefault="008D6614">
            <w:pPr>
              <w:rPr>
                <w:rFonts w:ascii="宋体"/>
                <w:vanish/>
              </w:rPr>
            </w:pPr>
          </w:p>
        </w:tc>
      </w:tr>
      <w:tr w:rsidR="008D6614" w14:paraId="64A8AAE4" w14:textId="77777777">
        <w:tc>
          <w:tcPr>
            <w:tcW w:w="0" w:type="auto"/>
            <w:gridSpan w:val="3"/>
            <w:shd w:val="clear" w:color="auto" w:fill="auto"/>
            <w:tcMar>
              <w:top w:w="40" w:type="dxa"/>
              <w:left w:w="360" w:type="dxa"/>
              <w:bottom w:w="40" w:type="dxa"/>
              <w:right w:w="20" w:type="dxa"/>
            </w:tcMar>
            <w:vAlign w:val="bottom"/>
          </w:tcPr>
          <w:p w14:paraId="64A8AAD8" w14:textId="77777777" w:rsidR="008D6614" w:rsidRDefault="00866AF2">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A8AAD9"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vAlign w:val="center"/>
          </w:tcPr>
          <w:p w14:paraId="64A8AADA" w14:textId="77777777" w:rsidR="008D6614" w:rsidRDefault="008D6614">
            <w:pPr>
              <w:rPr>
                <w:rFonts w:ascii="宋体"/>
                <w:vanish/>
              </w:rPr>
            </w:pPr>
          </w:p>
        </w:tc>
        <w:tc>
          <w:tcPr>
            <w:tcW w:w="0" w:type="auto"/>
            <w:gridSpan w:val="3"/>
            <w:shd w:val="clear" w:color="auto" w:fill="auto"/>
            <w:vAlign w:val="center"/>
          </w:tcPr>
          <w:p w14:paraId="64A8AADB" w14:textId="77777777" w:rsidR="008D6614" w:rsidRDefault="008D6614">
            <w:pPr>
              <w:rPr>
                <w:rFonts w:ascii="宋体"/>
                <w:vanish/>
              </w:rPr>
            </w:pPr>
          </w:p>
        </w:tc>
        <w:tc>
          <w:tcPr>
            <w:tcW w:w="0" w:type="auto"/>
            <w:shd w:val="clear" w:color="auto" w:fill="auto"/>
            <w:tcMar>
              <w:left w:w="20" w:type="dxa"/>
              <w:right w:w="20" w:type="dxa"/>
            </w:tcMar>
            <w:vAlign w:val="bottom"/>
          </w:tcPr>
          <w:p w14:paraId="64A8AADC" w14:textId="77777777" w:rsidR="008D6614" w:rsidRDefault="008D6614">
            <w:pPr>
              <w:rPr>
                <w:rFonts w:ascii="宋体"/>
              </w:rPr>
            </w:pPr>
          </w:p>
        </w:tc>
        <w:tc>
          <w:tcPr>
            <w:tcW w:w="0" w:type="auto"/>
            <w:shd w:val="clear" w:color="auto" w:fill="auto"/>
            <w:tcMar>
              <w:top w:w="40" w:type="dxa"/>
              <w:left w:w="20" w:type="dxa"/>
              <w:bottom w:w="40" w:type="dxa"/>
              <w:right w:w="20" w:type="dxa"/>
            </w:tcMar>
            <w:vAlign w:val="bottom"/>
          </w:tcPr>
          <w:p w14:paraId="64A8AADD" w14:textId="77777777" w:rsidR="008D6614" w:rsidRDefault="00866AF2">
            <w:pPr>
              <w:jc w:val="center"/>
              <w:textAlignment w:val="bottom"/>
            </w:pPr>
            <w:r>
              <w:rPr>
                <w:rFonts w:ascii="Arial" w:eastAsia="宋体" w:hAnsi="Arial" w:cs="Arial"/>
                <w:b/>
                <w:bCs/>
                <w:color w:val="000000"/>
                <w:sz w:val="14"/>
                <w:szCs w:val="14"/>
              </w:rPr>
              <w:t>% Change</w:t>
            </w:r>
          </w:p>
        </w:tc>
        <w:tc>
          <w:tcPr>
            <w:tcW w:w="0" w:type="auto"/>
            <w:shd w:val="clear" w:color="auto" w:fill="auto"/>
            <w:vAlign w:val="center"/>
          </w:tcPr>
          <w:p w14:paraId="64A8AADE" w14:textId="77777777" w:rsidR="008D6614" w:rsidRDefault="008D6614">
            <w:pPr>
              <w:rPr>
                <w:rFonts w:ascii="宋体"/>
                <w:vanish/>
              </w:rPr>
            </w:pPr>
          </w:p>
        </w:tc>
        <w:tc>
          <w:tcPr>
            <w:tcW w:w="0" w:type="auto"/>
            <w:shd w:val="clear" w:color="auto" w:fill="auto"/>
            <w:vAlign w:val="center"/>
          </w:tcPr>
          <w:p w14:paraId="64A8AADF" w14:textId="77777777" w:rsidR="008D6614" w:rsidRDefault="008D6614">
            <w:pPr>
              <w:rPr>
                <w:rFonts w:ascii="宋体"/>
                <w:vanish/>
              </w:rPr>
            </w:pPr>
          </w:p>
        </w:tc>
        <w:tc>
          <w:tcPr>
            <w:tcW w:w="0" w:type="auto"/>
            <w:shd w:val="clear" w:color="auto" w:fill="auto"/>
            <w:vAlign w:val="center"/>
          </w:tcPr>
          <w:p w14:paraId="64A8AAE0" w14:textId="77777777" w:rsidR="008D6614" w:rsidRDefault="008D6614">
            <w:pPr>
              <w:rPr>
                <w:rFonts w:ascii="宋体"/>
                <w:vanish/>
              </w:rPr>
            </w:pPr>
          </w:p>
        </w:tc>
        <w:tc>
          <w:tcPr>
            <w:tcW w:w="0" w:type="auto"/>
            <w:shd w:val="clear" w:color="auto" w:fill="auto"/>
            <w:vAlign w:val="center"/>
          </w:tcPr>
          <w:p w14:paraId="64A8AAE1" w14:textId="77777777" w:rsidR="008D6614" w:rsidRDefault="008D6614">
            <w:pPr>
              <w:rPr>
                <w:rFonts w:ascii="宋体"/>
                <w:vanish/>
              </w:rPr>
            </w:pPr>
          </w:p>
        </w:tc>
        <w:tc>
          <w:tcPr>
            <w:tcW w:w="0" w:type="auto"/>
            <w:gridSpan w:val="3"/>
            <w:shd w:val="clear" w:color="auto" w:fill="auto"/>
            <w:vAlign w:val="center"/>
          </w:tcPr>
          <w:p w14:paraId="64A8AAE2" w14:textId="77777777" w:rsidR="008D6614" w:rsidRDefault="008D6614">
            <w:pPr>
              <w:rPr>
                <w:rFonts w:ascii="宋体"/>
                <w:vanish/>
              </w:rPr>
            </w:pPr>
          </w:p>
        </w:tc>
        <w:tc>
          <w:tcPr>
            <w:tcW w:w="0" w:type="auto"/>
            <w:gridSpan w:val="3"/>
            <w:shd w:val="clear" w:color="auto" w:fill="auto"/>
            <w:vAlign w:val="center"/>
          </w:tcPr>
          <w:p w14:paraId="64A8AAE3" w14:textId="77777777" w:rsidR="008D6614" w:rsidRDefault="008D6614">
            <w:pPr>
              <w:rPr>
                <w:rFonts w:ascii="宋体"/>
                <w:vanish/>
              </w:rPr>
            </w:pPr>
          </w:p>
        </w:tc>
      </w:tr>
      <w:tr w:rsidR="008D6614" w14:paraId="64A8AAF7" w14:textId="77777777">
        <w:tc>
          <w:tcPr>
            <w:tcW w:w="0" w:type="auto"/>
            <w:gridSpan w:val="3"/>
            <w:shd w:val="clear" w:color="auto" w:fill="auto"/>
            <w:tcMar>
              <w:top w:w="40" w:type="dxa"/>
              <w:left w:w="20" w:type="dxa"/>
              <w:bottom w:w="40" w:type="dxa"/>
              <w:right w:w="20" w:type="dxa"/>
            </w:tcMar>
            <w:vAlign w:val="bottom"/>
          </w:tcPr>
          <w:p w14:paraId="64A8AAE5" w14:textId="77777777" w:rsidR="008D6614" w:rsidRDefault="00866AF2">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AE6" w14:textId="77777777" w:rsidR="008D6614" w:rsidRDefault="00866AF2">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64A8AAE7"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AE8" w14:textId="77777777" w:rsidR="008D6614" w:rsidRDefault="00866AF2">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64A8AAE9"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AEA" w14:textId="77777777" w:rsidR="008D6614" w:rsidRDefault="00866AF2">
            <w:pPr>
              <w:jc w:val="center"/>
              <w:textAlignment w:val="bottom"/>
            </w:pPr>
            <w:r>
              <w:rPr>
                <w:rFonts w:ascii="Arial" w:eastAsia="宋体" w:hAnsi="Arial" w:cs="Arial"/>
                <w:b/>
                <w:bCs/>
                <w:color w:val="000000"/>
                <w:sz w:val="14"/>
                <w:szCs w:val="14"/>
              </w:rPr>
              <w:t>As Reported</w:t>
            </w:r>
          </w:p>
        </w:tc>
        <w:tc>
          <w:tcPr>
            <w:tcW w:w="0" w:type="auto"/>
            <w:shd w:val="clear" w:color="auto" w:fill="auto"/>
            <w:vAlign w:val="center"/>
          </w:tcPr>
          <w:p w14:paraId="64A8AAEB" w14:textId="77777777" w:rsidR="008D6614" w:rsidRDefault="008D6614">
            <w:pPr>
              <w:rPr>
                <w:rFonts w:ascii="宋体"/>
                <w:vanish/>
              </w:rPr>
            </w:pPr>
          </w:p>
        </w:tc>
        <w:tc>
          <w:tcPr>
            <w:tcW w:w="0" w:type="auto"/>
            <w:shd w:val="clear" w:color="auto" w:fill="auto"/>
            <w:vAlign w:val="center"/>
          </w:tcPr>
          <w:p w14:paraId="64A8AAEC" w14:textId="77777777" w:rsidR="008D6614" w:rsidRDefault="008D6614">
            <w:pPr>
              <w:rPr>
                <w:rFonts w:ascii="宋体"/>
                <w:vanish/>
              </w:rPr>
            </w:pPr>
          </w:p>
        </w:tc>
        <w:tc>
          <w:tcPr>
            <w:tcW w:w="0" w:type="auto"/>
            <w:shd w:val="clear" w:color="auto" w:fill="auto"/>
            <w:vAlign w:val="center"/>
          </w:tcPr>
          <w:p w14:paraId="64A8AAED" w14:textId="77777777" w:rsidR="008D6614" w:rsidRDefault="008D6614">
            <w:pPr>
              <w:rPr>
                <w:rFonts w:ascii="宋体"/>
                <w:vanish/>
              </w:rPr>
            </w:pPr>
          </w:p>
        </w:tc>
        <w:tc>
          <w:tcPr>
            <w:tcW w:w="0" w:type="auto"/>
            <w:shd w:val="clear" w:color="auto" w:fill="auto"/>
            <w:vAlign w:val="center"/>
          </w:tcPr>
          <w:p w14:paraId="64A8AAEE" w14:textId="77777777" w:rsidR="008D6614" w:rsidRDefault="008D6614">
            <w:pPr>
              <w:rPr>
                <w:rFonts w:ascii="宋体"/>
                <w:vanish/>
              </w:rPr>
            </w:pPr>
          </w:p>
        </w:tc>
        <w:tc>
          <w:tcPr>
            <w:tcW w:w="0" w:type="auto"/>
            <w:shd w:val="clear" w:color="auto" w:fill="auto"/>
            <w:vAlign w:val="center"/>
          </w:tcPr>
          <w:p w14:paraId="64A8AAEF" w14:textId="77777777" w:rsidR="008D6614" w:rsidRDefault="008D6614">
            <w:pPr>
              <w:rPr>
                <w:rFonts w:ascii="宋体"/>
                <w:vanish/>
              </w:rPr>
            </w:pPr>
          </w:p>
        </w:tc>
        <w:tc>
          <w:tcPr>
            <w:tcW w:w="0" w:type="auto"/>
            <w:shd w:val="clear" w:color="auto" w:fill="auto"/>
            <w:vAlign w:val="center"/>
          </w:tcPr>
          <w:p w14:paraId="64A8AAF0" w14:textId="77777777" w:rsidR="008D6614" w:rsidRDefault="008D6614">
            <w:pPr>
              <w:rPr>
                <w:rFonts w:ascii="宋体"/>
                <w:vanish/>
              </w:rPr>
            </w:pPr>
          </w:p>
        </w:tc>
        <w:tc>
          <w:tcPr>
            <w:tcW w:w="0" w:type="auto"/>
            <w:shd w:val="clear" w:color="auto" w:fill="auto"/>
            <w:vAlign w:val="center"/>
          </w:tcPr>
          <w:p w14:paraId="64A8AAF1" w14:textId="77777777" w:rsidR="008D6614" w:rsidRDefault="008D6614">
            <w:pPr>
              <w:rPr>
                <w:rFonts w:ascii="宋体"/>
              </w:rPr>
            </w:pPr>
          </w:p>
        </w:tc>
        <w:tc>
          <w:tcPr>
            <w:tcW w:w="0" w:type="auto"/>
            <w:shd w:val="clear" w:color="auto" w:fill="auto"/>
            <w:vAlign w:val="center"/>
          </w:tcPr>
          <w:p w14:paraId="64A8AAF2" w14:textId="77777777" w:rsidR="008D6614" w:rsidRDefault="008D6614">
            <w:pPr>
              <w:rPr>
                <w:rFonts w:ascii="宋体"/>
              </w:rPr>
            </w:pPr>
          </w:p>
        </w:tc>
        <w:tc>
          <w:tcPr>
            <w:tcW w:w="0" w:type="auto"/>
            <w:shd w:val="clear" w:color="auto" w:fill="auto"/>
            <w:vAlign w:val="center"/>
          </w:tcPr>
          <w:p w14:paraId="64A8AAF3" w14:textId="77777777" w:rsidR="008D6614" w:rsidRDefault="008D6614">
            <w:pPr>
              <w:rPr>
                <w:rFonts w:ascii="宋体"/>
              </w:rPr>
            </w:pPr>
          </w:p>
        </w:tc>
        <w:tc>
          <w:tcPr>
            <w:tcW w:w="0" w:type="auto"/>
            <w:shd w:val="clear" w:color="auto" w:fill="auto"/>
            <w:vAlign w:val="center"/>
          </w:tcPr>
          <w:p w14:paraId="64A8AAF4" w14:textId="77777777" w:rsidR="008D6614" w:rsidRDefault="008D6614">
            <w:pPr>
              <w:rPr>
                <w:rFonts w:ascii="宋体"/>
              </w:rPr>
            </w:pPr>
          </w:p>
        </w:tc>
        <w:tc>
          <w:tcPr>
            <w:tcW w:w="0" w:type="auto"/>
            <w:shd w:val="clear" w:color="auto" w:fill="auto"/>
            <w:vAlign w:val="center"/>
          </w:tcPr>
          <w:p w14:paraId="64A8AAF5" w14:textId="77777777" w:rsidR="008D6614" w:rsidRDefault="008D6614">
            <w:pPr>
              <w:rPr>
                <w:rFonts w:ascii="宋体"/>
              </w:rPr>
            </w:pPr>
          </w:p>
        </w:tc>
        <w:tc>
          <w:tcPr>
            <w:tcW w:w="0" w:type="auto"/>
            <w:shd w:val="clear" w:color="auto" w:fill="auto"/>
            <w:vAlign w:val="center"/>
          </w:tcPr>
          <w:p w14:paraId="64A8AAF6" w14:textId="77777777" w:rsidR="008D6614" w:rsidRDefault="008D6614">
            <w:pPr>
              <w:rPr>
                <w:rFonts w:ascii="宋体"/>
              </w:rPr>
            </w:pPr>
          </w:p>
        </w:tc>
      </w:tr>
      <w:tr w:rsidR="008D6614" w14:paraId="64A8AB0F" w14:textId="77777777">
        <w:tc>
          <w:tcPr>
            <w:tcW w:w="0" w:type="auto"/>
            <w:gridSpan w:val="3"/>
            <w:shd w:val="clear" w:color="auto" w:fill="E2E2E2"/>
            <w:tcMar>
              <w:top w:w="40" w:type="dxa"/>
              <w:left w:w="20" w:type="dxa"/>
              <w:bottom w:w="40" w:type="dxa"/>
              <w:right w:w="20" w:type="dxa"/>
            </w:tcMar>
            <w:vAlign w:val="bottom"/>
          </w:tcPr>
          <w:p w14:paraId="64A8AAF8" w14:textId="77777777" w:rsidR="008D6614" w:rsidRDefault="00866AF2">
            <w:pPr>
              <w:textAlignment w:val="bottom"/>
            </w:pPr>
            <w:r>
              <w:rPr>
                <w:rFonts w:ascii="Arial" w:eastAsia="宋体" w:hAnsi="Arial" w:cs="Arial"/>
                <w:color w:val="000000"/>
                <w:sz w:val="16"/>
                <w:szCs w:val="16"/>
              </w:rPr>
              <w:t>U.S.</w:t>
            </w:r>
          </w:p>
        </w:tc>
        <w:tc>
          <w:tcPr>
            <w:tcW w:w="0" w:type="auto"/>
            <w:shd w:val="clear" w:color="auto" w:fill="E2E2E2"/>
            <w:tcMar>
              <w:top w:w="40" w:type="dxa"/>
              <w:left w:w="20" w:type="dxa"/>
              <w:bottom w:w="40" w:type="dxa"/>
            </w:tcMar>
            <w:vAlign w:val="bottom"/>
          </w:tcPr>
          <w:p w14:paraId="64A8AAF9" w14:textId="77777777" w:rsidR="008D6614" w:rsidRDefault="00866AF2">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64A8AAFA" w14:textId="77777777" w:rsidR="008D6614" w:rsidRDefault="00866AF2">
            <w:pPr>
              <w:jc w:val="right"/>
              <w:textAlignment w:val="bottom"/>
            </w:pPr>
            <w:r>
              <w:rPr>
                <w:rFonts w:ascii="Arial" w:eastAsia="宋体" w:hAnsi="Arial" w:cs="Arial"/>
                <w:color w:val="000000"/>
                <w:sz w:val="16"/>
                <w:szCs w:val="16"/>
              </w:rPr>
              <w:t>822 </w:t>
            </w:r>
          </w:p>
        </w:tc>
        <w:tc>
          <w:tcPr>
            <w:tcW w:w="0" w:type="auto"/>
            <w:shd w:val="clear" w:color="auto" w:fill="E2E2E2"/>
            <w:tcMar>
              <w:top w:w="40" w:type="dxa"/>
              <w:bottom w:w="40" w:type="dxa"/>
              <w:right w:w="20" w:type="dxa"/>
            </w:tcMar>
            <w:vAlign w:val="bottom"/>
          </w:tcPr>
          <w:p w14:paraId="64A8AAF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AFC"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AAFD" w14:textId="77777777" w:rsidR="008D6614" w:rsidRDefault="00866AF2">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64A8AAFE" w14:textId="77777777" w:rsidR="008D6614" w:rsidRDefault="00866AF2">
            <w:pPr>
              <w:jc w:val="right"/>
              <w:textAlignment w:val="bottom"/>
            </w:pPr>
            <w:r>
              <w:rPr>
                <w:rFonts w:ascii="Arial" w:eastAsia="宋体" w:hAnsi="Arial" w:cs="Arial"/>
                <w:color w:val="000000"/>
                <w:sz w:val="16"/>
                <w:szCs w:val="16"/>
              </w:rPr>
              <w:t>842 </w:t>
            </w:r>
          </w:p>
        </w:tc>
        <w:tc>
          <w:tcPr>
            <w:tcW w:w="0" w:type="auto"/>
            <w:shd w:val="clear" w:color="auto" w:fill="E2E2E2"/>
            <w:tcMar>
              <w:top w:w="40" w:type="dxa"/>
              <w:bottom w:w="40" w:type="dxa"/>
              <w:right w:w="20" w:type="dxa"/>
            </w:tcMar>
            <w:vAlign w:val="bottom"/>
          </w:tcPr>
          <w:p w14:paraId="64A8AAF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B0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B01" w14:textId="77777777" w:rsidR="008D6614" w:rsidRDefault="00866AF2">
            <w:pPr>
              <w:jc w:val="right"/>
              <w:textAlignment w:val="bottom"/>
            </w:pPr>
            <w:r>
              <w:rPr>
                <w:rFonts w:ascii="Arial" w:eastAsia="宋体" w:hAnsi="Arial" w:cs="Arial"/>
                <w:color w:val="000000"/>
                <w:sz w:val="16"/>
                <w:szCs w:val="16"/>
              </w:rPr>
              <w:t>(2)</w:t>
            </w:r>
          </w:p>
        </w:tc>
        <w:tc>
          <w:tcPr>
            <w:tcW w:w="0" w:type="auto"/>
            <w:shd w:val="clear" w:color="auto" w:fill="E2E2E2"/>
            <w:tcMar>
              <w:top w:w="40" w:type="dxa"/>
              <w:bottom w:w="40" w:type="dxa"/>
              <w:right w:w="20" w:type="dxa"/>
            </w:tcMar>
            <w:vAlign w:val="bottom"/>
          </w:tcPr>
          <w:p w14:paraId="64A8AB02"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B03" w14:textId="77777777" w:rsidR="008D6614" w:rsidRDefault="008D6614">
            <w:pPr>
              <w:rPr>
                <w:rFonts w:ascii="宋体"/>
                <w:vanish/>
              </w:rPr>
            </w:pPr>
          </w:p>
        </w:tc>
        <w:tc>
          <w:tcPr>
            <w:tcW w:w="0" w:type="auto"/>
            <w:shd w:val="clear" w:color="auto" w:fill="auto"/>
            <w:vAlign w:val="center"/>
          </w:tcPr>
          <w:p w14:paraId="64A8AB04" w14:textId="77777777" w:rsidR="008D6614" w:rsidRDefault="008D6614">
            <w:pPr>
              <w:rPr>
                <w:rFonts w:ascii="宋体"/>
                <w:vanish/>
              </w:rPr>
            </w:pPr>
          </w:p>
        </w:tc>
        <w:tc>
          <w:tcPr>
            <w:tcW w:w="0" w:type="auto"/>
            <w:shd w:val="clear" w:color="auto" w:fill="auto"/>
            <w:vAlign w:val="center"/>
          </w:tcPr>
          <w:p w14:paraId="64A8AB05" w14:textId="77777777" w:rsidR="008D6614" w:rsidRDefault="008D6614">
            <w:pPr>
              <w:rPr>
                <w:rFonts w:ascii="宋体"/>
                <w:vanish/>
              </w:rPr>
            </w:pPr>
          </w:p>
        </w:tc>
        <w:tc>
          <w:tcPr>
            <w:tcW w:w="0" w:type="auto"/>
            <w:shd w:val="clear" w:color="auto" w:fill="auto"/>
            <w:vAlign w:val="center"/>
          </w:tcPr>
          <w:p w14:paraId="64A8AB06" w14:textId="77777777" w:rsidR="008D6614" w:rsidRDefault="008D6614">
            <w:pPr>
              <w:rPr>
                <w:rFonts w:ascii="宋体"/>
                <w:vanish/>
              </w:rPr>
            </w:pPr>
          </w:p>
        </w:tc>
        <w:tc>
          <w:tcPr>
            <w:tcW w:w="0" w:type="auto"/>
            <w:shd w:val="clear" w:color="auto" w:fill="auto"/>
            <w:vAlign w:val="center"/>
          </w:tcPr>
          <w:p w14:paraId="64A8AB07" w14:textId="77777777" w:rsidR="008D6614" w:rsidRDefault="008D6614">
            <w:pPr>
              <w:rPr>
                <w:rFonts w:ascii="宋体"/>
                <w:vanish/>
              </w:rPr>
            </w:pPr>
          </w:p>
        </w:tc>
        <w:tc>
          <w:tcPr>
            <w:tcW w:w="0" w:type="auto"/>
            <w:shd w:val="clear" w:color="auto" w:fill="auto"/>
            <w:vAlign w:val="center"/>
          </w:tcPr>
          <w:p w14:paraId="64A8AB08" w14:textId="77777777" w:rsidR="008D6614" w:rsidRDefault="008D6614">
            <w:pPr>
              <w:rPr>
                <w:rFonts w:ascii="宋体"/>
                <w:vanish/>
              </w:rPr>
            </w:pPr>
          </w:p>
        </w:tc>
        <w:tc>
          <w:tcPr>
            <w:tcW w:w="0" w:type="auto"/>
            <w:shd w:val="clear" w:color="auto" w:fill="auto"/>
            <w:vAlign w:val="center"/>
          </w:tcPr>
          <w:p w14:paraId="64A8AB09" w14:textId="77777777" w:rsidR="008D6614" w:rsidRDefault="008D6614">
            <w:pPr>
              <w:rPr>
                <w:rFonts w:ascii="宋体"/>
              </w:rPr>
            </w:pPr>
          </w:p>
        </w:tc>
        <w:tc>
          <w:tcPr>
            <w:tcW w:w="0" w:type="auto"/>
            <w:shd w:val="clear" w:color="auto" w:fill="auto"/>
            <w:vAlign w:val="center"/>
          </w:tcPr>
          <w:p w14:paraId="64A8AB0A" w14:textId="77777777" w:rsidR="008D6614" w:rsidRDefault="008D6614">
            <w:pPr>
              <w:rPr>
                <w:rFonts w:ascii="宋体"/>
              </w:rPr>
            </w:pPr>
          </w:p>
        </w:tc>
        <w:tc>
          <w:tcPr>
            <w:tcW w:w="0" w:type="auto"/>
            <w:shd w:val="clear" w:color="auto" w:fill="auto"/>
            <w:vAlign w:val="center"/>
          </w:tcPr>
          <w:p w14:paraId="64A8AB0B" w14:textId="77777777" w:rsidR="008D6614" w:rsidRDefault="008D6614">
            <w:pPr>
              <w:rPr>
                <w:rFonts w:ascii="宋体"/>
              </w:rPr>
            </w:pPr>
          </w:p>
        </w:tc>
        <w:tc>
          <w:tcPr>
            <w:tcW w:w="0" w:type="auto"/>
            <w:shd w:val="clear" w:color="auto" w:fill="auto"/>
            <w:vAlign w:val="center"/>
          </w:tcPr>
          <w:p w14:paraId="64A8AB0C" w14:textId="77777777" w:rsidR="008D6614" w:rsidRDefault="008D6614">
            <w:pPr>
              <w:rPr>
                <w:rFonts w:ascii="宋体"/>
              </w:rPr>
            </w:pPr>
          </w:p>
        </w:tc>
        <w:tc>
          <w:tcPr>
            <w:tcW w:w="0" w:type="auto"/>
            <w:shd w:val="clear" w:color="auto" w:fill="auto"/>
            <w:vAlign w:val="center"/>
          </w:tcPr>
          <w:p w14:paraId="64A8AB0D" w14:textId="77777777" w:rsidR="008D6614" w:rsidRDefault="008D6614">
            <w:pPr>
              <w:rPr>
                <w:rFonts w:ascii="宋体"/>
              </w:rPr>
            </w:pPr>
          </w:p>
        </w:tc>
        <w:tc>
          <w:tcPr>
            <w:tcW w:w="0" w:type="auto"/>
            <w:shd w:val="clear" w:color="auto" w:fill="auto"/>
            <w:vAlign w:val="center"/>
          </w:tcPr>
          <w:p w14:paraId="64A8AB0E" w14:textId="77777777" w:rsidR="008D6614" w:rsidRDefault="008D6614">
            <w:pPr>
              <w:rPr>
                <w:rFonts w:ascii="宋体"/>
              </w:rPr>
            </w:pPr>
          </w:p>
        </w:tc>
      </w:tr>
      <w:tr w:rsidR="008D6614" w14:paraId="64A8AB24" w14:textId="77777777">
        <w:tc>
          <w:tcPr>
            <w:tcW w:w="0" w:type="auto"/>
            <w:gridSpan w:val="3"/>
            <w:shd w:val="clear" w:color="auto" w:fill="FFFFFF"/>
            <w:tcMar>
              <w:top w:w="40" w:type="dxa"/>
              <w:left w:w="20" w:type="dxa"/>
              <w:bottom w:w="40" w:type="dxa"/>
              <w:right w:w="20" w:type="dxa"/>
            </w:tcMar>
            <w:vAlign w:val="bottom"/>
          </w:tcPr>
          <w:p w14:paraId="64A8AB10" w14:textId="77777777" w:rsidR="008D6614" w:rsidRDefault="00866AF2">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A8AB11" w14:textId="77777777" w:rsidR="008D6614" w:rsidRDefault="00866AF2">
            <w:pPr>
              <w:jc w:val="right"/>
              <w:textAlignment w:val="bottom"/>
            </w:pPr>
            <w:r>
              <w:rPr>
                <w:rFonts w:ascii="Arial" w:eastAsia="宋体" w:hAnsi="Arial" w:cs="Arial"/>
                <w:i/>
                <w:iCs/>
                <w:color w:val="000000"/>
                <w:sz w:val="16"/>
                <w:szCs w:val="16"/>
              </w:rPr>
              <w:t>35 </w:t>
            </w:r>
          </w:p>
        </w:tc>
        <w:tc>
          <w:tcPr>
            <w:tcW w:w="0" w:type="auto"/>
            <w:shd w:val="clear" w:color="auto" w:fill="FFFFFF"/>
            <w:tcMar>
              <w:top w:w="40" w:type="dxa"/>
              <w:bottom w:w="40" w:type="dxa"/>
              <w:right w:w="20" w:type="dxa"/>
            </w:tcMar>
            <w:vAlign w:val="bottom"/>
          </w:tcPr>
          <w:p w14:paraId="64A8AB12"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B1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B14" w14:textId="77777777" w:rsidR="008D6614" w:rsidRDefault="00866AF2">
            <w:pPr>
              <w:jc w:val="right"/>
              <w:textAlignment w:val="bottom"/>
            </w:pPr>
            <w:r>
              <w:rPr>
                <w:rFonts w:ascii="Arial" w:eastAsia="宋体" w:hAnsi="Arial" w:cs="Arial"/>
                <w:i/>
                <w:iCs/>
                <w:color w:val="000000"/>
                <w:sz w:val="16"/>
                <w:szCs w:val="16"/>
              </w:rPr>
              <w:t>35 </w:t>
            </w:r>
          </w:p>
        </w:tc>
        <w:tc>
          <w:tcPr>
            <w:tcW w:w="0" w:type="auto"/>
            <w:shd w:val="clear" w:color="auto" w:fill="FFFFFF"/>
            <w:tcMar>
              <w:top w:w="40" w:type="dxa"/>
              <w:bottom w:w="40" w:type="dxa"/>
              <w:right w:w="20" w:type="dxa"/>
            </w:tcMar>
            <w:vAlign w:val="bottom"/>
          </w:tcPr>
          <w:p w14:paraId="64A8AB15"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B16"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B17" w14:textId="77777777" w:rsidR="008D6614" w:rsidRDefault="008D6614">
            <w:pPr>
              <w:rPr>
                <w:rFonts w:ascii="宋体"/>
              </w:rPr>
            </w:pPr>
          </w:p>
        </w:tc>
        <w:tc>
          <w:tcPr>
            <w:tcW w:w="0" w:type="auto"/>
            <w:shd w:val="clear" w:color="auto" w:fill="auto"/>
            <w:vAlign w:val="center"/>
          </w:tcPr>
          <w:p w14:paraId="64A8AB18" w14:textId="77777777" w:rsidR="008D6614" w:rsidRDefault="008D6614">
            <w:pPr>
              <w:rPr>
                <w:rFonts w:ascii="宋体"/>
                <w:vanish/>
              </w:rPr>
            </w:pPr>
          </w:p>
        </w:tc>
        <w:tc>
          <w:tcPr>
            <w:tcW w:w="0" w:type="auto"/>
            <w:shd w:val="clear" w:color="auto" w:fill="auto"/>
            <w:vAlign w:val="center"/>
          </w:tcPr>
          <w:p w14:paraId="64A8AB19" w14:textId="77777777" w:rsidR="008D6614" w:rsidRDefault="008D6614">
            <w:pPr>
              <w:rPr>
                <w:rFonts w:ascii="宋体"/>
                <w:vanish/>
              </w:rPr>
            </w:pPr>
          </w:p>
        </w:tc>
        <w:tc>
          <w:tcPr>
            <w:tcW w:w="0" w:type="auto"/>
            <w:shd w:val="clear" w:color="auto" w:fill="auto"/>
            <w:vAlign w:val="center"/>
          </w:tcPr>
          <w:p w14:paraId="64A8AB1A" w14:textId="77777777" w:rsidR="008D6614" w:rsidRDefault="008D6614">
            <w:pPr>
              <w:rPr>
                <w:rFonts w:ascii="宋体"/>
                <w:vanish/>
              </w:rPr>
            </w:pPr>
          </w:p>
        </w:tc>
        <w:tc>
          <w:tcPr>
            <w:tcW w:w="0" w:type="auto"/>
            <w:shd w:val="clear" w:color="auto" w:fill="auto"/>
            <w:vAlign w:val="center"/>
          </w:tcPr>
          <w:p w14:paraId="64A8AB1B" w14:textId="77777777" w:rsidR="008D6614" w:rsidRDefault="008D6614">
            <w:pPr>
              <w:rPr>
                <w:rFonts w:ascii="宋体"/>
                <w:vanish/>
              </w:rPr>
            </w:pPr>
          </w:p>
        </w:tc>
        <w:tc>
          <w:tcPr>
            <w:tcW w:w="0" w:type="auto"/>
            <w:shd w:val="clear" w:color="auto" w:fill="auto"/>
            <w:vAlign w:val="center"/>
          </w:tcPr>
          <w:p w14:paraId="64A8AB1C" w14:textId="77777777" w:rsidR="008D6614" w:rsidRDefault="008D6614">
            <w:pPr>
              <w:rPr>
                <w:rFonts w:ascii="宋体"/>
                <w:vanish/>
              </w:rPr>
            </w:pPr>
          </w:p>
        </w:tc>
        <w:tc>
          <w:tcPr>
            <w:tcW w:w="0" w:type="auto"/>
            <w:shd w:val="clear" w:color="auto" w:fill="auto"/>
            <w:vAlign w:val="center"/>
          </w:tcPr>
          <w:p w14:paraId="64A8AB1D" w14:textId="77777777" w:rsidR="008D6614" w:rsidRDefault="008D6614">
            <w:pPr>
              <w:rPr>
                <w:rFonts w:ascii="宋体"/>
                <w:vanish/>
              </w:rPr>
            </w:pPr>
          </w:p>
        </w:tc>
        <w:tc>
          <w:tcPr>
            <w:tcW w:w="0" w:type="auto"/>
            <w:shd w:val="clear" w:color="auto" w:fill="auto"/>
            <w:vAlign w:val="center"/>
          </w:tcPr>
          <w:p w14:paraId="64A8AB1E" w14:textId="77777777" w:rsidR="008D6614" w:rsidRDefault="008D6614">
            <w:pPr>
              <w:rPr>
                <w:rFonts w:ascii="宋体"/>
              </w:rPr>
            </w:pPr>
          </w:p>
        </w:tc>
        <w:tc>
          <w:tcPr>
            <w:tcW w:w="0" w:type="auto"/>
            <w:shd w:val="clear" w:color="auto" w:fill="auto"/>
            <w:vAlign w:val="center"/>
          </w:tcPr>
          <w:p w14:paraId="64A8AB1F" w14:textId="77777777" w:rsidR="008D6614" w:rsidRDefault="008D6614">
            <w:pPr>
              <w:rPr>
                <w:rFonts w:ascii="宋体"/>
              </w:rPr>
            </w:pPr>
          </w:p>
        </w:tc>
        <w:tc>
          <w:tcPr>
            <w:tcW w:w="0" w:type="auto"/>
            <w:shd w:val="clear" w:color="auto" w:fill="auto"/>
            <w:vAlign w:val="center"/>
          </w:tcPr>
          <w:p w14:paraId="64A8AB20" w14:textId="77777777" w:rsidR="008D6614" w:rsidRDefault="008D6614">
            <w:pPr>
              <w:rPr>
                <w:rFonts w:ascii="宋体"/>
              </w:rPr>
            </w:pPr>
          </w:p>
        </w:tc>
        <w:tc>
          <w:tcPr>
            <w:tcW w:w="0" w:type="auto"/>
            <w:shd w:val="clear" w:color="auto" w:fill="auto"/>
            <w:vAlign w:val="center"/>
          </w:tcPr>
          <w:p w14:paraId="64A8AB21" w14:textId="77777777" w:rsidR="008D6614" w:rsidRDefault="008D6614">
            <w:pPr>
              <w:rPr>
                <w:rFonts w:ascii="宋体"/>
              </w:rPr>
            </w:pPr>
          </w:p>
        </w:tc>
        <w:tc>
          <w:tcPr>
            <w:tcW w:w="0" w:type="auto"/>
            <w:shd w:val="clear" w:color="auto" w:fill="auto"/>
            <w:vAlign w:val="center"/>
          </w:tcPr>
          <w:p w14:paraId="64A8AB22" w14:textId="77777777" w:rsidR="008D6614" w:rsidRDefault="008D6614">
            <w:pPr>
              <w:rPr>
                <w:rFonts w:ascii="宋体"/>
              </w:rPr>
            </w:pPr>
          </w:p>
        </w:tc>
        <w:tc>
          <w:tcPr>
            <w:tcW w:w="0" w:type="auto"/>
            <w:shd w:val="clear" w:color="auto" w:fill="auto"/>
            <w:vAlign w:val="center"/>
          </w:tcPr>
          <w:p w14:paraId="64A8AB23" w14:textId="77777777" w:rsidR="008D6614" w:rsidRDefault="008D6614">
            <w:pPr>
              <w:rPr>
                <w:rFonts w:ascii="宋体"/>
              </w:rPr>
            </w:pPr>
          </w:p>
        </w:tc>
      </w:tr>
      <w:tr w:rsidR="008D6614" w14:paraId="64A8AB37" w14:textId="77777777">
        <w:trPr>
          <w:trHeight w:val="240"/>
        </w:trPr>
        <w:tc>
          <w:tcPr>
            <w:tcW w:w="0" w:type="auto"/>
            <w:gridSpan w:val="3"/>
            <w:shd w:val="clear" w:color="auto" w:fill="E2E2E2"/>
            <w:tcMar>
              <w:left w:w="20" w:type="dxa"/>
              <w:right w:w="20" w:type="dxa"/>
            </w:tcMar>
            <w:vAlign w:val="bottom"/>
          </w:tcPr>
          <w:p w14:paraId="64A8AB2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B2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B2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B2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B29"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B2A" w14:textId="77777777" w:rsidR="008D6614" w:rsidRDefault="008D6614">
            <w:pPr>
              <w:rPr>
                <w:rFonts w:ascii="宋体"/>
              </w:rPr>
            </w:pPr>
          </w:p>
        </w:tc>
        <w:tc>
          <w:tcPr>
            <w:tcW w:w="0" w:type="auto"/>
            <w:shd w:val="clear" w:color="auto" w:fill="auto"/>
            <w:vAlign w:val="center"/>
          </w:tcPr>
          <w:p w14:paraId="64A8AB2B" w14:textId="77777777" w:rsidR="008D6614" w:rsidRDefault="008D6614">
            <w:pPr>
              <w:rPr>
                <w:rFonts w:ascii="宋体"/>
                <w:vanish/>
              </w:rPr>
            </w:pPr>
          </w:p>
        </w:tc>
        <w:tc>
          <w:tcPr>
            <w:tcW w:w="0" w:type="auto"/>
            <w:shd w:val="clear" w:color="auto" w:fill="auto"/>
            <w:vAlign w:val="center"/>
          </w:tcPr>
          <w:p w14:paraId="64A8AB2C" w14:textId="77777777" w:rsidR="008D6614" w:rsidRDefault="008D6614">
            <w:pPr>
              <w:rPr>
                <w:rFonts w:ascii="宋体"/>
                <w:vanish/>
              </w:rPr>
            </w:pPr>
          </w:p>
        </w:tc>
        <w:tc>
          <w:tcPr>
            <w:tcW w:w="0" w:type="auto"/>
            <w:shd w:val="clear" w:color="auto" w:fill="auto"/>
            <w:vAlign w:val="center"/>
          </w:tcPr>
          <w:p w14:paraId="64A8AB2D" w14:textId="77777777" w:rsidR="008D6614" w:rsidRDefault="008D6614">
            <w:pPr>
              <w:rPr>
                <w:rFonts w:ascii="宋体"/>
                <w:vanish/>
              </w:rPr>
            </w:pPr>
          </w:p>
        </w:tc>
        <w:tc>
          <w:tcPr>
            <w:tcW w:w="0" w:type="auto"/>
            <w:shd w:val="clear" w:color="auto" w:fill="auto"/>
            <w:vAlign w:val="center"/>
          </w:tcPr>
          <w:p w14:paraId="64A8AB2E" w14:textId="77777777" w:rsidR="008D6614" w:rsidRDefault="008D6614">
            <w:pPr>
              <w:rPr>
                <w:rFonts w:ascii="宋体"/>
                <w:vanish/>
              </w:rPr>
            </w:pPr>
          </w:p>
        </w:tc>
        <w:tc>
          <w:tcPr>
            <w:tcW w:w="0" w:type="auto"/>
            <w:shd w:val="clear" w:color="auto" w:fill="auto"/>
            <w:vAlign w:val="center"/>
          </w:tcPr>
          <w:p w14:paraId="64A8AB2F" w14:textId="77777777" w:rsidR="008D6614" w:rsidRDefault="008D6614">
            <w:pPr>
              <w:rPr>
                <w:rFonts w:ascii="宋体"/>
                <w:vanish/>
              </w:rPr>
            </w:pPr>
          </w:p>
        </w:tc>
        <w:tc>
          <w:tcPr>
            <w:tcW w:w="0" w:type="auto"/>
            <w:shd w:val="clear" w:color="auto" w:fill="auto"/>
            <w:vAlign w:val="center"/>
          </w:tcPr>
          <w:p w14:paraId="64A8AB30" w14:textId="77777777" w:rsidR="008D6614" w:rsidRDefault="008D6614">
            <w:pPr>
              <w:rPr>
                <w:rFonts w:ascii="宋体"/>
                <w:vanish/>
              </w:rPr>
            </w:pPr>
          </w:p>
        </w:tc>
        <w:tc>
          <w:tcPr>
            <w:tcW w:w="0" w:type="auto"/>
            <w:shd w:val="clear" w:color="auto" w:fill="auto"/>
            <w:vAlign w:val="center"/>
          </w:tcPr>
          <w:p w14:paraId="64A8AB31" w14:textId="77777777" w:rsidR="008D6614" w:rsidRDefault="008D6614">
            <w:pPr>
              <w:rPr>
                <w:rFonts w:ascii="宋体"/>
              </w:rPr>
            </w:pPr>
          </w:p>
        </w:tc>
        <w:tc>
          <w:tcPr>
            <w:tcW w:w="0" w:type="auto"/>
            <w:shd w:val="clear" w:color="auto" w:fill="auto"/>
            <w:vAlign w:val="center"/>
          </w:tcPr>
          <w:p w14:paraId="64A8AB32" w14:textId="77777777" w:rsidR="008D6614" w:rsidRDefault="008D6614">
            <w:pPr>
              <w:rPr>
                <w:rFonts w:ascii="宋体"/>
              </w:rPr>
            </w:pPr>
          </w:p>
        </w:tc>
        <w:tc>
          <w:tcPr>
            <w:tcW w:w="0" w:type="auto"/>
            <w:shd w:val="clear" w:color="auto" w:fill="auto"/>
            <w:vAlign w:val="center"/>
          </w:tcPr>
          <w:p w14:paraId="64A8AB33" w14:textId="77777777" w:rsidR="008D6614" w:rsidRDefault="008D6614">
            <w:pPr>
              <w:rPr>
                <w:rFonts w:ascii="宋体"/>
              </w:rPr>
            </w:pPr>
          </w:p>
        </w:tc>
        <w:tc>
          <w:tcPr>
            <w:tcW w:w="0" w:type="auto"/>
            <w:shd w:val="clear" w:color="auto" w:fill="auto"/>
            <w:vAlign w:val="center"/>
          </w:tcPr>
          <w:p w14:paraId="64A8AB34" w14:textId="77777777" w:rsidR="008D6614" w:rsidRDefault="008D6614">
            <w:pPr>
              <w:rPr>
                <w:rFonts w:ascii="宋体"/>
              </w:rPr>
            </w:pPr>
          </w:p>
        </w:tc>
        <w:tc>
          <w:tcPr>
            <w:tcW w:w="0" w:type="auto"/>
            <w:shd w:val="clear" w:color="auto" w:fill="auto"/>
            <w:vAlign w:val="center"/>
          </w:tcPr>
          <w:p w14:paraId="64A8AB35" w14:textId="77777777" w:rsidR="008D6614" w:rsidRDefault="008D6614">
            <w:pPr>
              <w:rPr>
                <w:rFonts w:ascii="宋体"/>
              </w:rPr>
            </w:pPr>
          </w:p>
        </w:tc>
        <w:tc>
          <w:tcPr>
            <w:tcW w:w="0" w:type="auto"/>
            <w:shd w:val="clear" w:color="auto" w:fill="auto"/>
            <w:vAlign w:val="center"/>
          </w:tcPr>
          <w:p w14:paraId="64A8AB36" w14:textId="77777777" w:rsidR="008D6614" w:rsidRDefault="008D6614">
            <w:pPr>
              <w:rPr>
                <w:rFonts w:ascii="宋体"/>
              </w:rPr>
            </w:pPr>
          </w:p>
        </w:tc>
      </w:tr>
      <w:tr w:rsidR="008D6614" w14:paraId="64A8AB4D" w14:textId="77777777">
        <w:tc>
          <w:tcPr>
            <w:tcW w:w="0" w:type="auto"/>
            <w:gridSpan w:val="3"/>
            <w:shd w:val="clear" w:color="auto" w:fill="FFFFFF"/>
            <w:tcMar>
              <w:top w:w="40" w:type="dxa"/>
              <w:left w:w="20" w:type="dxa"/>
              <w:bottom w:w="40" w:type="dxa"/>
              <w:right w:w="20" w:type="dxa"/>
            </w:tcMar>
            <w:vAlign w:val="bottom"/>
          </w:tcPr>
          <w:p w14:paraId="64A8AB38" w14:textId="77777777" w:rsidR="008D6614" w:rsidRDefault="00866AF2">
            <w:pPr>
              <w:textAlignment w:val="bottom"/>
            </w:pPr>
            <w:r>
              <w:rPr>
                <w:rFonts w:ascii="Arial" w:eastAsia="宋体" w:hAnsi="Arial" w:cs="Arial"/>
                <w:color w:val="000000"/>
                <w:sz w:val="16"/>
                <w:szCs w:val="16"/>
              </w:rPr>
              <w:t>International</w:t>
            </w:r>
          </w:p>
        </w:tc>
        <w:tc>
          <w:tcPr>
            <w:tcW w:w="0" w:type="auto"/>
            <w:gridSpan w:val="2"/>
            <w:shd w:val="clear" w:color="auto" w:fill="FFFFFF"/>
            <w:tcMar>
              <w:top w:w="40" w:type="dxa"/>
              <w:left w:w="20" w:type="dxa"/>
              <w:bottom w:w="40" w:type="dxa"/>
              <w:right w:w="0" w:type="dxa"/>
            </w:tcMar>
            <w:vAlign w:val="bottom"/>
          </w:tcPr>
          <w:p w14:paraId="64A8AB39" w14:textId="77777777" w:rsidR="008D6614" w:rsidRDefault="00866AF2">
            <w:pPr>
              <w:jc w:val="right"/>
              <w:textAlignment w:val="bottom"/>
            </w:pPr>
            <w:r>
              <w:rPr>
                <w:rFonts w:ascii="Arial" w:eastAsia="宋体" w:hAnsi="Arial" w:cs="Arial"/>
                <w:color w:val="000000"/>
                <w:sz w:val="16"/>
                <w:szCs w:val="16"/>
              </w:rPr>
              <w:t>1,552 </w:t>
            </w:r>
          </w:p>
        </w:tc>
        <w:tc>
          <w:tcPr>
            <w:tcW w:w="0" w:type="auto"/>
            <w:shd w:val="clear" w:color="auto" w:fill="FFFFFF"/>
            <w:tcMar>
              <w:top w:w="40" w:type="dxa"/>
              <w:bottom w:w="40" w:type="dxa"/>
              <w:right w:w="20" w:type="dxa"/>
            </w:tcMar>
            <w:vAlign w:val="bottom"/>
          </w:tcPr>
          <w:p w14:paraId="64A8AB3A"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B3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B3C" w14:textId="77777777" w:rsidR="008D6614" w:rsidRDefault="00866AF2">
            <w:pPr>
              <w:jc w:val="right"/>
              <w:textAlignment w:val="bottom"/>
            </w:pPr>
            <w:r>
              <w:rPr>
                <w:rFonts w:ascii="Arial" w:eastAsia="宋体" w:hAnsi="Arial" w:cs="Arial"/>
                <w:color w:val="000000"/>
                <w:sz w:val="16"/>
                <w:szCs w:val="16"/>
              </w:rPr>
              <w:t>1,571 </w:t>
            </w:r>
          </w:p>
        </w:tc>
        <w:tc>
          <w:tcPr>
            <w:tcW w:w="0" w:type="auto"/>
            <w:shd w:val="clear" w:color="auto" w:fill="FFFFFF"/>
            <w:tcMar>
              <w:top w:w="40" w:type="dxa"/>
              <w:bottom w:w="40" w:type="dxa"/>
              <w:right w:w="20" w:type="dxa"/>
            </w:tcMar>
            <w:vAlign w:val="bottom"/>
          </w:tcPr>
          <w:p w14:paraId="64A8AB3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B3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B3F" w14:textId="77777777" w:rsidR="008D6614" w:rsidRDefault="00866AF2">
            <w:pPr>
              <w:jc w:val="right"/>
              <w:textAlignment w:val="bottom"/>
            </w:pPr>
            <w:r>
              <w:rPr>
                <w:rFonts w:ascii="Arial" w:eastAsia="宋体" w:hAnsi="Arial" w:cs="Arial"/>
                <w:color w:val="000000"/>
                <w:sz w:val="16"/>
                <w:szCs w:val="16"/>
              </w:rPr>
              <w:t>(1)</w:t>
            </w:r>
          </w:p>
        </w:tc>
        <w:tc>
          <w:tcPr>
            <w:tcW w:w="0" w:type="auto"/>
            <w:shd w:val="clear" w:color="auto" w:fill="FFFFFF"/>
            <w:tcMar>
              <w:top w:w="40" w:type="dxa"/>
              <w:bottom w:w="40" w:type="dxa"/>
              <w:right w:w="20" w:type="dxa"/>
            </w:tcMar>
            <w:vAlign w:val="bottom"/>
          </w:tcPr>
          <w:p w14:paraId="64A8AB40"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B41" w14:textId="77777777" w:rsidR="008D6614" w:rsidRDefault="008D6614">
            <w:pPr>
              <w:rPr>
                <w:rFonts w:ascii="宋体"/>
                <w:vanish/>
              </w:rPr>
            </w:pPr>
          </w:p>
        </w:tc>
        <w:tc>
          <w:tcPr>
            <w:tcW w:w="0" w:type="auto"/>
            <w:shd w:val="clear" w:color="auto" w:fill="auto"/>
            <w:vAlign w:val="center"/>
          </w:tcPr>
          <w:p w14:paraId="64A8AB42" w14:textId="77777777" w:rsidR="008D6614" w:rsidRDefault="008D6614">
            <w:pPr>
              <w:rPr>
                <w:rFonts w:ascii="宋体"/>
                <w:vanish/>
              </w:rPr>
            </w:pPr>
          </w:p>
        </w:tc>
        <w:tc>
          <w:tcPr>
            <w:tcW w:w="0" w:type="auto"/>
            <w:shd w:val="clear" w:color="auto" w:fill="auto"/>
            <w:vAlign w:val="center"/>
          </w:tcPr>
          <w:p w14:paraId="64A8AB43" w14:textId="77777777" w:rsidR="008D6614" w:rsidRDefault="008D6614">
            <w:pPr>
              <w:rPr>
                <w:rFonts w:ascii="宋体"/>
                <w:vanish/>
              </w:rPr>
            </w:pPr>
          </w:p>
        </w:tc>
        <w:tc>
          <w:tcPr>
            <w:tcW w:w="0" w:type="auto"/>
            <w:shd w:val="clear" w:color="auto" w:fill="auto"/>
            <w:vAlign w:val="center"/>
          </w:tcPr>
          <w:p w14:paraId="64A8AB44" w14:textId="77777777" w:rsidR="008D6614" w:rsidRDefault="008D6614">
            <w:pPr>
              <w:rPr>
                <w:rFonts w:ascii="宋体"/>
                <w:vanish/>
              </w:rPr>
            </w:pPr>
          </w:p>
        </w:tc>
        <w:tc>
          <w:tcPr>
            <w:tcW w:w="0" w:type="auto"/>
            <w:shd w:val="clear" w:color="auto" w:fill="auto"/>
            <w:vAlign w:val="center"/>
          </w:tcPr>
          <w:p w14:paraId="64A8AB45" w14:textId="77777777" w:rsidR="008D6614" w:rsidRDefault="008D6614">
            <w:pPr>
              <w:rPr>
                <w:rFonts w:ascii="宋体"/>
                <w:vanish/>
              </w:rPr>
            </w:pPr>
          </w:p>
        </w:tc>
        <w:tc>
          <w:tcPr>
            <w:tcW w:w="0" w:type="auto"/>
            <w:shd w:val="clear" w:color="auto" w:fill="auto"/>
            <w:vAlign w:val="center"/>
          </w:tcPr>
          <w:p w14:paraId="64A8AB46" w14:textId="77777777" w:rsidR="008D6614" w:rsidRDefault="008D6614">
            <w:pPr>
              <w:rPr>
                <w:rFonts w:ascii="宋体"/>
                <w:vanish/>
              </w:rPr>
            </w:pPr>
          </w:p>
        </w:tc>
        <w:tc>
          <w:tcPr>
            <w:tcW w:w="0" w:type="auto"/>
            <w:shd w:val="clear" w:color="auto" w:fill="auto"/>
            <w:vAlign w:val="center"/>
          </w:tcPr>
          <w:p w14:paraId="64A8AB47" w14:textId="77777777" w:rsidR="008D6614" w:rsidRDefault="008D6614">
            <w:pPr>
              <w:rPr>
                <w:rFonts w:ascii="宋体"/>
              </w:rPr>
            </w:pPr>
          </w:p>
        </w:tc>
        <w:tc>
          <w:tcPr>
            <w:tcW w:w="0" w:type="auto"/>
            <w:shd w:val="clear" w:color="auto" w:fill="auto"/>
            <w:vAlign w:val="center"/>
          </w:tcPr>
          <w:p w14:paraId="64A8AB48" w14:textId="77777777" w:rsidR="008D6614" w:rsidRDefault="008D6614">
            <w:pPr>
              <w:rPr>
                <w:rFonts w:ascii="宋体"/>
              </w:rPr>
            </w:pPr>
          </w:p>
        </w:tc>
        <w:tc>
          <w:tcPr>
            <w:tcW w:w="0" w:type="auto"/>
            <w:shd w:val="clear" w:color="auto" w:fill="auto"/>
            <w:vAlign w:val="center"/>
          </w:tcPr>
          <w:p w14:paraId="64A8AB49" w14:textId="77777777" w:rsidR="008D6614" w:rsidRDefault="008D6614">
            <w:pPr>
              <w:rPr>
                <w:rFonts w:ascii="宋体"/>
              </w:rPr>
            </w:pPr>
          </w:p>
        </w:tc>
        <w:tc>
          <w:tcPr>
            <w:tcW w:w="0" w:type="auto"/>
            <w:shd w:val="clear" w:color="auto" w:fill="auto"/>
            <w:vAlign w:val="center"/>
          </w:tcPr>
          <w:p w14:paraId="64A8AB4A" w14:textId="77777777" w:rsidR="008D6614" w:rsidRDefault="008D6614">
            <w:pPr>
              <w:rPr>
                <w:rFonts w:ascii="宋体"/>
              </w:rPr>
            </w:pPr>
          </w:p>
        </w:tc>
        <w:tc>
          <w:tcPr>
            <w:tcW w:w="0" w:type="auto"/>
            <w:shd w:val="clear" w:color="auto" w:fill="auto"/>
            <w:vAlign w:val="center"/>
          </w:tcPr>
          <w:p w14:paraId="64A8AB4B" w14:textId="77777777" w:rsidR="008D6614" w:rsidRDefault="008D6614">
            <w:pPr>
              <w:rPr>
                <w:rFonts w:ascii="宋体"/>
              </w:rPr>
            </w:pPr>
          </w:p>
        </w:tc>
        <w:tc>
          <w:tcPr>
            <w:tcW w:w="0" w:type="auto"/>
            <w:shd w:val="clear" w:color="auto" w:fill="auto"/>
            <w:vAlign w:val="center"/>
          </w:tcPr>
          <w:p w14:paraId="64A8AB4C" w14:textId="77777777" w:rsidR="008D6614" w:rsidRDefault="008D6614">
            <w:pPr>
              <w:rPr>
                <w:rFonts w:ascii="宋体"/>
              </w:rPr>
            </w:pPr>
          </w:p>
        </w:tc>
      </w:tr>
      <w:tr w:rsidR="008D6614" w14:paraId="64A8AB62" w14:textId="77777777">
        <w:tc>
          <w:tcPr>
            <w:tcW w:w="0" w:type="auto"/>
            <w:gridSpan w:val="3"/>
            <w:shd w:val="clear" w:color="auto" w:fill="E2E2E2"/>
            <w:tcMar>
              <w:top w:w="40" w:type="dxa"/>
              <w:left w:w="20" w:type="dxa"/>
              <w:bottom w:w="40" w:type="dxa"/>
              <w:right w:w="20" w:type="dxa"/>
            </w:tcMar>
            <w:vAlign w:val="bottom"/>
          </w:tcPr>
          <w:p w14:paraId="64A8AB4E" w14:textId="77777777" w:rsidR="008D6614" w:rsidRDefault="00866AF2">
            <w:pPr>
              <w:textAlignment w:val="bottom"/>
            </w:pPr>
            <w:r>
              <w:rPr>
                <w:rFonts w:ascii="Arial" w:eastAsia="宋体" w:hAnsi="Arial" w:cs="Arial"/>
                <w:i/>
                <w:iCs/>
                <w:color w:val="000000"/>
                <w:sz w:val="16"/>
                <w:szCs w:val="16"/>
              </w:rPr>
              <w:t>Percentage of net revenues</w:t>
            </w:r>
          </w:p>
        </w:tc>
        <w:tc>
          <w:tcPr>
            <w:tcW w:w="0" w:type="auto"/>
            <w:gridSpan w:val="2"/>
            <w:shd w:val="clear" w:color="auto" w:fill="E2E2E2"/>
            <w:tcMar>
              <w:top w:w="40" w:type="dxa"/>
              <w:left w:w="20" w:type="dxa"/>
              <w:bottom w:w="40" w:type="dxa"/>
              <w:right w:w="0" w:type="dxa"/>
            </w:tcMar>
            <w:vAlign w:val="bottom"/>
          </w:tcPr>
          <w:p w14:paraId="64A8AB4F" w14:textId="77777777" w:rsidR="008D6614" w:rsidRDefault="00866AF2">
            <w:pPr>
              <w:jc w:val="right"/>
              <w:textAlignment w:val="bottom"/>
            </w:pPr>
            <w:r>
              <w:rPr>
                <w:rFonts w:ascii="Arial" w:eastAsia="宋体" w:hAnsi="Arial" w:cs="Arial"/>
                <w:i/>
                <w:iCs/>
                <w:color w:val="000000"/>
                <w:sz w:val="16"/>
                <w:szCs w:val="16"/>
              </w:rPr>
              <w:t>65 </w:t>
            </w:r>
          </w:p>
        </w:tc>
        <w:tc>
          <w:tcPr>
            <w:tcW w:w="0" w:type="auto"/>
            <w:shd w:val="clear" w:color="auto" w:fill="E2E2E2"/>
            <w:tcMar>
              <w:top w:w="40" w:type="dxa"/>
              <w:bottom w:w="40" w:type="dxa"/>
              <w:right w:w="20" w:type="dxa"/>
            </w:tcMar>
            <w:vAlign w:val="bottom"/>
          </w:tcPr>
          <w:p w14:paraId="64A8AB50"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E2E2E2"/>
            <w:tcMar>
              <w:left w:w="20" w:type="dxa"/>
              <w:right w:w="20" w:type="dxa"/>
            </w:tcMar>
            <w:vAlign w:val="bottom"/>
          </w:tcPr>
          <w:p w14:paraId="64A8AB51"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B52" w14:textId="77777777" w:rsidR="008D6614" w:rsidRDefault="00866AF2">
            <w:pPr>
              <w:jc w:val="right"/>
              <w:textAlignment w:val="bottom"/>
            </w:pPr>
            <w:r>
              <w:rPr>
                <w:rFonts w:ascii="Arial" w:eastAsia="宋体" w:hAnsi="Arial" w:cs="Arial"/>
                <w:i/>
                <w:iCs/>
                <w:color w:val="000000"/>
                <w:sz w:val="16"/>
                <w:szCs w:val="16"/>
              </w:rPr>
              <w:t>65 </w:t>
            </w:r>
          </w:p>
        </w:tc>
        <w:tc>
          <w:tcPr>
            <w:tcW w:w="0" w:type="auto"/>
            <w:shd w:val="clear" w:color="auto" w:fill="E2E2E2"/>
            <w:tcMar>
              <w:top w:w="40" w:type="dxa"/>
              <w:bottom w:w="40" w:type="dxa"/>
              <w:right w:w="20" w:type="dxa"/>
            </w:tcMar>
            <w:vAlign w:val="bottom"/>
          </w:tcPr>
          <w:p w14:paraId="64A8AB53"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E2E2E2"/>
            <w:tcMar>
              <w:left w:w="20" w:type="dxa"/>
              <w:right w:w="20" w:type="dxa"/>
            </w:tcMar>
            <w:vAlign w:val="bottom"/>
          </w:tcPr>
          <w:p w14:paraId="64A8AB5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B55" w14:textId="77777777" w:rsidR="008D6614" w:rsidRDefault="008D6614">
            <w:pPr>
              <w:rPr>
                <w:rFonts w:ascii="宋体"/>
              </w:rPr>
            </w:pPr>
          </w:p>
        </w:tc>
        <w:tc>
          <w:tcPr>
            <w:tcW w:w="0" w:type="auto"/>
            <w:shd w:val="clear" w:color="auto" w:fill="auto"/>
            <w:vAlign w:val="center"/>
          </w:tcPr>
          <w:p w14:paraId="64A8AB56" w14:textId="77777777" w:rsidR="008D6614" w:rsidRDefault="008D6614">
            <w:pPr>
              <w:rPr>
                <w:rFonts w:ascii="宋体"/>
                <w:vanish/>
              </w:rPr>
            </w:pPr>
          </w:p>
        </w:tc>
        <w:tc>
          <w:tcPr>
            <w:tcW w:w="0" w:type="auto"/>
            <w:shd w:val="clear" w:color="auto" w:fill="auto"/>
            <w:vAlign w:val="center"/>
          </w:tcPr>
          <w:p w14:paraId="64A8AB57" w14:textId="77777777" w:rsidR="008D6614" w:rsidRDefault="008D6614">
            <w:pPr>
              <w:rPr>
                <w:rFonts w:ascii="宋体"/>
                <w:vanish/>
              </w:rPr>
            </w:pPr>
          </w:p>
        </w:tc>
        <w:tc>
          <w:tcPr>
            <w:tcW w:w="0" w:type="auto"/>
            <w:shd w:val="clear" w:color="auto" w:fill="auto"/>
            <w:vAlign w:val="center"/>
          </w:tcPr>
          <w:p w14:paraId="64A8AB58" w14:textId="77777777" w:rsidR="008D6614" w:rsidRDefault="008D6614">
            <w:pPr>
              <w:rPr>
                <w:rFonts w:ascii="宋体"/>
                <w:vanish/>
              </w:rPr>
            </w:pPr>
          </w:p>
        </w:tc>
        <w:tc>
          <w:tcPr>
            <w:tcW w:w="0" w:type="auto"/>
            <w:shd w:val="clear" w:color="auto" w:fill="auto"/>
            <w:vAlign w:val="center"/>
          </w:tcPr>
          <w:p w14:paraId="64A8AB59" w14:textId="77777777" w:rsidR="008D6614" w:rsidRDefault="008D6614">
            <w:pPr>
              <w:rPr>
                <w:rFonts w:ascii="宋体"/>
                <w:vanish/>
              </w:rPr>
            </w:pPr>
          </w:p>
        </w:tc>
        <w:tc>
          <w:tcPr>
            <w:tcW w:w="0" w:type="auto"/>
            <w:shd w:val="clear" w:color="auto" w:fill="auto"/>
            <w:vAlign w:val="center"/>
          </w:tcPr>
          <w:p w14:paraId="64A8AB5A" w14:textId="77777777" w:rsidR="008D6614" w:rsidRDefault="008D6614">
            <w:pPr>
              <w:rPr>
                <w:rFonts w:ascii="宋体"/>
                <w:vanish/>
              </w:rPr>
            </w:pPr>
          </w:p>
        </w:tc>
        <w:tc>
          <w:tcPr>
            <w:tcW w:w="0" w:type="auto"/>
            <w:shd w:val="clear" w:color="auto" w:fill="auto"/>
            <w:vAlign w:val="center"/>
          </w:tcPr>
          <w:p w14:paraId="64A8AB5B" w14:textId="77777777" w:rsidR="008D6614" w:rsidRDefault="008D6614">
            <w:pPr>
              <w:rPr>
                <w:rFonts w:ascii="宋体"/>
                <w:vanish/>
              </w:rPr>
            </w:pPr>
          </w:p>
        </w:tc>
        <w:tc>
          <w:tcPr>
            <w:tcW w:w="0" w:type="auto"/>
            <w:shd w:val="clear" w:color="auto" w:fill="auto"/>
            <w:vAlign w:val="center"/>
          </w:tcPr>
          <w:p w14:paraId="64A8AB5C" w14:textId="77777777" w:rsidR="008D6614" w:rsidRDefault="008D6614">
            <w:pPr>
              <w:rPr>
                <w:rFonts w:ascii="宋体"/>
              </w:rPr>
            </w:pPr>
          </w:p>
        </w:tc>
        <w:tc>
          <w:tcPr>
            <w:tcW w:w="0" w:type="auto"/>
            <w:shd w:val="clear" w:color="auto" w:fill="auto"/>
            <w:vAlign w:val="center"/>
          </w:tcPr>
          <w:p w14:paraId="64A8AB5D" w14:textId="77777777" w:rsidR="008D6614" w:rsidRDefault="008D6614">
            <w:pPr>
              <w:rPr>
                <w:rFonts w:ascii="宋体"/>
              </w:rPr>
            </w:pPr>
          </w:p>
        </w:tc>
        <w:tc>
          <w:tcPr>
            <w:tcW w:w="0" w:type="auto"/>
            <w:shd w:val="clear" w:color="auto" w:fill="auto"/>
            <w:vAlign w:val="center"/>
          </w:tcPr>
          <w:p w14:paraId="64A8AB5E" w14:textId="77777777" w:rsidR="008D6614" w:rsidRDefault="008D6614">
            <w:pPr>
              <w:rPr>
                <w:rFonts w:ascii="宋体"/>
              </w:rPr>
            </w:pPr>
          </w:p>
        </w:tc>
        <w:tc>
          <w:tcPr>
            <w:tcW w:w="0" w:type="auto"/>
            <w:shd w:val="clear" w:color="auto" w:fill="auto"/>
            <w:vAlign w:val="center"/>
          </w:tcPr>
          <w:p w14:paraId="64A8AB5F" w14:textId="77777777" w:rsidR="008D6614" w:rsidRDefault="008D6614">
            <w:pPr>
              <w:rPr>
                <w:rFonts w:ascii="宋体"/>
              </w:rPr>
            </w:pPr>
          </w:p>
        </w:tc>
        <w:tc>
          <w:tcPr>
            <w:tcW w:w="0" w:type="auto"/>
            <w:shd w:val="clear" w:color="auto" w:fill="auto"/>
            <w:vAlign w:val="center"/>
          </w:tcPr>
          <w:p w14:paraId="64A8AB60" w14:textId="77777777" w:rsidR="008D6614" w:rsidRDefault="008D6614">
            <w:pPr>
              <w:rPr>
                <w:rFonts w:ascii="宋体"/>
              </w:rPr>
            </w:pPr>
          </w:p>
        </w:tc>
        <w:tc>
          <w:tcPr>
            <w:tcW w:w="0" w:type="auto"/>
            <w:shd w:val="clear" w:color="auto" w:fill="auto"/>
            <w:vAlign w:val="center"/>
          </w:tcPr>
          <w:p w14:paraId="64A8AB61" w14:textId="77777777" w:rsidR="008D6614" w:rsidRDefault="008D6614">
            <w:pPr>
              <w:rPr>
                <w:rFonts w:ascii="宋体"/>
              </w:rPr>
            </w:pPr>
          </w:p>
        </w:tc>
      </w:tr>
      <w:tr w:rsidR="008D6614" w14:paraId="64A8AB75" w14:textId="77777777">
        <w:trPr>
          <w:trHeight w:val="240"/>
        </w:trPr>
        <w:tc>
          <w:tcPr>
            <w:tcW w:w="0" w:type="auto"/>
            <w:gridSpan w:val="3"/>
            <w:shd w:val="clear" w:color="auto" w:fill="FFFFFF"/>
            <w:tcMar>
              <w:left w:w="20" w:type="dxa"/>
              <w:right w:w="20" w:type="dxa"/>
            </w:tcMar>
            <w:vAlign w:val="bottom"/>
          </w:tcPr>
          <w:p w14:paraId="64A8AB6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B64"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B6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B66"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B6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B68" w14:textId="77777777" w:rsidR="008D6614" w:rsidRDefault="008D6614">
            <w:pPr>
              <w:rPr>
                <w:rFonts w:ascii="宋体"/>
              </w:rPr>
            </w:pPr>
          </w:p>
        </w:tc>
        <w:tc>
          <w:tcPr>
            <w:tcW w:w="0" w:type="auto"/>
            <w:shd w:val="clear" w:color="auto" w:fill="auto"/>
            <w:vAlign w:val="center"/>
          </w:tcPr>
          <w:p w14:paraId="64A8AB69" w14:textId="77777777" w:rsidR="008D6614" w:rsidRDefault="008D6614">
            <w:pPr>
              <w:rPr>
                <w:rFonts w:ascii="宋体"/>
                <w:vanish/>
              </w:rPr>
            </w:pPr>
          </w:p>
        </w:tc>
        <w:tc>
          <w:tcPr>
            <w:tcW w:w="0" w:type="auto"/>
            <w:shd w:val="clear" w:color="auto" w:fill="auto"/>
            <w:vAlign w:val="center"/>
          </w:tcPr>
          <w:p w14:paraId="64A8AB6A" w14:textId="77777777" w:rsidR="008D6614" w:rsidRDefault="008D6614">
            <w:pPr>
              <w:rPr>
                <w:rFonts w:ascii="宋体"/>
                <w:vanish/>
              </w:rPr>
            </w:pPr>
          </w:p>
        </w:tc>
        <w:tc>
          <w:tcPr>
            <w:tcW w:w="0" w:type="auto"/>
            <w:shd w:val="clear" w:color="auto" w:fill="auto"/>
            <w:vAlign w:val="center"/>
          </w:tcPr>
          <w:p w14:paraId="64A8AB6B" w14:textId="77777777" w:rsidR="008D6614" w:rsidRDefault="008D6614">
            <w:pPr>
              <w:rPr>
                <w:rFonts w:ascii="宋体"/>
                <w:vanish/>
              </w:rPr>
            </w:pPr>
          </w:p>
        </w:tc>
        <w:tc>
          <w:tcPr>
            <w:tcW w:w="0" w:type="auto"/>
            <w:shd w:val="clear" w:color="auto" w:fill="auto"/>
            <w:vAlign w:val="center"/>
          </w:tcPr>
          <w:p w14:paraId="64A8AB6C" w14:textId="77777777" w:rsidR="008D6614" w:rsidRDefault="008D6614">
            <w:pPr>
              <w:rPr>
                <w:rFonts w:ascii="宋体"/>
                <w:vanish/>
              </w:rPr>
            </w:pPr>
          </w:p>
        </w:tc>
        <w:tc>
          <w:tcPr>
            <w:tcW w:w="0" w:type="auto"/>
            <w:shd w:val="clear" w:color="auto" w:fill="auto"/>
            <w:vAlign w:val="center"/>
          </w:tcPr>
          <w:p w14:paraId="64A8AB6D" w14:textId="77777777" w:rsidR="008D6614" w:rsidRDefault="008D6614">
            <w:pPr>
              <w:rPr>
                <w:rFonts w:ascii="宋体"/>
                <w:vanish/>
              </w:rPr>
            </w:pPr>
          </w:p>
        </w:tc>
        <w:tc>
          <w:tcPr>
            <w:tcW w:w="0" w:type="auto"/>
            <w:shd w:val="clear" w:color="auto" w:fill="auto"/>
            <w:vAlign w:val="center"/>
          </w:tcPr>
          <w:p w14:paraId="64A8AB6E" w14:textId="77777777" w:rsidR="008D6614" w:rsidRDefault="008D6614">
            <w:pPr>
              <w:rPr>
                <w:rFonts w:ascii="宋体"/>
                <w:vanish/>
              </w:rPr>
            </w:pPr>
          </w:p>
        </w:tc>
        <w:tc>
          <w:tcPr>
            <w:tcW w:w="0" w:type="auto"/>
            <w:shd w:val="clear" w:color="auto" w:fill="auto"/>
            <w:vAlign w:val="center"/>
          </w:tcPr>
          <w:p w14:paraId="64A8AB6F" w14:textId="77777777" w:rsidR="008D6614" w:rsidRDefault="008D6614">
            <w:pPr>
              <w:rPr>
                <w:rFonts w:ascii="宋体"/>
              </w:rPr>
            </w:pPr>
          </w:p>
        </w:tc>
        <w:tc>
          <w:tcPr>
            <w:tcW w:w="0" w:type="auto"/>
            <w:shd w:val="clear" w:color="auto" w:fill="auto"/>
            <w:vAlign w:val="center"/>
          </w:tcPr>
          <w:p w14:paraId="64A8AB70" w14:textId="77777777" w:rsidR="008D6614" w:rsidRDefault="008D6614">
            <w:pPr>
              <w:rPr>
                <w:rFonts w:ascii="宋体"/>
              </w:rPr>
            </w:pPr>
          </w:p>
        </w:tc>
        <w:tc>
          <w:tcPr>
            <w:tcW w:w="0" w:type="auto"/>
            <w:shd w:val="clear" w:color="auto" w:fill="auto"/>
            <w:vAlign w:val="center"/>
          </w:tcPr>
          <w:p w14:paraId="64A8AB71" w14:textId="77777777" w:rsidR="008D6614" w:rsidRDefault="008D6614">
            <w:pPr>
              <w:rPr>
                <w:rFonts w:ascii="宋体"/>
              </w:rPr>
            </w:pPr>
          </w:p>
        </w:tc>
        <w:tc>
          <w:tcPr>
            <w:tcW w:w="0" w:type="auto"/>
            <w:shd w:val="clear" w:color="auto" w:fill="auto"/>
            <w:vAlign w:val="center"/>
          </w:tcPr>
          <w:p w14:paraId="64A8AB72" w14:textId="77777777" w:rsidR="008D6614" w:rsidRDefault="008D6614">
            <w:pPr>
              <w:rPr>
                <w:rFonts w:ascii="宋体"/>
              </w:rPr>
            </w:pPr>
          </w:p>
        </w:tc>
        <w:tc>
          <w:tcPr>
            <w:tcW w:w="0" w:type="auto"/>
            <w:shd w:val="clear" w:color="auto" w:fill="auto"/>
            <w:vAlign w:val="center"/>
          </w:tcPr>
          <w:p w14:paraId="64A8AB73" w14:textId="77777777" w:rsidR="008D6614" w:rsidRDefault="008D6614">
            <w:pPr>
              <w:rPr>
                <w:rFonts w:ascii="宋体"/>
              </w:rPr>
            </w:pPr>
          </w:p>
        </w:tc>
        <w:tc>
          <w:tcPr>
            <w:tcW w:w="0" w:type="auto"/>
            <w:shd w:val="clear" w:color="auto" w:fill="auto"/>
            <w:vAlign w:val="center"/>
          </w:tcPr>
          <w:p w14:paraId="64A8AB74" w14:textId="77777777" w:rsidR="008D6614" w:rsidRDefault="008D6614">
            <w:pPr>
              <w:rPr>
                <w:rFonts w:ascii="宋体"/>
              </w:rPr>
            </w:pPr>
          </w:p>
        </w:tc>
      </w:tr>
      <w:tr w:rsidR="008D6614" w14:paraId="64A8AB8D" w14:textId="77777777">
        <w:tc>
          <w:tcPr>
            <w:tcW w:w="0" w:type="auto"/>
            <w:gridSpan w:val="3"/>
            <w:shd w:val="clear" w:color="auto" w:fill="E2E2E2"/>
            <w:tcMar>
              <w:top w:w="40" w:type="dxa"/>
              <w:left w:w="135" w:type="dxa"/>
              <w:bottom w:w="40" w:type="dxa"/>
              <w:right w:w="20" w:type="dxa"/>
            </w:tcMar>
            <w:vAlign w:val="bottom"/>
          </w:tcPr>
          <w:p w14:paraId="64A8AB76" w14:textId="77777777" w:rsidR="008D6614" w:rsidRDefault="00866AF2">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B77"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B78" w14:textId="77777777" w:rsidR="008D6614" w:rsidRDefault="00866AF2">
            <w:pPr>
              <w:jc w:val="right"/>
              <w:textAlignment w:val="bottom"/>
            </w:pPr>
            <w:r>
              <w:rPr>
                <w:rFonts w:ascii="Arial" w:eastAsia="宋体" w:hAnsi="Arial" w:cs="Arial"/>
                <w:color w:val="000000"/>
                <w:sz w:val="16"/>
                <w:szCs w:val="16"/>
              </w:rPr>
              <w:t>2,374 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B7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B7A"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B7B"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B7C" w14:textId="77777777" w:rsidR="008D6614" w:rsidRDefault="00866AF2">
            <w:pPr>
              <w:jc w:val="right"/>
              <w:textAlignment w:val="bottom"/>
            </w:pPr>
            <w:r>
              <w:rPr>
                <w:rFonts w:ascii="Arial" w:eastAsia="宋体" w:hAnsi="Arial" w:cs="Arial"/>
                <w:color w:val="000000"/>
                <w:sz w:val="16"/>
                <w:szCs w:val="16"/>
              </w:rPr>
              <w:t>2,413 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B7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B7E"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B7F" w14:textId="77777777" w:rsidR="008D6614" w:rsidRDefault="00866AF2">
            <w:pPr>
              <w:jc w:val="right"/>
              <w:textAlignment w:val="bottom"/>
            </w:pPr>
            <w:r>
              <w:rPr>
                <w:rFonts w:ascii="Arial" w:eastAsia="宋体" w:hAnsi="Arial" w:cs="Arial"/>
                <w:color w:val="000000"/>
                <w:sz w:val="16"/>
                <w:szCs w:val="16"/>
              </w:rPr>
              <w:t>(2)</w:t>
            </w:r>
          </w:p>
        </w:tc>
        <w:tc>
          <w:tcPr>
            <w:tcW w:w="0" w:type="auto"/>
            <w:shd w:val="clear" w:color="auto" w:fill="E2E2E2"/>
            <w:tcMar>
              <w:top w:w="40" w:type="dxa"/>
              <w:bottom w:w="40" w:type="dxa"/>
              <w:right w:w="20" w:type="dxa"/>
            </w:tcMar>
            <w:vAlign w:val="bottom"/>
          </w:tcPr>
          <w:p w14:paraId="64A8AB80"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B81" w14:textId="77777777" w:rsidR="008D6614" w:rsidRDefault="008D6614">
            <w:pPr>
              <w:rPr>
                <w:rFonts w:ascii="宋体"/>
                <w:vanish/>
              </w:rPr>
            </w:pPr>
          </w:p>
        </w:tc>
        <w:tc>
          <w:tcPr>
            <w:tcW w:w="0" w:type="auto"/>
            <w:shd w:val="clear" w:color="auto" w:fill="auto"/>
            <w:vAlign w:val="center"/>
          </w:tcPr>
          <w:p w14:paraId="64A8AB82" w14:textId="77777777" w:rsidR="008D6614" w:rsidRDefault="008D6614">
            <w:pPr>
              <w:rPr>
                <w:rFonts w:ascii="宋体"/>
                <w:vanish/>
              </w:rPr>
            </w:pPr>
          </w:p>
        </w:tc>
        <w:tc>
          <w:tcPr>
            <w:tcW w:w="0" w:type="auto"/>
            <w:shd w:val="clear" w:color="auto" w:fill="auto"/>
            <w:vAlign w:val="center"/>
          </w:tcPr>
          <w:p w14:paraId="64A8AB83" w14:textId="77777777" w:rsidR="008D6614" w:rsidRDefault="008D6614">
            <w:pPr>
              <w:rPr>
                <w:rFonts w:ascii="宋体"/>
                <w:vanish/>
              </w:rPr>
            </w:pPr>
          </w:p>
        </w:tc>
        <w:tc>
          <w:tcPr>
            <w:tcW w:w="0" w:type="auto"/>
            <w:shd w:val="clear" w:color="auto" w:fill="auto"/>
            <w:vAlign w:val="center"/>
          </w:tcPr>
          <w:p w14:paraId="64A8AB84" w14:textId="77777777" w:rsidR="008D6614" w:rsidRDefault="008D6614">
            <w:pPr>
              <w:rPr>
                <w:rFonts w:ascii="宋体"/>
                <w:vanish/>
              </w:rPr>
            </w:pPr>
          </w:p>
        </w:tc>
        <w:tc>
          <w:tcPr>
            <w:tcW w:w="0" w:type="auto"/>
            <w:shd w:val="clear" w:color="auto" w:fill="auto"/>
            <w:vAlign w:val="center"/>
          </w:tcPr>
          <w:p w14:paraId="64A8AB85" w14:textId="77777777" w:rsidR="008D6614" w:rsidRDefault="008D6614">
            <w:pPr>
              <w:rPr>
                <w:rFonts w:ascii="宋体"/>
                <w:vanish/>
              </w:rPr>
            </w:pPr>
          </w:p>
        </w:tc>
        <w:tc>
          <w:tcPr>
            <w:tcW w:w="0" w:type="auto"/>
            <w:shd w:val="clear" w:color="auto" w:fill="auto"/>
            <w:vAlign w:val="center"/>
          </w:tcPr>
          <w:p w14:paraId="64A8AB86" w14:textId="77777777" w:rsidR="008D6614" w:rsidRDefault="008D6614">
            <w:pPr>
              <w:rPr>
                <w:rFonts w:ascii="宋体"/>
                <w:vanish/>
              </w:rPr>
            </w:pPr>
          </w:p>
        </w:tc>
        <w:tc>
          <w:tcPr>
            <w:tcW w:w="0" w:type="auto"/>
            <w:shd w:val="clear" w:color="auto" w:fill="auto"/>
            <w:vAlign w:val="center"/>
          </w:tcPr>
          <w:p w14:paraId="64A8AB87" w14:textId="77777777" w:rsidR="008D6614" w:rsidRDefault="008D6614">
            <w:pPr>
              <w:rPr>
                <w:rFonts w:ascii="宋体"/>
              </w:rPr>
            </w:pPr>
          </w:p>
        </w:tc>
        <w:tc>
          <w:tcPr>
            <w:tcW w:w="0" w:type="auto"/>
            <w:shd w:val="clear" w:color="auto" w:fill="auto"/>
            <w:vAlign w:val="center"/>
          </w:tcPr>
          <w:p w14:paraId="64A8AB88" w14:textId="77777777" w:rsidR="008D6614" w:rsidRDefault="008D6614">
            <w:pPr>
              <w:rPr>
                <w:rFonts w:ascii="宋体"/>
              </w:rPr>
            </w:pPr>
          </w:p>
        </w:tc>
        <w:tc>
          <w:tcPr>
            <w:tcW w:w="0" w:type="auto"/>
            <w:shd w:val="clear" w:color="auto" w:fill="auto"/>
            <w:vAlign w:val="center"/>
          </w:tcPr>
          <w:p w14:paraId="64A8AB89" w14:textId="77777777" w:rsidR="008D6614" w:rsidRDefault="008D6614">
            <w:pPr>
              <w:rPr>
                <w:rFonts w:ascii="宋体"/>
              </w:rPr>
            </w:pPr>
          </w:p>
        </w:tc>
        <w:tc>
          <w:tcPr>
            <w:tcW w:w="0" w:type="auto"/>
            <w:shd w:val="clear" w:color="auto" w:fill="auto"/>
            <w:vAlign w:val="center"/>
          </w:tcPr>
          <w:p w14:paraId="64A8AB8A" w14:textId="77777777" w:rsidR="008D6614" w:rsidRDefault="008D6614">
            <w:pPr>
              <w:rPr>
                <w:rFonts w:ascii="宋体"/>
              </w:rPr>
            </w:pPr>
          </w:p>
        </w:tc>
        <w:tc>
          <w:tcPr>
            <w:tcW w:w="0" w:type="auto"/>
            <w:shd w:val="clear" w:color="auto" w:fill="auto"/>
            <w:vAlign w:val="center"/>
          </w:tcPr>
          <w:p w14:paraId="64A8AB8B" w14:textId="77777777" w:rsidR="008D6614" w:rsidRDefault="008D6614">
            <w:pPr>
              <w:rPr>
                <w:rFonts w:ascii="宋体"/>
              </w:rPr>
            </w:pPr>
          </w:p>
        </w:tc>
        <w:tc>
          <w:tcPr>
            <w:tcW w:w="0" w:type="auto"/>
            <w:shd w:val="clear" w:color="auto" w:fill="auto"/>
            <w:vAlign w:val="center"/>
          </w:tcPr>
          <w:p w14:paraId="64A8AB8C" w14:textId="77777777" w:rsidR="008D6614" w:rsidRDefault="008D6614">
            <w:pPr>
              <w:rPr>
                <w:rFonts w:ascii="宋体"/>
              </w:rPr>
            </w:pPr>
          </w:p>
        </w:tc>
      </w:tr>
    </w:tbl>
    <w:p w14:paraId="64A8AB8E" w14:textId="77777777" w:rsidR="008D6614" w:rsidRDefault="008D6614">
      <w:pPr>
        <w:ind w:firstLine="540"/>
        <w:jc w:val="both"/>
      </w:pPr>
    </w:p>
    <w:p w14:paraId="64A8AB8F" w14:textId="77777777" w:rsidR="008D6614" w:rsidRDefault="00866AF2">
      <w:pPr>
        <w:ind w:firstLine="540"/>
        <w:jc w:val="both"/>
      </w:pPr>
      <w:r>
        <w:rPr>
          <w:rFonts w:ascii="Arial" w:eastAsia="宋体" w:hAnsi="Arial" w:cs="Arial"/>
          <w:color w:val="000000"/>
          <w:sz w:val="20"/>
          <w:szCs w:val="20"/>
        </w:rPr>
        <w:t>Our commerce platforms operate globally, resulting in certain revenues that are denominated in foreign currencies, including the euro, British pound, Korean won, and Australian dolla</w:t>
      </w:r>
      <w:r>
        <w:rPr>
          <w:rFonts w:ascii="Arial" w:eastAsia="宋体" w:hAnsi="Arial" w:cs="Arial"/>
          <w:color w:val="000000"/>
          <w:sz w:val="20"/>
          <w:szCs w:val="20"/>
        </w:rPr>
        <w:t>r. In addition, as shown in the table above, we generate a majority of our net revenues internationally. Because of these factors, we are subject to the risks related to doing business in foreign countries as discussed in “Part II - Item 1A: Risk Factors.”</w:t>
      </w:r>
      <w:r>
        <w:rPr>
          <w:rFonts w:ascii="Arial" w:eastAsia="宋体" w:hAnsi="Arial" w:cs="Arial"/>
          <w:color w:val="000000"/>
          <w:sz w:val="20"/>
          <w:szCs w:val="20"/>
        </w:rPr>
        <w:t xml:space="preserve"> </w:t>
      </w:r>
    </w:p>
    <w:p w14:paraId="64A8AB90" w14:textId="77777777" w:rsidR="008D6614" w:rsidRDefault="008D6614">
      <w:pPr>
        <w:ind w:firstLine="540"/>
        <w:jc w:val="both"/>
      </w:pPr>
    </w:p>
    <w:p w14:paraId="64A8AB91" w14:textId="77777777" w:rsidR="008D6614" w:rsidRDefault="00866AF2">
      <w:pPr>
        <w:ind w:firstLine="540"/>
        <w:jc w:val="both"/>
      </w:pPr>
      <w:r>
        <w:rPr>
          <w:rFonts w:ascii="Arial" w:eastAsia="宋体" w:hAnsi="Arial" w:cs="Arial"/>
          <w:color w:val="000000"/>
          <w:sz w:val="20"/>
          <w:szCs w:val="20"/>
        </w:rPr>
        <w:t xml:space="preserve">Net revenues included immaterial hedging gains during the three months ended March 31, 2020, as compared to $20 million of hedging gains during the same period in 2019. The hedging activity in net revenues specifically relates to hedges of net transaction </w:t>
      </w:r>
      <w:r>
        <w:rPr>
          <w:rFonts w:ascii="Arial" w:eastAsia="宋体" w:hAnsi="Arial" w:cs="Arial"/>
          <w:color w:val="000000"/>
          <w:sz w:val="20"/>
          <w:szCs w:val="20"/>
        </w:rPr>
        <w:t>revenues generated by our Marketplace segment. Foreign currency movements relative to the U.S. dollar had an unfavorable impact of $41 million on net revenues during the three months ended March 31, 2020 compared to an unfavorable impact of $67 million dur</w:t>
      </w:r>
      <w:r>
        <w:rPr>
          <w:rFonts w:ascii="Arial" w:eastAsia="宋体" w:hAnsi="Arial" w:cs="Arial"/>
          <w:color w:val="000000"/>
          <w:sz w:val="20"/>
          <w:szCs w:val="20"/>
        </w:rPr>
        <w:t>ing the same period in 2019. The effect of foreign currency exchange rate movements during the three months ended March 31, 2020 compared to the same period in 2019 was primarily attributable to the strengthening of the U.S. dollar against the Korean won a</w:t>
      </w:r>
      <w:r>
        <w:rPr>
          <w:rFonts w:ascii="Arial" w:eastAsia="宋体" w:hAnsi="Arial" w:cs="Arial"/>
          <w:color w:val="000000"/>
          <w:sz w:val="20"/>
          <w:szCs w:val="20"/>
        </w:rPr>
        <w:t xml:space="preserve">nd euro. </w:t>
      </w:r>
    </w:p>
    <w:p w14:paraId="64A8AB92" w14:textId="77777777" w:rsidR="008D6614" w:rsidRDefault="008D6614">
      <w:pPr>
        <w:jc w:val="both"/>
      </w:pPr>
    </w:p>
    <w:p w14:paraId="64A8AB93" w14:textId="77777777" w:rsidR="008D6614" w:rsidRDefault="008D6614">
      <w:pPr>
        <w:jc w:val="center"/>
      </w:pPr>
    </w:p>
    <w:p w14:paraId="64A8AB94" w14:textId="77777777" w:rsidR="008D6614" w:rsidRDefault="00866AF2">
      <w:pPr>
        <w:jc w:val="center"/>
      </w:pPr>
      <w:r>
        <w:rPr>
          <w:rFonts w:ascii="Arial" w:eastAsia="宋体" w:hAnsi="Arial" w:cs="Arial"/>
          <w:color w:val="000000"/>
          <w:sz w:val="20"/>
          <w:szCs w:val="20"/>
        </w:rPr>
        <w:t>35</w:t>
      </w:r>
    </w:p>
    <w:p w14:paraId="64A8AB95" w14:textId="77777777" w:rsidR="008D6614" w:rsidRDefault="00866AF2">
      <w:r>
        <w:pict w14:anchorId="64A8BA00">
          <v:rect id="_x0000_i1059" style="width:415.3pt;height:1.5pt" o:hralign="center" o:hrstd="t" o:hr="t" fillcolor="#a0a0a0" stroked="f"/>
        </w:pict>
      </w:r>
    </w:p>
    <w:p w14:paraId="64A8AB96" w14:textId="77777777" w:rsidR="008D6614" w:rsidRDefault="008D6614"/>
    <w:p w14:paraId="64A8AB97" w14:textId="77777777" w:rsidR="008D6614" w:rsidRDefault="00866AF2">
      <w:pPr>
        <w:ind w:firstLine="270"/>
        <w:jc w:val="both"/>
      </w:pPr>
      <w:r>
        <w:rPr>
          <w:rFonts w:ascii="Arial" w:eastAsia="宋体" w:hAnsi="Arial" w:cs="Arial"/>
          <w:b/>
          <w:bCs/>
          <w:color w:val="000000"/>
          <w:sz w:val="20"/>
          <w:szCs w:val="20"/>
        </w:rPr>
        <w:t>Net Revenues by Type and Segment</w:t>
      </w:r>
    </w:p>
    <w:p w14:paraId="64A8AB98" w14:textId="77777777" w:rsidR="008D6614" w:rsidRDefault="008D6614">
      <w:pPr>
        <w:ind w:firstLine="495"/>
        <w:jc w:val="both"/>
      </w:pPr>
    </w:p>
    <w:p w14:paraId="64A8AB99" w14:textId="77777777" w:rsidR="008D6614" w:rsidRDefault="00866AF2">
      <w:pPr>
        <w:ind w:firstLine="540"/>
        <w:jc w:val="both"/>
      </w:pPr>
      <w:r>
        <w:rPr>
          <w:rFonts w:ascii="Arial" w:eastAsia="宋体" w:hAnsi="Arial" w:cs="Arial"/>
          <w:color w:val="000000"/>
          <w:sz w:val="20"/>
          <w:szCs w:val="20"/>
        </w:rPr>
        <w:t xml:space="preserve">We generate two types of net revenues: </w:t>
      </w:r>
    </w:p>
    <w:p w14:paraId="64A8AB9A" w14:textId="77777777" w:rsidR="008D6614" w:rsidRDefault="008D6614">
      <w:pPr>
        <w:ind w:firstLine="540"/>
        <w:jc w:val="both"/>
      </w:pPr>
    </w:p>
    <w:p w14:paraId="64A8AB9B" w14:textId="77777777" w:rsidR="008D6614" w:rsidRDefault="00866AF2">
      <w:pPr>
        <w:jc w:val="both"/>
      </w:pPr>
      <w:r>
        <w:rPr>
          <w:rFonts w:ascii="Arial" w:eastAsia="宋体" w:hAnsi="Arial" w:cs="Arial"/>
          <w:b/>
          <w:bCs/>
          <w:color w:val="000000"/>
          <w:sz w:val="20"/>
          <w:szCs w:val="20"/>
        </w:rPr>
        <w:t>Net transaction revenues</w:t>
      </w:r>
      <w:r>
        <w:rPr>
          <w:rFonts w:ascii="Arial" w:eastAsia="宋体" w:hAnsi="Arial" w:cs="Arial"/>
          <w:color w:val="000000"/>
          <w:sz w:val="20"/>
          <w:szCs w:val="20"/>
        </w:rPr>
        <w:t xml:space="preserve"> primarily include final value fees, feature fees, including fees to promote listings, and listing fees from sellers on our Marketplace pla</w:t>
      </w:r>
      <w:r>
        <w:rPr>
          <w:rFonts w:ascii="Arial" w:eastAsia="宋体" w:hAnsi="Arial" w:cs="Arial"/>
          <w:color w:val="000000"/>
          <w:sz w:val="20"/>
          <w:szCs w:val="20"/>
        </w:rPr>
        <w:t>tforms. Our net transaction revenues also include store subscription and other fees, often from large enterprise sellers. Our net transaction revenues are reduced by incentives, including discounts, coupons and rewards, provided to our customers.</w:t>
      </w:r>
    </w:p>
    <w:p w14:paraId="64A8AB9C" w14:textId="77777777" w:rsidR="008D6614" w:rsidRDefault="008D6614">
      <w:pPr>
        <w:jc w:val="both"/>
      </w:pPr>
    </w:p>
    <w:p w14:paraId="64A8AB9D" w14:textId="77777777" w:rsidR="008D6614" w:rsidRDefault="00866AF2">
      <w:pPr>
        <w:jc w:val="both"/>
      </w:pPr>
      <w:r>
        <w:rPr>
          <w:rFonts w:ascii="Arial" w:eastAsia="宋体" w:hAnsi="Arial" w:cs="Arial"/>
          <w:b/>
          <w:bCs/>
          <w:color w:val="000000"/>
          <w:sz w:val="20"/>
          <w:szCs w:val="20"/>
        </w:rPr>
        <w:t>Marketin</w:t>
      </w:r>
      <w:r>
        <w:rPr>
          <w:rFonts w:ascii="Arial" w:eastAsia="宋体" w:hAnsi="Arial" w:cs="Arial"/>
          <w:b/>
          <w:bCs/>
          <w:color w:val="000000"/>
          <w:sz w:val="20"/>
          <w:szCs w:val="20"/>
        </w:rPr>
        <w:t>g services and other (“MS&amp;O”)</w:t>
      </w:r>
      <w:r>
        <w:rPr>
          <w:rFonts w:ascii="Arial" w:eastAsia="宋体" w:hAnsi="Arial" w:cs="Arial"/>
          <w:color w:val="000000"/>
          <w:sz w:val="20"/>
          <w:szCs w:val="20"/>
        </w:rPr>
        <w:t xml:space="preserve"> </w:t>
      </w:r>
      <w:r>
        <w:rPr>
          <w:rFonts w:ascii="Arial" w:eastAsia="宋体" w:hAnsi="Arial" w:cs="Arial"/>
          <w:b/>
          <w:bCs/>
          <w:color w:val="000000"/>
          <w:sz w:val="20"/>
          <w:szCs w:val="20"/>
        </w:rPr>
        <w:t>revenues</w:t>
      </w:r>
      <w:r>
        <w:rPr>
          <w:rFonts w:ascii="Arial" w:eastAsia="宋体" w:hAnsi="Arial" w:cs="Arial"/>
          <w:color w:val="000000"/>
          <w:sz w:val="20"/>
          <w:szCs w:val="20"/>
        </w:rPr>
        <w:t xml:space="preserve"> consist of Marketplace and Classifieds revenues principally from the sale of advertisements, classifieds fees, revenue sharing arrangements and first-party inventory programs. </w:t>
      </w:r>
    </w:p>
    <w:p w14:paraId="64A8AB9E" w14:textId="77777777" w:rsidR="008D6614" w:rsidRDefault="008D6614">
      <w:pPr>
        <w:jc w:val="both"/>
      </w:pPr>
    </w:p>
    <w:p w14:paraId="64A8AB9F" w14:textId="77777777" w:rsidR="008D6614" w:rsidRDefault="00866AF2">
      <w:pPr>
        <w:ind w:firstLine="540"/>
        <w:jc w:val="both"/>
      </w:pPr>
      <w:r>
        <w:rPr>
          <w:rFonts w:ascii="Arial" w:eastAsia="宋体" w:hAnsi="Arial" w:cs="Arial"/>
          <w:color w:val="000000"/>
          <w:sz w:val="20"/>
          <w:szCs w:val="20"/>
        </w:rPr>
        <w:t>The following table presents net revenu</w:t>
      </w:r>
      <w:r>
        <w:rPr>
          <w:rFonts w:ascii="Arial" w:eastAsia="宋体" w:hAnsi="Arial" w:cs="Arial"/>
          <w:color w:val="000000"/>
          <w:sz w:val="20"/>
          <w:szCs w:val="20"/>
        </w:rPr>
        <w:t>es by type and segment (in millions, except percentages):</w:t>
      </w:r>
    </w:p>
    <w:p w14:paraId="64A8ABA0" w14:textId="77777777" w:rsidR="008D6614" w:rsidRDefault="008D6614">
      <w:pPr>
        <w:ind w:firstLine="540"/>
        <w:jc w:val="both"/>
      </w:pPr>
    </w:p>
    <w:tbl>
      <w:tblPr>
        <w:tblW w:w="4927" w:type="pct"/>
        <w:tblCellMar>
          <w:top w:w="15" w:type="dxa"/>
          <w:left w:w="15" w:type="dxa"/>
          <w:bottom w:w="15" w:type="dxa"/>
          <w:right w:w="15" w:type="dxa"/>
        </w:tblCellMar>
        <w:tblLook w:val="04A0" w:firstRow="1" w:lastRow="0" w:firstColumn="1" w:lastColumn="0" w:noHBand="0" w:noVBand="1"/>
      </w:tblPr>
      <w:tblGrid>
        <w:gridCol w:w="42"/>
        <w:gridCol w:w="4451"/>
        <w:gridCol w:w="42"/>
        <w:gridCol w:w="124"/>
        <w:gridCol w:w="812"/>
        <w:gridCol w:w="80"/>
        <w:gridCol w:w="36"/>
        <w:gridCol w:w="36"/>
        <w:gridCol w:w="36"/>
        <w:gridCol w:w="124"/>
        <w:gridCol w:w="785"/>
        <w:gridCol w:w="80"/>
        <w:gridCol w:w="36"/>
        <w:gridCol w:w="36"/>
        <w:gridCol w:w="36"/>
        <w:gridCol w:w="43"/>
        <w:gridCol w:w="785"/>
        <w:gridCol w:w="178"/>
        <w:gridCol w:w="46"/>
        <w:gridCol w:w="46"/>
        <w:gridCol w:w="36"/>
        <w:gridCol w:w="36"/>
        <w:gridCol w:w="36"/>
        <w:gridCol w:w="36"/>
        <w:gridCol w:w="36"/>
        <w:gridCol w:w="36"/>
        <w:gridCol w:w="36"/>
        <w:gridCol w:w="36"/>
        <w:gridCol w:w="36"/>
        <w:gridCol w:w="36"/>
      </w:tblGrid>
      <w:tr w:rsidR="008D6614" w14:paraId="64A8ABB9" w14:textId="77777777">
        <w:trPr>
          <w:gridAfter w:val="6"/>
        </w:trPr>
        <w:tc>
          <w:tcPr>
            <w:tcW w:w="50" w:type="pct"/>
            <w:shd w:val="clear" w:color="auto" w:fill="auto"/>
            <w:vAlign w:val="center"/>
          </w:tcPr>
          <w:p w14:paraId="64A8ABA1" w14:textId="77777777" w:rsidR="008D6614" w:rsidRDefault="008D6614">
            <w:pPr>
              <w:rPr>
                <w:rFonts w:ascii="宋体"/>
              </w:rPr>
            </w:pPr>
          </w:p>
        </w:tc>
        <w:tc>
          <w:tcPr>
            <w:tcW w:w="2889" w:type="pct"/>
            <w:shd w:val="clear" w:color="auto" w:fill="auto"/>
            <w:vAlign w:val="center"/>
          </w:tcPr>
          <w:p w14:paraId="64A8ABA2" w14:textId="77777777" w:rsidR="008D6614" w:rsidRDefault="008D6614">
            <w:pPr>
              <w:rPr>
                <w:rFonts w:ascii="宋体"/>
              </w:rPr>
            </w:pPr>
          </w:p>
        </w:tc>
        <w:tc>
          <w:tcPr>
            <w:tcW w:w="50" w:type="pct"/>
            <w:shd w:val="clear" w:color="auto" w:fill="auto"/>
            <w:vAlign w:val="center"/>
          </w:tcPr>
          <w:p w14:paraId="64A8ABA3" w14:textId="77777777" w:rsidR="008D6614" w:rsidRDefault="008D6614">
            <w:pPr>
              <w:rPr>
                <w:rFonts w:ascii="宋体"/>
              </w:rPr>
            </w:pPr>
          </w:p>
        </w:tc>
        <w:tc>
          <w:tcPr>
            <w:tcW w:w="50" w:type="pct"/>
            <w:shd w:val="clear" w:color="auto" w:fill="auto"/>
            <w:vAlign w:val="center"/>
          </w:tcPr>
          <w:p w14:paraId="64A8ABA4" w14:textId="77777777" w:rsidR="008D6614" w:rsidRDefault="008D6614">
            <w:pPr>
              <w:rPr>
                <w:rFonts w:ascii="宋体"/>
              </w:rPr>
            </w:pPr>
          </w:p>
        </w:tc>
        <w:tc>
          <w:tcPr>
            <w:tcW w:w="545" w:type="pct"/>
            <w:shd w:val="clear" w:color="auto" w:fill="auto"/>
            <w:vAlign w:val="center"/>
          </w:tcPr>
          <w:p w14:paraId="64A8ABA5" w14:textId="77777777" w:rsidR="008D6614" w:rsidRDefault="008D6614">
            <w:pPr>
              <w:rPr>
                <w:rFonts w:ascii="宋体"/>
              </w:rPr>
            </w:pPr>
          </w:p>
        </w:tc>
        <w:tc>
          <w:tcPr>
            <w:tcW w:w="50" w:type="pct"/>
            <w:shd w:val="clear" w:color="auto" w:fill="auto"/>
            <w:vAlign w:val="center"/>
          </w:tcPr>
          <w:p w14:paraId="64A8ABA6" w14:textId="77777777" w:rsidR="008D6614" w:rsidRDefault="008D6614">
            <w:pPr>
              <w:rPr>
                <w:rFonts w:ascii="宋体"/>
              </w:rPr>
            </w:pPr>
          </w:p>
        </w:tc>
        <w:tc>
          <w:tcPr>
            <w:tcW w:w="5" w:type="pct"/>
            <w:shd w:val="clear" w:color="auto" w:fill="auto"/>
            <w:vAlign w:val="center"/>
          </w:tcPr>
          <w:p w14:paraId="64A8ABA7" w14:textId="77777777" w:rsidR="008D6614" w:rsidRDefault="008D6614">
            <w:pPr>
              <w:rPr>
                <w:rFonts w:ascii="宋体"/>
              </w:rPr>
            </w:pPr>
          </w:p>
        </w:tc>
        <w:tc>
          <w:tcPr>
            <w:tcW w:w="27" w:type="pct"/>
            <w:shd w:val="clear" w:color="auto" w:fill="auto"/>
            <w:vAlign w:val="center"/>
          </w:tcPr>
          <w:p w14:paraId="64A8ABA8" w14:textId="77777777" w:rsidR="008D6614" w:rsidRDefault="008D6614">
            <w:pPr>
              <w:rPr>
                <w:rFonts w:ascii="宋体"/>
              </w:rPr>
            </w:pPr>
          </w:p>
        </w:tc>
        <w:tc>
          <w:tcPr>
            <w:tcW w:w="5" w:type="pct"/>
            <w:shd w:val="clear" w:color="auto" w:fill="auto"/>
            <w:vAlign w:val="center"/>
          </w:tcPr>
          <w:p w14:paraId="64A8ABA9" w14:textId="77777777" w:rsidR="008D6614" w:rsidRDefault="008D6614">
            <w:pPr>
              <w:rPr>
                <w:rFonts w:ascii="宋体"/>
              </w:rPr>
            </w:pPr>
          </w:p>
        </w:tc>
        <w:tc>
          <w:tcPr>
            <w:tcW w:w="50" w:type="pct"/>
            <w:shd w:val="clear" w:color="auto" w:fill="auto"/>
            <w:vAlign w:val="center"/>
          </w:tcPr>
          <w:p w14:paraId="64A8ABAA" w14:textId="77777777" w:rsidR="008D6614" w:rsidRDefault="008D6614">
            <w:pPr>
              <w:rPr>
                <w:rFonts w:ascii="宋体"/>
              </w:rPr>
            </w:pPr>
          </w:p>
        </w:tc>
        <w:tc>
          <w:tcPr>
            <w:tcW w:w="545" w:type="pct"/>
            <w:shd w:val="clear" w:color="auto" w:fill="auto"/>
            <w:vAlign w:val="center"/>
          </w:tcPr>
          <w:p w14:paraId="64A8ABAB" w14:textId="77777777" w:rsidR="008D6614" w:rsidRDefault="008D6614">
            <w:pPr>
              <w:rPr>
                <w:rFonts w:ascii="宋体"/>
              </w:rPr>
            </w:pPr>
          </w:p>
        </w:tc>
        <w:tc>
          <w:tcPr>
            <w:tcW w:w="50" w:type="pct"/>
            <w:shd w:val="clear" w:color="auto" w:fill="auto"/>
            <w:vAlign w:val="center"/>
          </w:tcPr>
          <w:p w14:paraId="64A8ABAC" w14:textId="77777777" w:rsidR="008D6614" w:rsidRDefault="008D6614">
            <w:pPr>
              <w:rPr>
                <w:rFonts w:ascii="宋体"/>
              </w:rPr>
            </w:pPr>
          </w:p>
        </w:tc>
        <w:tc>
          <w:tcPr>
            <w:tcW w:w="5" w:type="pct"/>
            <w:shd w:val="clear" w:color="auto" w:fill="auto"/>
            <w:vAlign w:val="center"/>
          </w:tcPr>
          <w:p w14:paraId="64A8ABAD" w14:textId="77777777" w:rsidR="008D6614" w:rsidRDefault="008D6614">
            <w:pPr>
              <w:rPr>
                <w:rFonts w:ascii="宋体"/>
              </w:rPr>
            </w:pPr>
          </w:p>
        </w:tc>
        <w:tc>
          <w:tcPr>
            <w:tcW w:w="27" w:type="pct"/>
            <w:shd w:val="clear" w:color="auto" w:fill="auto"/>
            <w:vAlign w:val="center"/>
          </w:tcPr>
          <w:p w14:paraId="64A8ABAE" w14:textId="77777777" w:rsidR="008D6614" w:rsidRDefault="008D6614">
            <w:pPr>
              <w:rPr>
                <w:rFonts w:ascii="宋体"/>
              </w:rPr>
            </w:pPr>
          </w:p>
        </w:tc>
        <w:tc>
          <w:tcPr>
            <w:tcW w:w="5" w:type="pct"/>
            <w:shd w:val="clear" w:color="auto" w:fill="auto"/>
            <w:vAlign w:val="center"/>
          </w:tcPr>
          <w:p w14:paraId="64A8ABAF" w14:textId="77777777" w:rsidR="008D6614" w:rsidRDefault="008D6614">
            <w:pPr>
              <w:rPr>
                <w:rFonts w:ascii="宋体"/>
              </w:rPr>
            </w:pPr>
          </w:p>
        </w:tc>
        <w:tc>
          <w:tcPr>
            <w:tcW w:w="50" w:type="pct"/>
            <w:shd w:val="clear" w:color="auto" w:fill="auto"/>
            <w:vAlign w:val="center"/>
          </w:tcPr>
          <w:p w14:paraId="64A8ABB0" w14:textId="77777777" w:rsidR="008D6614" w:rsidRDefault="008D6614">
            <w:pPr>
              <w:rPr>
                <w:rFonts w:ascii="宋体"/>
              </w:rPr>
            </w:pPr>
          </w:p>
        </w:tc>
        <w:tc>
          <w:tcPr>
            <w:tcW w:w="545" w:type="pct"/>
            <w:shd w:val="clear" w:color="auto" w:fill="auto"/>
            <w:vAlign w:val="center"/>
          </w:tcPr>
          <w:p w14:paraId="64A8ABB1" w14:textId="77777777" w:rsidR="008D6614" w:rsidRDefault="008D6614">
            <w:pPr>
              <w:rPr>
                <w:rFonts w:ascii="宋体"/>
              </w:rPr>
            </w:pPr>
          </w:p>
        </w:tc>
        <w:tc>
          <w:tcPr>
            <w:tcW w:w="50" w:type="pct"/>
            <w:shd w:val="clear" w:color="auto" w:fill="auto"/>
            <w:vAlign w:val="center"/>
          </w:tcPr>
          <w:p w14:paraId="64A8ABB2" w14:textId="77777777" w:rsidR="008D6614" w:rsidRDefault="008D6614">
            <w:pPr>
              <w:rPr>
                <w:rFonts w:ascii="宋体"/>
              </w:rPr>
            </w:pPr>
          </w:p>
        </w:tc>
        <w:tc>
          <w:tcPr>
            <w:tcW w:w="0" w:type="auto"/>
            <w:shd w:val="clear" w:color="auto" w:fill="auto"/>
            <w:vAlign w:val="center"/>
          </w:tcPr>
          <w:p w14:paraId="64A8ABB3" w14:textId="77777777" w:rsidR="008D6614" w:rsidRDefault="008D6614">
            <w:pPr>
              <w:rPr>
                <w:rFonts w:ascii="宋体"/>
                <w:vanish/>
              </w:rPr>
            </w:pPr>
          </w:p>
        </w:tc>
        <w:tc>
          <w:tcPr>
            <w:tcW w:w="0" w:type="auto"/>
            <w:shd w:val="clear" w:color="auto" w:fill="auto"/>
            <w:vAlign w:val="center"/>
          </w:tcPr>
          <w:p w14:paraId="64A8ABB4" w14:textId="77777777" w:rsidR="008D6614" w:rsidRDefault="008D6614">
            <w:pPr>
              <w:rPr>
                <w:rFonts w:ascii="宋体"/>
                <w:vanish/>
              </w:rPr>
            </w:pPr>
          </w:p>
        </w:tc>
        <w:tc>
          <w:tcPr>
            <w:tcW w:w="0" w:type="auto"/>
            <w:shd w:val="clear" w:color="auto" w:fill="auto"/>
            <w:vAlign w:val="center"/>
          </w:tcPr>
          <w:p w14:paraId="64A8ABB5" w14:textId="77777777" w:rsidR="008D6614" w:rsidRDefault="008D6614">
            <w:pPr>
              <w:rPr>
                <w:rFonts w:ascii="宋体"/>
                <w:vanish/>
              </w:rPr>
            </w:pPr>
          </w:p>
        </w:tc>
        <w:tc>
          <w:tcPr>
            <w:tcW w:w="0" w:type="auto"/>
            <w:shd w:val="clear" w:color="auto" w:fill="auto"/>
            <w:vAlign w:val="center"/>
          </w:tcPr>
          <w:p w14:paraId="64A8ABB6" w14:textId="77777777" w:rsidR="008D6614" w:rsidRDefault="008D6614">
            <w:pPr>
              <w:rPr>
                <w:rFonts w:ascii="宋体"/>
                <w:vanish/>
              </w:rPr>
            </w:pPr>
          </w:p>
        </w:tc>
        <w:tc>
          <w:tcPr>
            <w:tcW w:w="0" w:type="auto"/>
            <w:shd w:val="clear" w:color="auto" w:fill="auto"/>
            <w:vAlign w:val="center"/>
          </w:tcPr>
          <w:p w14:paraId="64A8ABB7" w14:textId="77777777" w:rsidR="008D6614" w:rsidRDefault="008D6614">
            <w:pPr>
              <w:rPr>
                <w:rFonts w:ascii="宋体"/>
                <w:vanish/>
              </w:rPr>
            </w:pPr>
          </w:p>
        </w:tc>
        <w:tc>
          <w:tcPr>
            <w:tcW w:w="0" w:type="auto"/>
            <w:shd w:val="clear" w:color="auto" w:fill="auto"/>
            <w:vAlign w:val="center"/>
          </w:tcPr>
          <w:p w14:paraId="64A8ABB8" w14:textId="77777777" w:rsidR="008D6614" w:rsidRDefault="008D6614">
            <w:pPr>
              <w:rPr>
                <w:rFonts w:ascii="宋体"/>
                <w:vanish/>
              </w:rPr>
            </w:pPr>
          </w:p>
        </w:tc>
      </w:tr>
      <w:tr w:rsidR="008D6614" w14:paraId="64A8ABC6" w14:textId="77777777">
        <w:tc>
          <w:tcPr>
            <w:tcW w:w="0" w:type="auto"/>
            <w:gridSpan w:val="3"/>
            <w:shd w:val="clear" w:color="auto" w:fill="auto"/>
            <w:tcMar>
              <w:top w:w="40" w:type="dxa"/>
              <w:left w:w="225" w:type="dxa"/>
              <w:bottom w:w="40" w:type="dxa"/>
              <w:right w:w="20" w:type="dxa"/>
            </w:tcMar>
            <w:vAlign w:val="bottom"/>
          </w:tcPr>
          <w:p w14:paraId="64A8ABBA" w14:textId="77777777" w:rsidR="008D6614" w:rsidRDefault="00866AF2">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A8ABBB"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vAlign w:val="center"/>
          </w:tcPr>
          <w:p w14:paraId="64A8ABBC" w14:textId="77777777" w:rsidR="008D6614" w:rsidRDefault="008D6614">
            <w:pPr>
              <w:rPr>
                <w:rFonts w:ascii="宋体"/>
                <w:vanish/>
              </w:rPr>
            </w:pPr>
          </w:p>
        </w:tc>
        <w:tc>
          <w:tcPr>
            <w:tcW w:w="0" w:type="auto"/>
            <w:gridSpan w:val="3"/>
            <w:shd w:val="clear" w:color="auto" w:fill="auto"/>
            <w:vAlign w:val="center"/>
          </w:tcPr>
          <w:p w14:paraId="64A8ABBD" w14:textId="77777777" w:rsidR="008D6614" w:rsidRDefault="008D6614">
            <w:pPr>
              <w:rPr>
                <w:rFonts w:ascii="宋体"/>
                <w:vanish/>
              </w:rPr>
            </w:pPr>
          </w:p>
        </w:tc>
        <w:tc>
          <w:tcPr>
            <w:tcW w:w="0" w:type="auto"/>
            <w:shd w:val="clear" w:color="auto" w:fill="auto"/>
            <w:tcMar>
              <w:left w:w="20" w:type="dxa"/>
              <w:right w:w="20" w:type="dxa"/>
            </w:tcMar>
            <w:vAlign w:val="bottom"/>
          </w:tcPr>
          <w:p w14:paraId="64A8ABBE" w14:textId="77777777" w:rsidR="008D6614" w:rsidRDefault="008D6614">
            <w:pPr>
              <w:rPr>
                <w:rFonts w:ascii="宋体"/>
              </w:rPr>
            </w:pPr>
          </w:p>
        </w:tc>
        <w:tc>
          <w:tcPr>
            <w:tcW w:w="0" w:type="auto"/>
            <w:shd w:val="clear" w:color="auto" w:fill="auto"/>
            <w:tcMar>
              <w:left w:w="20" w:type="dxa"/>
              <w:right w:w="20" w:type="dxa"/>
            </w:tcMar>
            <w:vAlign w:val="bottom"/>
          </w:tcPr>
          <w:p w14:paraId="64A8ABBF" w14:textId="77777777" w:rsidR="008D6614" w:rsidRDefault="008D6614">
            <w:pPr>
              <w:rPr>
                <w:rFonts w:ascii="宋体"/>
              </w:rPr>
            </w:pPr>
          </w:p>
        </w:tc>
        <w:tc>
          <w:tcPr>
            <w:tcW w:w="0" w:type="auto"/>
            <w:shd w:val="clear" w:color="auto" w:fill="auto"/>
            <w:vAlign w:val="center"/>
          </w:tcPr>
          <w:p w14:paraId="64A8ABC0" w14:textId="77777777" w:rsidR="008D6614" w:rsidRDefault="008D6614">
            <w:pPr>
              <w:rPr>
                <w:rFonts w:ascii="宋体"/>
                <w:vanish/>
              </w:rPr>
            </w:pPr>
          </w:p>
        </w:tc>
        <w:tc>
          <w:tcPr>
            <w:tcW w:w="0" w:type="auto"/>
            <w:shd w:val="clear" w:color="auto" w:fill="auto"/>
            <w:vAlign w:val="center"/>
          </w:tcPr>
          <w:p w14:paraId="64A8ABC1" w14:textId="77777777" w:rsidR="008D6614" w:rsidRDefault="008D6614">
            <w:pPr>
              <w:rPr>
                <w:rFonts w:ascii="宋体"/>
                <w:vanish/>
              </w:rPr>
            </w:pPr>
          </w:p>
        </w:tc>
        <w:tc>
          <w:tcPr>
            <w:tcW w:w="0" w:type="auto"/>
            <w:shd w:val="clear" w:color="auto" w:fill="auto"/>
            <w:vAlign w:val="center"/>
          </w:tcPr>
          <w:p w14:paraId="64A8ABC2" w14:textId="77777777" w:rsidR="008D6614" w:rsidRDefault="008D6614">
            <w:pPr>
              <w:rPr>
                <w:rFonts w:ascii="宋体"/>
                <w:vanish/>
              </w:rPr>
            </w:pPr>
          </w:p>
        </w:tc>
        <w:tc>
          <w:tcPr>
            <w:tcW w:w="0" w:type="auto"/>
            <w:shd w:val="clear" w:color="auto" w:fill="auto"/>
            <w:vAlign w:val="center"/>
          </w:tcPr>
          <w:p w14:paraId="64A8ABC3" w14:textId="77777777" w:rsidR="008D6614" w:rsidRDefault="008D6614">
            <w:pPr>
              <w:rPr>
                <w:rFonts w:ascii="宋体"/>
                <w:vanish/>
              </w:rPr>
            </w:pPr>
          </w:p>
        </w:tc>
        <w:tc>
          <w:tcPr>
            <w:tcW w:w="0" w:type="auto"/>
            <w:gridSpan w:val="3"/>
            <w:shd w:val="clear" w:color="auto" w:fill="auto"/>
            <w:vAlign w:val="center"/>
          </w:tcPr>
          <w:p w14:paraId="64A8ABC4" w14:textId="77777777" w:rsidR="008D6614" w:rsidRDefault="008D6614">
            <w:pPr>
              <w:rPr>
                <w:rFonts w:ascii="宋体"/>
                <w:vanish/>
              </w:rPr>
            </w:pPr>
          </w:p>
        </w:tc>
        <w:tc>
          <w:tcPr>
            <w:tcW w:w="0" w:type="auto"/>
            <w:gridSpan w:val="3"/>
            <w:shd w:val="clear" w:color="auto" w:fill="auto"/>
            <w:vAlign w:val="center"/>
          </w:tcPr>
          <w:p w14:paraId="64A8ABC5" w14:textId="77777777" w:rsidR="008D6614" w:rsidRDefault="008D6614">
            <w:pPr>
              <w:rPr>
                <w:rFonts w:ascii="宋体"/>
                <w:vanish/>
              </w:rPr>
            </w:pPr>
          </w:p>
        </w:tc>
      </w:tr>
      <w:tr w:rsidR="008D6614" w14:paraId="64A8ABD9" w14:textId="77777777">
        <w:tc>
          <w:tcPr>
            <w:tcW w:w="0" w:type="auto"/>
            <w:gridSpan w:val="3"/>
            <w:shd w:val="clear" w:color="auto" w:fill="auto"/>
            <w:tcMar>
              <w:top w:w="40" w:type="dxa"/>
              <w:left w:w="20" w:type="dxa"/>
              <w:bottom w:w="40" w:type="dxa"/>
              <w:right w:w="20" w:type="dxa"/>
            </w:tcMar>
            <w:vAlign w:val="bottom"/>
          </w:tcPr>
          <w:p w14:paraId="64A8ABC7" w14:textId="77777777" w:rsidR="008D6614" w:rsidRDefault="00866AF2">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BC8" w14:textId="77777777" w:rsidR="008D6614" w:rsidRDefault="00866AF2">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64A8ABC9"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BCA" w14:textId="77777777" w:rsidR="008D6614" w:rsidRDefault="00866AF2">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64A8ABCB"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BCC" w14:textId="77777777" w:rsidR="008D6614" w:rsidRDefault="00866AF2">
            <w:pPr>
              <w:jc w:val="center"/>
              <w:textAlignment w:val="bottom"/>
            </w:pPr>
            <w:r>
              <w:rPr>
                <w:rFonts w:ascii="Arial" w:eastAsia="宋体" w:hAnsi="Arial" w:cs="Arial"/>
                <w:b/>
                <w:bCs/>
                <w:color w:val="000000"/>
                <w:sz w:val="14"/>
                <w:szCs w:val="14"/>
              </w:rPr>
              <w:t>% Change</w:t>
            </w:r>
          </w:p>
        </w:tc>
        <w:tc>
          <w:tcPr>
            <w:tcW w:w="0" w:type="auto"/>
            <w:shd w:val="clear" w:color="auto" w:fill="auto"/>
            <w:vAlign w:val="center"/>
          </w:tcPr>
          <w:p w14:paraId="64A8ABCD" w14:textId="77777777" w:rsidR="008D6614" w:rsidRDefault="008D6614">
            <w:pPr>
              <w:rPr>
                <w:rFonts w:ascii="宋体"/>
                <w:vanish/>
              </w:rPr>
            </w:pPr>
          </w:p>
        </w:tc>
        <w:tc>
          <w:tcPr>
            <w:tcW w:w="0" w:type="auto"/>
            <w:shd w:val="clear" w:color="auto" w:fill="auto"/>
            <w:vAlign w:val="center"/>
          </w:tcPr>
          <w:p w14:paraId="64A8ABCE" w14:textId="77777777" w:rsidR="008D6614" w:rsidRDefault="008D6614">
            <w:pPr>
              <w:rPr>
                <w:rFonts w:ascii="宋体"/>
                <w:vanish/>
              </w:rPr>
            </w:pPr>
          </w:p>
        </w:tc>
        <w:tc>
          <w:tcPr>
            <w:tcW w:w="0" w:type="auto"/>
            <w:shd w:val="clear" w:color="auto" w:fill="auto"/>
            <w:vAlign w:val="center"/>
          </w:tcPr>
          <w:p w14:paraId="64A8ABCF" w14:textId="77777777" w:rsidR="008D6614" w:rsidRDefault="008D6614">
            <w:pPr>
              <w:rPr>
                <w:rFonts w:ascii="宋体"/>
                <w:vanish/>
              </w:rPr>
            </w:pPr>
          </w:p>
        </w:tc>
        <w:tc>
          <w:tcPr>
            <w:tcW w:w="0" w:type="auto"/>
            <w:shd w:val="clear" w:color="auto" w:fill="auto"/>
            <w:vAlign w:val="center"/>
          </w:tcPr>
          <w:p w14:paraId="64A8ABD0" w14:textId="77777777" w:rsidR="008D6614" w:rsidRDefault="008D6614">
            <w:pPr>
              <w:rPr>
                <w:rFonts w:ascii="宋体"/>
                <w:vanish/>
              </w:rPr>
            </w:pPr>
          </w:p>
        </w:tc>
        <w:tc>
          <w:tcPr>
            <w:tcW w:w="0" w:type="auto"/>
            <w:shd w:val="clear" w:color="auto" w:fill="auto"/>
            <w:vAlign w:val="center"/>
          </w:tcPr>
          <w:p w14:paraId="64A8ABD1" w14:textId="77777777" w:rsidR="008D6614" w:rsidRDefault="008D6614">
            <w:pPr>
              <w:rPr>
                <w:rFonts w:ascii="宋体"/>
                <w:vanish/>
              </w:rPr>
            </w:pPr>
          </w:p>
        </w:tc>
        <w:tc>
          <w:tcPr>
            <w:tcW w:w="0" w:type="auto"/>
            <w:shd w:val="clear" w:color="auto" w:fill="auto"/>
            <w:vAlign w:val="center"/>
          </w:tcPr>
          <w:p w14:paraId="64A8ABD2" w14:textId="77777777" w:rsidR="008D6614" w:rsidRDefault="008D6614">
            <w:pPr>
              <w:rPr>
                <w:rFonts w:ascii="宋体"/>
                <w:vanish/>
              </w:rPr>
            </w:pPr>
          </w:p>
        </w:tc>
        <w:tc>
          <w:tcPr>
            <w:tcW w:w="0" w:type="auto"/>
            <w:shd w:val="clear" w:color="auto" w:fill="auto"/>
            <w:vAlign w:val="center"/>
          </w:tcPr>
          <w:p w14:paraId="64A8ABD3" w14:textId="77777777" w:rsidR="008D6614" w:rsidRDefault="008D6614">
            <w:pPr>
              <w:rPr>
                <w:rFonts w:ascii="宋体"/>
              </w:rPr>
            </w:pPr>
          </w:p>
        </w:tc>
        <w:tc>
          <w:tcPr>
            <w:tcW w:w="0" w:type="auto"/>
            <w:shd w:val="clear" w:color="auto" w:fill="auto"/>
            <w:vAlign w:val="center"/>
          </w:tcPr>
          <w:p w14:paraId="64A8ABD4" w14:textId="77777777" w:rsidR="008D6614" w:rsidRDefault="008D6614">
            <w:pPr>
              <w:rPr>
                <w:rFonts w:ascii="宋体"/>
              </w:rPr>
            </w:pPr>
          </w:p>
        </w:tc>
        <w:tc>
          <w:tcPr>
            <w:tcW w:w="0" w:type="auto"/>
            <w:shd w:val="clear" w:color="auto" w:fill="auto"/>
            <w:vAlign w:val="center"/>
          </w:tcPr>
          <w:p w14:paraId="64A8ABD5" w14:textId="77777777" w:rsidR="008D6614" w:rsidRDefault="008D6614">
            <w:pPr>
              <w:rPr>
                <w:rFonts w:ascii="宋体"/>
              </w:rPr>
            </w:pPr>
          </w:p>
        </w:tc>
        <w:tc>
          <w:tcPr>
            <w:tcW w:w="0" w:type="auto"/>
            <w:shd w:val="clear" w:color="auto" w:fill="auto"/>
            <w:vAlign w:val="center"/>
          </w:tcPr>
          <w:p w14:paraId="64A8ABD6" w14:textId="77777777" w:rsidR="008D6614" w:rsidRDefault="008D6614">
            <w:pPr>
              <w:rPr>
                <w:rFonts w:ascii="宋体"/>
              </w:rPr>
            </w:pPr>
          </w:p>
        </w:tc>
        <w:tc>
          <w:tcPr>
            <w:tcW w:w="0" w:type="auto"/>
            <w:shd w:val="clear" w:color="auto" w:fill="auto"/>
            <w:vAlign w:val="center"/>
          </w:tcPr>
          <w:p w14:paraId="64A8ABD7" w14:textId="77777777" w:rsidR="008D6614" w:rsidRDefault="008D6614">
            <w:pPr>
              <w:rPr>
                <w:rFonts w:ascii="宋体"/>
              </w:rPr>
            </w:pPr>
          </w:p>
        </w:tc>
        <w:tc>
          <w:tcPr>
            <w:tcW w:w="0" w:type="auto"/>
            <w:shd w:val="clear" w:color="auto" w:fill="auto"/>
            <w:vAlign w:val="center"/>
          </w:tcPr>
          <w:p w14:paraId="64A8ABD8" w14:textId="77777777" w:rsidR="008D6614" w:rsidRDefault="008D6614">
            <w:pPr>
              <w:rPr>
                <w:rFonts w:ascii="宋体"/>
              </w:rPr>
            </w:pPr>
          </w:p>
        </w:tc>
      </w:tr>
      <w:tr w:rsidR="008D6614" w14:paraId="64A8ABEC" w14:textId="77777777">
        <w:tc>
          <w:tcPr>
            <w:tcW w:w="0" w:type="auto"/>
            <w:gridSpan w:val="3"/>
            <w:shd w:val="clear" w:color="auto" w:fill="FFFFFF"/>
            <w:tcMar>
              <w:top w:w="40" w:type="dxa"/>
              <w:left w:w="20" w:type="dxa"/>
              <w:bottom w:w="40" w:type="dxa"/>
              <w:right w:w="20" w:type="dxa"/>
            </w:tcMar>
            <w:vAlign w:val="bottom"/>
          </w:tcPr>
          <w:p w14:paraId="64A8ABDA" w14:textId="77777777" w:rsidR="008D6614" w:rsidRDefault="00866AF2">
            <w:pPr>
              <w:textAlignment w:val="bottom"/>
            </w:pPr>
            <w:r>
              <w:rPr>
                <w:rFonts w:ascii="Arial" w:eastAsia="宋体" w:hAnsi="Arial" w:cs="Arial"/>
                <w:color w:val="000000"/>
                <w:sz w:val="16"/>
                <w:szCs w:val="16"/>
              </w:rPr>
              <w:t>Net transaction revenues:</w:t>
            </w:r>
          </w:p>
        </w:tc>
        <w:tc>
          <w:tcPr>
            <w:tcW w:w="0" w:type="auto"/>
            <w:gridSpan w:val="3"/>
            <w:tcBorders>
              <w:top w:val="single" w:sz="8" w:space="0" w:color="000000"/>
            </w:tcBorders>
            <w:shd w:val="clear" w:color="auto" w:fill="FFFFFF"/>
            <w:tcMar>
              <w:left w:w="20" w:type="dxa"/>
              <w:right w:w="20" w:type="dxa"/>
            </w:tcMar>
            <w:vAlign w:val="bottom"/>
          </w:tcPr>
          <w:p w14:paraId="64A8ABD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BDC"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ABD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BDE" w14:textId="77777777" w:rsidR="008D6614" w:rsidRDefault="008D661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64A8ABDF" w14:textId="77777777" w:rsidR="008D6614" w:rsidRDefault="008D6614">
            <w:pPr>
              <w:rPr>
                <w:rFonts w:ascii="宋体"/>
              </w:rPr>
            </w:pPr>
          </w:p>
        </w:tc>
        <w:tc>
          <w:tcPr>
            <w:tcW w:w="0" w:type="auto"/>
            <w:shd w:val="clear" w:color="auto" w:fill="auto"/>
            <w:vAlign w:val="center"/>
          </w:tcPr>
          <w:p w14:paraId="64A8ABE0" w14:textId="77777777" w:rsidR="008D6614" w:rsidRDefault="008D6614">
            <w:pPr>
              <w:rPr>
                <w:rFonts w:ascii="宋体"/>
                <w:vanish/>
              </w:rPr>
            </w:pPr>
          </w:p>
        </w:tc>
        <w:tc>
          <w:tcPr>
            <w:tcW w:w="0" w:type="auto"/>
            <w:shd w:val="clear" w:color="auto" w:fill="auto"/>
            <w:vAlign w:val="center"/>
          </w:tcPr>
          <w:p w14:paraId="64A8ABE1" w14:textId="77777777" w:rsidR="008D6614" w:rsidRDefault="008D6614">
            <w:pPr>
              <w:rPr>
                <w:rFonts w:ascii="宋体"/>
                <w:vanish/>
              </w:rPr>
            </w:pPr>
          </w:p>
        </w:tc>
        <w:tc>
          <w:tcPr>
            <w:tcW w:w="0" w:type="auto"/>
            <w:shd w:val="clear" w:color="auto" w:fill="auto"/>
            <w:vAlign w:val="center"/>
          </w:tcPr>
          <w:p w14:paraId="64A8ABE2" w14:textId="77777777" w:rsidR="008D6614" w:rsidRDefault="008D6614">
            <w:pPr>
              <w:rPr>
                <w:rFonts w:ascii="宋体"/>
                <w:vanish/>
              </w:rPr>
            </w:pPr>
          </w:p>
        </w:tc>
        <w:tc>
          <w:tcPr>
            <w:tcW w:w="0" w:type="auto"/>
            <w:shd w:val="clear" w:color="auto" w:fill="auto"/>
            <w:vAlign w:val="center"/>
          </w:tcPr>
          <w:p w14:paraId="64A8ABE3" w14:textId="77777777" w:rsidR="008D6614" w:rsidRDefault="008D6614">
            <w:pPr>
              <w:rPr>
                <w:rFonts w:ascii="宋体"/>
                <w:vanish/>
              </w:rPr>
            </w:pPr>
          </w:p>
        </w:tc>
        <w:tc>
          <w:tcPr>
            <w:tcW w:w="0" w:type="auto"/>
            <w:shd w:val="clear" w:color="auto" w:fill="auto"/>
            <w:vAlign w:val="center"/>
          </w:tcPr>
          <w:p w14:paraId="64A8ABE4" w14:textId="77777777" w:rsidR="008D6614" w:rsidRDefault="008D6614">
            <w:pPr>
              <w:rPr>
                <w:rFonts w:ascii="宋体"/>
                <w:vanish/>
              </w:rPr>
            </w:pPr>
          </w:p>
        </w:tc>
        <w:tc>
          <w:tcPr>
            <w:tcW w:w="0" w:type="auto"/>
            <w:shd w:val="clear" w:color="auto" w:fill="auto"/>
            <w:vAlign w:val="center"/>
          </w:tcPr>
          <w:p w14:paraId="64A8ABE5" w14:textId="77777777" w:rsidR="008D6614" w:rsidRDefault="008D6614">
            <w:pPr>
              <w:rPr>
                <w:rFonts w:ascii="宋体"/>
                <w:vanish/>
              </w:rPr>
            </w:pPr>
          </w:p>
        </w:tc>
        <w:tc>
          <w:tcPr>
            <w:tcW w:w="0" w:type="auto"/>
            <w:shd w:val="clear" w:color="auto" w:fill="auto"/>
            <w:vAlign w:val="center"/>
          </w:tcPr>
          <w:p w14:paraId="64A8ABE6" w14:textId="77777777" w:rsidR="008D6614" w:rsidRDefault="008D6614">
            <w:pPr>
              <w:rPr>
                <w:rFonts w:ascii="宋体"/>
              </w:rPr>
            </w:pPr>
          </w:p>
        </w:tc>
        <w:tc>
          <w:tcPr>
            <w:tcW w:w="0" w:type="auto"/>
            <w:shd w:val="clear" w:color="auto" w:fill="auto"/>
            <w:vAlign w:val="center"/>
          </w:tcPr>
          <w:p w14:paraId="64A8ABE7" w14:textId="77777777" w:rsidR="008D6614" w:rsidRDefault="008D6614">
            <w:pPr>
              <w:rPr>
                <w:rFonts w:ascii="宋体"/>
              </w:rPr>
            </w:pPr>
          </w:p>
        </w:tc>
        <w:tc>
          <w:tcPr>
            <w:tcW w:w="0" w:type="auto"/>
            <w:shd w:val="clear" w:color="auto" w:fill="auto"/>
            <w:vAlign w:val="center"/>
          </w:tcPr>
          <w:p w14:paraId="64A8ABE8" w14:textId="77777777" w:rsidR="008D6614" w:rsidRDefault="008D6614">
            <w:pPr>
              <w:rPr>
                <w:rFonts w:ascii="宋体"/>
              </w:rPr>
            </w:pPr>
          </w:p>
        </w:tc>
        <w:tc>
          <w:tcPr>
            <w:tcW w:w="0" w:type="auto"/>
            <w:shd w:val="clear" w:color="auto" w:fill="auto"/>
            <w:vAlign w:val="center"/>
          </w:tcPr>
          <w:p w14:paraId="64A8ABE9" w14:textId="77777777" w:rsidR="008D6614" w:rsidRDefault="008D6614">
            <w:pPr>
              <w:rPr>
                <w:rFonts w:ascii="宋体"/>
              </w:rPr>
            </w:pPr>
          </w:p>
        </w:tc>
        <w:tc>
          <w:tcPr>
            <w:tcW w:w="0" w:type="auto"/>
            <w:shd w:val="clear" w:color="auto" w:fill="auto"/>
            <w:vAlign w:val="center"/>
          </w:tcPr>
          <w:p w14:paraId="64A8ABEA" w14:textId="77777777" w:rsidR="008D6614" w:rsidRDefault="008D6614">
            <w:pPr>
              <w:rPr>
                <w:rFonts w:ascii="宋体"/>
              </w:rPr>
            </w:pPr>
          </w:p>
        </w:tc>
        <w:tc>
          <w:tcPr>
            <w:tcW w:w="0" w:type="auto"/>
            <w:shd w:val="clear" w:color="auto" w:fill="auto"/>
            <w:vAlign w:val="center"/>
          </w:tcPr>
          <w:p w14:paraId="64A8ABEB" w14:textId="77777777" w:rsidR="008D6614" w:rsidRDefault="008D6614">
            <w:pPr>
              <w:rPr>
                <w:rFonts w:ascii="宋体"/>
              </w:rPr>
            </w:pPr>
          </w:p>
        </w:tc>
      </w:tr>
      <w:tr w:rsidR="008D6614" w14:paraId="64A8AC04" w14:textId="77777777">
        <w:tc>
          <w:tcPr>
            <w:tcW w:w="0" w:type="auto"/>
            <w:gridSpan w:val="3"/>
            <w:shd w:val="clear" w:color="auto" w:fill="E2E2E2"/>
            <w:tcMar>
              <w:top w:w="40" w:type="dxa"/>
              <w:left w:w="135" w:type="dxa"/>
              <w:bottom w:w="40" w:type="dxa"/>
              <w:right w:w="20" w:type="dxa"/>
            </w:tcMar>
            <w:vAlign w:val="bottom"/>
          </w:tcPr>
          <w:p w14:paraId="64A8ABED" w14:textId="77777777" w:rsidR="008D6614" w:rsidRDefault="00866AF2">
            <w:pPr>
              <w:textAlignment w:val="bottom"/>
            </w:pPr>
            <w:r>
              <w:rPr>
                <w:rFonts w:ascii="Arial" w:eastAsia="宋体" w:hAnsi="Arial" w:cs="Arial"/>
                <w:color w:val="000000"/>
                <w:sz w:val="16"/>
                <w:szCs w:val="16"/>
              </w:rPr>
              <w:t>Marketplace</w:t>
            </w:r>
          </w:p>
        </w:tc>
        <w:tc>
          <w:tcPr>
            <w:tcW w:w="0" w:type="auto"/>
            <w:shd w:val="clear" w:color="auto" w:fill="E2E2E2"/>
            <w:tcMar>
              <w:top w:w="40" w:type="dxa"/>
              <w:left w:w="20" w:type="dxa"/>
              <w:bottom w:w="40" w:type="dxa"/>
            </w:tcMar>
            <w:vAlign w:val="bottom"/>
          </w:tcPr>
          <w:p w14:paraId="64A8ABEE" w14:textId="77777777" w:rsidR="008D6614" w:rsidRDefault="00866AF2">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64A8ABEF" w14:textId="77777777" w:rsidR="008D6614" w:rsidRDefault="00866AF2">
            <w:pPr>
              <w:jc w:val="right"/>
              <w:textAlignment w:val="bottom"/>
            </w:pPr>
            <w:r>
              <w:rPr>
                <w:rFonts w:ascii="Arial" w:eastAsia="宋体" w:hAnsi="Arial" w:cs="Arial"/>
                <w:color w:val="000000"/>
                <w:sz w:val="16"/>
                <w:szCs w:val="16"/>
              </w:rPr>
              <w:t>1,900 </w:t>
            </w:r>
          </w:p>
        </w:tc>
        <w:tc>
          <w:tcPr>
            <w:tcW w:w="0" w:type="auto"/>
            <w:shd w:val="clear" w:color="auto" w:fill="E2E2E2"/>
            <w:tcMar>
              <w:top w:w="40" w:type="dxa"/>
              <w:bottom w:w="40" w:type="dxa"/>
              <w:right w:w="20" w:type="dxa"/>
            </w:tcMar>
            <w:vAlign w:val="bottom"/>
          </w:tcPr>
          <w:p w14:paraId="64A8ABF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BF1"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ABF2" w14:textId="77777777" w:rsidR="008D6614" w:rsidRDefault="00866AF2">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64A8ABF3" w14:textId="77777777" w:rsidR="008D6614" w:rsidRDefault="00866AF2">
            <w:pPr>
              <w:jc w:val="right"/>
              <w:textAlignment w:val="bottom"/>
            </w:pPr>
            <w:r>
              <w:rPr>
                <w:rFonts w:ascii="Arial" w:eastAsia="宋体" w:hAnsi="Arial" w:cs="Arial"/>
                <w:color w:val="000000"/>
                <w:sz w:val="16"/>
                <w:szCs w:val="16"/>
              </w:rPr>
              <w:t>1,885 </w:t>
            </w:r>
          </w:p>
        </w:tc>
        <w:tc>
          <w:tcPr>
            <w:tcW w:w="0" w:type="auto"/>
            <w:shd w:val="clear" w:color="auto" w:fill="E2E2E2"/>
            <w:tcMar>
              <w:top w:w="40" w:type="dxa"/>
              <w:bottom w:w="40" w:type="dxa"/>
              <w:right w:w="20" w:type="dxa"/>
            </w:tcMar>
            <w:vAlign w:val="bottom"/>
          </w:tcPr>
          <w:p w14:paraId="64A8ABF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BF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BF6" w14:textId="77777777" w:rsidR="008D6614" w:rsidRDefault="00866AF2">
            <w:pPr>
              <w:jc w:val="right"/>
              <w:textAlignment w:val="bottom"/>
            </w:pPr>
            <w:r>
              <w:rPr>
                <w:rFonts w:ascii="Arial" w:eastAsia="宋体" w:hAnsi="Arial" w:cs="Arial"/>
                <w:color w:val="000000"/>
                <w:sz w:val="16"/>
                <w:szCs w:val="16"/>
              </w:rPr>
              <w:t>1 </w:t>
            </w:r>
          </w:p>
        </w:tc>
        <w:tc>
          <w:tcPr>
            <w:tcW w:w="0" w:type="auto"/>
            <w:shd w:val="clear" w:color="auto" w:fill="E2E2E2"/>
            <w:tcMar>
              <w:top w:w="40" w:type="dxa"/>
              <w:bottom w:w="40" w:type="dxa"/>
              <w:right w:w="20" w:type="dxa"/>
            </w:tcMar>
            <w:vAlign w:val="bottom"/>
          </w:tcPr>
          <w:p w14:paraId="64A8ABF7"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BF8" w14:textId="77777777" w:rsidR="008D6614" w:rsidRDefault="008D6614">
            <w:pPr>
              <w:rPr>
                <w:rFonts w:ascii="宋体"/>
                <w:vanish/>
              </w:rPr>
            </w:pPr>
          </w:p>
        </w:tc>
        <w:tc>
          <w:tcPr>
            <w:tcW w:w="0" w:type="auto"/>
            <w:shd w:val="clear" w:color="auto" w:fill="auto"/>
            <w:vAlign w:val="center"/>
          </w:tcPr>
          <w:p w14:paraId="64A8ABF9" w14:textId="77777777" w:rsidR="008D6614" w:rsidRDefault="008D6614">
            <w:pPr>
              <w:rPr>
                <w:rFonts w:ascii="宋体"/>
                <w:vanish/>
              </w:rPr>
            </w:pPr>
          </w:p>
        </w:tc>
        <w:tc>
          <w:tcPr>
            <w:tcW w:w="0" w:type="auto"/>
            <w:shd w:val="clear" w:color="auto" w:fill="auto"/>
            <w:vAlign w:val="center"/>
          </w:tcPr>
          <w:p w14:paraId="64A8ABFA" w14:textId="77777777" w:rsidR="008D6614" w:rsidRDefault="008D6614">
            <w:pPr>
              <w:rPr>
                <w:rFonts w:ascii="宋体"/>
                <w:vanish/>
              </w:rPr>
            </w:pPr>
          </w:p>
        </w:tc>
        <w:tc>
          <w:tcPr>
            <w:tcW w:w="0" w:type="auto"/>
            <w:shd w:val="clear" w:color="auto" w:fill="auto"/>
            <w:vAlign w:val="center"/>
          </w:tcPr>
          <w:p w14:paraId="64A8ABFB" w14:textId="77777777" w:rsidR="008D6614" w:rsidRDefault="008D6614">
            <w:pPr>
              <w:rPr>
                <w:rFonts w:ascii="宋体"/>
                <w:vanish/>
              </w:rPr>
            </w:pPr>
          </w:p>
        </w:tc>
        <w:tc>
          <w:tcPr>
            <w:tcW w:w="0" w:type="auto"/>
            <w:shd w:val="clear" w:color="auto" w:fill="auto"/>
            <w:vAlign w:val="center"/>
          </w:tcPr>
          <w:p w14:paraId="64A8ABFC" w14:textId="77777777" w:rsidR="008D6614" w:rsidRDefault="008D6614">
            <w:pPr>
              <w:rPr>
                <w:rFonts w:ascii="宋体"/>
                <w:vanish/>
              </w:rPr>
            </w:pPr>
          </w:p>
        </w:tc>
        <w:tc>
          <w:tcPr>
            <w:tcW w:w="0" w:type="auto"/>
            <w:shd w:val="clear" w:color="auto" w:fill="auto"/>
            <w:vAlign w:val="center"/>
          </w:tcPr>
          <w:p w14:paraId="64A8ABFD" w14:textId="77777777" w:rsidR="008D6614" w:rsidRDefault="008D6614">
            <w:pPr>
              <w:rPr>
                <w:rFonts w:ascii="宋体"/>
                <w:vanish/>
              </w:rPr>
            </w:pPr>
          </w:p>
        </w:tc>
        <w:tc>
          <w:tcPr>
            <w:tcW w:w="0" w:type="auto"/>
            <w:shd w:val="clear" w:color="auto" w:fill="auto"/>
            <w:vAlign w:val="center"/>
          </w:tcPr>
          <w:p w14:paraId="64A8ABFE" w14:textId="77777777" w:rsidR="008D6614" w:rsidRDefault="008D6614">
            <w:pPr>
              <w:rPr>
                <w:rFonts w:ascii="宋体"/>
              </w:rPr>
            </w:pPr>
          </w:p>
        </w:tc>
        <w:tc>
          <w:tcPr>
            <w:tcW w:w="0" w:type="auto"/>
            <w:shd w:val="clear" w:color="auto" w:fill="auto"/>
            <w:vAlign w:val="center"/>
          </w:tcPr>
          <w:p w14:paraId="64A8ABFF" w14:textId="77777777" w:rsidR="008D6614" w:rsidRDefault="008D6614">
            <w:pPr>
              <w:rPr>
                <w:rFonts w:ascii="宋体"/>
              </w:rPr>
            </w:pPr>
          </w:p>
        </w:tc>
        <w:tc>
          <w:tcPr>
            <w:tcW w:w="0" w:type="auto"/>
            <w:shd w:val="clear" w:color="auto" w:fill="auto"/>
            <w:vAlign w:val="center"/>
          </w:tcPr>
          <w:p w14:paraId="64A8AC00" w14:textId="77777777" w:rsidR="008D6614" w:rsidRDefault="008D6614">
            <w:pPr>
              <w:rPr>
                <w:rFonts w:ascii="宋体"/>
              </w:rPr>
            </w:pPr>
          </w:p>
        </w:tc>
        <w:tc>
          <w:tcPr>
            <w:tcW w:w="0" w:type="auto"/>
            <w:shd w:val="clear" w:color="auto" w:fill="auto"/>
            <w:vAlign w:val="center"/>
          </w:tcPr>
          <w:p w14:paraId="64A8AC01" w14:textId="77777777" w:rsidR="008D6614" w:rsidRDefault="008D6614">
            <w:pPr>
              <w:rPr>
                <w:rFonts w:ascii="宋体"/>
              </w:rPr>
            </w:pPr>
          </w:p>
        </w:tc>
        <w:tc>
          <w:tcPr>
            <w:tcW w:w="0" w:type="auto"/>
            <w:shd w:val="clear" w:color="auto" w:fill="auto"/>
            <w:vAlign w:val="center"/>
          </w:tcPr>
          <w:p w14:paraId="64A8AC02" w14:textId="77777777" w:rsidR="008D6614" w:rsidRDefault="008D6614">
            <w:pPr>
              <w:rPr>
                <w:rFonts w:ascii="宋体"/>
              </w:rPr>
            </w:pPr>
          </w:p>
        </w:tc>
        <w:tc>
          <w:tcPr>
            <w:tcW w:w="0" w:type="auto"/>
            <w:shd w:val="clear" w:color="auto" w:fill="auto"/>
            <w:vAlign w:val="center"/>
          </w:tcPr>
          <w:p w14:paraId="64A8AC03" w14:textId="77777777" w:rsidR="008D6614" w:rsidRDefault="008D6614">
            <w:pPr>
              <w:rPr>
                <w:rFonts w:ascii="宋体"/>
              </w:rPr>
            </w:pPr>
          </w:p>
        </w:tc>
      </w:tr>
      <w:tr w:rsidR="008D6614" w14:paraId="64A8AC17" w14:textId="77777777">
        <w:trPr>
          <w:hidden/>
        </w:trPr>
        <w:tc>
          <w:tcPr>
            <w:tcW w:w="0" w:type="auto"/>
            <w:gridSpan w:val="3"/>
            <w:shd w:val="clear" w:color="auto" w:fill="auto"/>
            <w:vAlign w:val="center"/>
          </w:tcPr>
          <w:p w14:paraId="64A8AC05" w14:textId="77777777" w:rsidR="008D6614" w:rsidRDefault="008D6614">
            <w:pPr>
              <w:rPr>
                <w:rFonts w:ascii="宋体"/>
                <w:vanish/>
              </w:rPr>
            </w:pPr>
          </w:p>
        </w:tc>
        <w:tc>
          <w:tcPr>
            <w:tcW w:w="0" w:type="auto"/>
            <w:gridSpan w:val="3"/>
            <w:shd w:val="clear" w:color="auto" w:fill="auto"/>
            <w:vAlign w:val="center"/>
          </w:tcPr>
          <w:p w14:paraId="64A8AC06" w14:textId="77777777" w:rsidR="008D6614" w:rsidRDefault="008D6614">
            <w:pPr>
              <w:rPr>
                <w:rFonts w:ascii="宋体"/>
                <w:vanish/>
              </w:rPr>
            </w:pPr>
          </w:p>
        </w:tc>
        <w:tc>
          <w:tcPr>
            <w:tcW w:w="0" w:type="auto"/>
            <w:gridSpan w:val="3"/>
            <w:shd w:val="clear" w:color="auto" w:fill="auto"/>
            <w:vAlign w:val="center"/>
          </w:tcPr>
          <w:p w14:paraId="64A8AC07" w14:textId="77777777" w:rsidR="008D6614" w:rsidRDefault="008D6614">
            <w:pPr>
              <w:rPr>
                <w:rFonts w:ascii="宋体"/>
                <w:vanish/>
              </w:rPr>
            </w:pPr>
          </w:p>
        </w:tc>
        <w:tc>
          <w:tcPr>
            <w:tcW w:w="0" w:type="auto"/>
            <w:gridSpan w:val="3"/>
            <w:shd w:val="clear" w:color="auto" w:fill="auto"/>
            <w:vAlign w:val="center"/>
          </w:tcPr>
          <w:p w14:paraId="64A8AC08" w14:textId="77777777" w:rsidR="008D6614" w:rsidRDefault="008D6614">
            <w:pPr>
              <w:rPr>
                <w:rFonts w:ascii="宋体"/>
                <w:vanish/>
              </w:rPr>
            </w:pPr>
          </w:p>
        </w:tc>
        <w:tc>
          <w:tcPr>
            <w:tcW w:w="0" w:type="auto"/>
            <w:gridSpan w:val="3"/>
            <w:shd w:val="clear" w:color="auto" w:fill="auto"/>
            <w:vAlign w:val="center"/>
          </w:tcPr>
          <w:p w14:paraId="64A8AC09" w14:textId="77777777" w:rsidR="008D6614" w:rsidRDefault="008D6614">
            <w:pPr>
              <w:rPr>
                <w:rFonts w:ascii="宋体"/>
                <w:vanish/>
              </w:rPr>
            </w:pPr>
          </w:p>
        </w:tc>
        <w:tc>
          <w:tcPr>
            <w:tcW w:w="0" w:type="auto"/>
            <w:gridSpan w:val="3"/>
            <w:shd w:val="clear" w:color="auto" w:fill="auto"/>
            <w:vAlign w:val="center"/>
          </w:tcPr>
          <w:p w14:paraId="64A8AC0A" w14:textId="77777777" w:rsidR="008D6614" w:rsidRDefault="008D6614">
            <w:pPr>
              <w:rPr>
                <w:rFonts w:ascii="宋体"/>
                <w:vanish/>
              </w:rPr>
            </w:pPr>
          </w:p>
        </w:tc>
        <w:tc>
          <w:tcPr>
            <w:tcW w:w="0" w:type="auto"/>
            <w:shd w:val="clear" w:color="auto" w:fill="auto"/>
            <w:vAlign w:val="center"/>
          </w:tcPr>
          <w:p w14:paraId="64A8AC0B" w14:textId="77777777" w:rsidR="008D6614" w:rsidRDefault="008D6614">
            <w:pPr>
              <w:rPr>
                <w:rFonts w:ascii="宋体"/>
                <w:vanish/>
              </w:rPr>
            </w:pPr>
          </w:p>
        </w:tc>
        <w:tc>
          <w:tcPr>
            <w:tcW w:w="0" w:type="auto"/>
            <w:shd w:val="clear" w:color="auto" w:fill="auto"/>
            <w:vAlign w:val="center"/>
          </w:tcPr>
          <w:p w14:paraId="64A8AC0C" w14:textId="77777777" w:rsidR="008D6614" w:rsidRDefault="008D6614">
            <w:pPr>
              <w:rPr>
                <w:rFonts w:ascii="宋体"/>
                <w:vanish/>
              </w:rPr>
            </w:pPr>
          </w:p>
        </w:tc>
        <w:tc>
          <w:tcPr>
            <w:tcW w:w="0" w:type="auto"/>
            <w:shd w:val="clear" w:color="auto" w:fill="auto"/>
            <w:vAlign w:val="center"/>
          </w:tcPr>
          <w:p w14:paraId="64A8AC0D" w14:textId="77777777" w:rsidR="008D6614" w:rsidRDefault="008D6614">
            <w:pPr>
              <w:rPr>
                <w:rFonts w:ascii="宋体"/>
                <w:vanish/>
              </w:rPr>
            </w:pPr>
          </w:p>
        </w:tc>
        <w:tc>
          <w:tcPr>
            <w:tcW w:w="0" w:type="auto"/>
            <w:shd w:val="clear" w:color="auto" w:fill="auto"/>
            <w:vAlign w:val="center"/>
          </w:tcPr>
          <w:p w14:paraId="64A8AC0E" w14:textId="77777777" w:rsidR="008D6614" w:rsidRDefault="008D6614">
            <w:pPr>
              <w:rPr>
                <w:rFonts w:ascii="宋体"/>
                <w:vanish/>
              </w:rPr>
            </w:pPr>
          </w:p>
        </w:tc>
        <w:tc>
          <w:tcPr>
            <w:tcW w:w="0" w:type="auto"/>
            <w:shd w:val="clear" w:color="auto" w:fill="auto"/>
            <w:vAlign w:val="center"/>
          </w:tcPr>
          <w:p w14:paraId="64A8AC0F" w14:textId="77777777" w:rsidR="008D6614" w:rsidRDefault="008D6614">
            <w:pPr>
              <w:rPr>
                <w:rFonts w:ascii="宋体"/>
                <w:vanish/>
              </w:rPr>
            </w:pPr>
          </w:p>
        </w:tc>
        <w:tc>
          <w:tcPr>
            <w:tcW w:w="0" w:type="auto"/>
            <w:shd w:val="clear" w:color="auto" w:fill="auto"/>
            <w:vAlign w:val="center"/>
          </w:tcPr>
          <w:p w14:paraId="64A8AC10" w14:textId="77777777" w:rsidR="008D6614" w:rsidRDefault="008D6614">
            <w:pPr>
              <w:rPr>
                <w:rFonts w:ascii="宋体"/>
                <w:vanish/>
              </w:rPr>
            </w:pPr>
          </w:p>
        </w:tc>
        <w:tc>
          <w:tcPr>
            <w:tcW w:w="0" w:type="auto"/>
            <w:shd w:val="clear" w:color="auto" w:fill="auto"/>
            <w:vAlign w:val="center"/>
          </w:tcPr>
          <w:p w14:paraId="64A8AC11" w14:textId="77777777" w:rsidR="008D6614" w:rsidRDefault="008D6614">
            <w:pPr>
              <w:rPr>
                <w:rFonts w:ascii="宋体"/>
              </w:rPr>
            </w:pPr>
          </w:p>
        </w:tc>
        <w:tc>
          <w:tcPr>
            <w:tcW w:w="0" w:type="auto"/>
            <w:shd w:val="clear" w:color="auto" w:fill="auto"/>
            <w:vAlign w:val="center"/>
          </w:tcPr>
          <w:p w14:paraId="64A8AC12" w14:textId="77777777" w:rsidR="008D6614" w:rsidRDefault="008D6614">
            <w:pPr>
              <w:rPr>
                <w:rFonts w:ascii="宋体"/>
              </w:rPr>
            </w:pPr>
          </w:p>
        </w:tc>
        <w:tc>
          <w:tcPr>
            <w:tcW w:w="0" w:type="auto"/>
            <w:shd w:val="clear" w:color="auto" w:fill="auto"/>
            <w:vAlign w:val="center"/>
          </w:tcPr>
          <w:p w14:paraId="64A8AC13" w14:textId="77777777" w:rsidR="008D6614" w:rsidRDefault="008D6614">
            <w:pPr>
              <w:rPr>
                <w:rFonts w:ascii="宋体"/>
              </w:rPr>
            </w:pPr>
          </w:p>
        </w:tc>
        <w:tc>
          <w:tcPr>
            <w:tcW w:w="0" w:type="auto"/>
            <w:shd w:val="clear" w:color="auto" w:fill="auto"/>
            <w:vAlign w:val="center"/>
          </w:tcPr>
          <w:p w14:paraId="64A8AC14" w14:textId="77777777" w:rsidR="008D6614" w:rsidRDefault="008D6614">
            <w:pPr>
              <w:rPr>
                <w:rFonts w:ascii="宋体"/>
              </w:rPr>
            </w:pPr>
          </w:p>
        </w:tc>
        <w:tc>
          <w:tcPr>
            <w:tcW w:w="0" w:type="auto"/>
            <w:shd w:val="clear" w:color="auto" w:fill="auto"/>
            <w:vAlign w:val="center"/>
          </w:tcPr>
          <w:p w14:paraId="64A8AC15" w14:textId="77777777" w:rsidR="008D6614" w:rsidRDefault="008D6614">
            <w:pPr>
              <w:rPr>
                <w:rFonts w:ascii="宋体"/>
              </w:rPr>
            </w:pPr>
          </w:p>
        </w:tc>
        <w:tc>
          <w:tcPr>
            <w:tcW w:w="0" w:type="auto"/>
            <w:shd w:val="clear" w:color="auto" w:fill="auto"/>
            <w:vAlign w:val="center"/>
          </w:tcPr>
          <w:p w14:paraId="64A8AC16" w14:textId="77777777" w:rsidR="008D6614" w:rsidRDefault="008D6614">
            <w:pPr>
              <w:rPr>
                <w:rFonts w:ascii="宋体"/>
              </w:rPr>
            </w:pPr>
          </w:p>
        </w:tc>
      </w:tr>
      <w:tr w:rsidR="008D6614" w14:paraId="64A8AC2A" w14:textId="77777777">
        <w:trPr>
          <w:hidden/>
        </w:trPr>
        <w:tc>
          <w:tcPr>
            <w:tcW w:w="0" w:type="auto"/>
            <w:gridSpan w:val="3"/>
            <w:shd w:val="clear" w:color="auto" w:fill="auto"/>
            <w:vAlign w:val="center"/>
          </w:tcPr>
          <w:p w14:paraId="64A8AC18" w14:textId="77777777" w:rsidR="008D6614" w:rsidRDefault="008D6614">
            <w:pPr>
              <w:rPr>
                <w:rFonts w:ascii="宋体"/>
                <w:vanish/>
              </w:rPr>
            </w:pPr>
          </w:p>
        </w:tc>
        <w:tc>
          <w:tcPr>
            <w:tcW w:w="0" w:type="auto"/>
            <w:gridSpan w:val="3"/>
            <w:shd w:val="clear" w:color="auto" w:fill="auto"/>
            <w:vAlign w:val="center"/>
          </w:tcPr>
          <w:p w14:paraId="64A8AC19" w14:textId="77777777" w:rsidR="008D6614" w:rsidRDefault="008D6614">
            <w:pPr>
              <w:rPr>
                <w:rFonts w:ascii="宋体"/>
                <w:vanish/>
              </w:rPr>
            </w:pPr>
          </w:p>
        </w:tc>
        <w:tc>
          <w:tcPr>
            <w:tcW w:w="0" w:type="auto"/>
            <w:gridSpan w:val="3"/>
            <w:shd w:val="clear" w:color="auto" w:fill="auto"/>
            <w:vAlign w:val="center"/>
          </w:tcPr>
          <w:p w14:paraId="64A8AC1A" w14:textId="77777777" w:rsidR="008D6614" w:rsidRDefault="008D6614">
            <w:pPr>
              <w:rPr>
                <w:rFonts w:ascii="宋体"/>
                <w:vanish/>
              </w:rPr>
            </w:pPr>
          </w:p>
        </w:tc>
        <w:tc>
          <w:tcPr>
            <w:tcW w:w="0" w:type="auto"/>
            <w:gridSpan w:val="3"/>
            <w:shd w:val="clear" w:color="auto" w:fill="auto"/>
            <w:vAlign w:val="center"/>
          </w:tcPr>
          <w:p w14:paraId="64A8AC1B" w14:textId="77777777" w:rsidR="008D6614" w:rsidRDefault="008D6614">
            <w:pPr>
              <w:rPr>
                <w:rFonts w:ascii="宋体"/>
                <w:vanish/>
              </w:rPr>
            </w:pPr>
          </w:p>
        </w:tc>
        <w:tc>
          <w:tcPr>
            <w:tcW w:w="0" w:type="auto"/>
            <w:gridSpan w:val="3"/>
            <w:shd w:val="clear" w:color="auto" w:fill="auto"/>
            <w:vAlign w:val="center"/>
          </w:tcPr>
          <w:p w14:paraId="64A8AC1C" w14:textId="77777777" w:rsidR="008D6614" w:rsidRDefault="008D6614">
            <w:pPr>
              <w:rPr>
                <w:rFonts w:ascii="宋体"/>
                <w:vanish/>
              </w:rPr>
            </w:pPr>
          </w:p>
        </w:tc>
        <w:tc>
          <w:tcPr>
            <w:tcW w:w="0" w:type="auto"/>
            <w:gridSpan w:val="3"/>
            <w:shd w:val="clear" w:color="auto" w:fill="auto"/>
            <w:vAlign w:val="center"/>
          </w:tcPr>
          <w:p w14:paraId="64A8AC1D" w14:textId="77777777" w:rsidR="008D6614" w:rsidRDefault="008D6614">
            <w:pPr>
              <w:rPr>
                <w:rFonts w:ascii="宋体"/>
                <w:vanish/>
              </w:rPr>
            </w:pPr>
          </w:p>
        </w:tc>
        <w:tc>
          <w:tcPr>
            <w:tcW w:w="0" w:type="auto"/>
            <w:shd w:val="clear" w:color="auto" w:fill="auto"/>
            <w:vAlign w:val="center"/>
          </w:tcPr>
          <w:p w14:paraId="64A8AC1E" w14:textId="77777777" w:rsidR="008D6614" w:rsidRDefault="008D6614">
            <w:pPr>
              <w:rPr>
                <w:rFonts w:ascii="宋体"/>
                <w:vanish/>
              </w:rPr>
            </w:pPr>
          </w:p>
        </w:tc>
        <w:tc>
          <w:tcPr>
            <w:tcW w:w="0" w:type="auto"/>
            <w:shd w:val="clear" w:color="auto" w:fill="auto"/>
            <w:vAlign w:val="center"/>
          </w:tcPr>
          <w:p w14:paraId="64A8AC1F" w14:textId="77777777" w:rsidR="008D6614" w:rsidRDefault="008D6614">
            <w:pPr>
              <w:rPr>
                <w:rFonts w:ascii="宋体"/>
                <w:vanish/>
              </w:rPr>
            </w:pPr>
          </w:p>
        </w:tc>
        <w:tc>
          <w:tcPr>
            <w:tcW w:w="0" w:type="auto"/>
            <w:shd w:val="clear" w:color="auto" w:fill="auto"/>
            <w:vAlign w:val="center"/>
          </w:tcPr>
          <w:p w14:paraId="64A8AC20" w14:textId="77777777" w:rsidR="008D6614" w:rsidRDefault="008D6614">
            <w:pPr>
              <w:rPr>
                <w:rFonts w:ascii="宋体"/>
                <w:vanish/>
              </w:rPr>
            </w:pPr>
          </w:p>
        </w:tc>
        <w:tc>
          <w:tcPr>
            <w:tcW w:w="0" w:type="auto"/>
            <w:shd w:val="clear" w:color="auto" w:fill="auto"/>
            <w:vAlign w:val="center"/>
          </w:tcPr>
          <w:p w14:paraId="64A8AC21" w14:textId="77777777" w:rsidR="008D6614" w:rsidRDefault="008D6614">
            <w:pPr>
              <w:rPr>
                <w:rFonts w:ascii="宋体"/>
                <w:vanish/>
              </w:rPr>
            </w:pPr>
          </w:p>
        </w:tc>
        <w:tc>
          <w:tcPr>
            <w:tcW w:w="0" w:type="auto"/>
            <w:shd w:val="clear" w:color="auto" w:fill="auto"/>
            <w:vAlign w:val="center"/>
          </w:tcPr>
          <w:p w14:paraId="64A8AC22" w14:textId="77777777" w:rsidR="008D6614" w:rsidRDefault="008D6614">
            <w:pPr>
              <w:rPr>
                <w:rFonts w:ascii="宋体"/>
                <w:vanish/>
              </w:rPr>
            </w:pPr>
          </w:p>
        </w:tc>
        <w:tc>
          <w:tcPr>
            <w:tcW w:w="0" w:type="auto"/>
            <w:shd w:val="clear" w:color="auto" w:fill="auto"/>
            <w:vAlign w:val="center"/>
          </w:tcPr>
          <w:p w14:paraId="64A8AC23" w14:textId="77777777" w:rsidR="008D6614" w:rsidRDefault="008D6614">
            <w:pPr>
              <w:rPr>
                <w:rFonts w:ascii="宋体"/>
                <w:vanish/>
              </w:rPr>
            </w:pPr>
          </w:p>
        </w:tc>
        <w:tc>
          <w:tcPr>
            <w:tcW w:w="0" w:type="auto"/>
            <w:shd w:val="clear" w:color="auto" w:fill="auto"/>
            <w:vAlign w:val="center"/>
          </w:tcPr>
          <w:p w14:paraId="64A8AC24" w14:textId="77777777" w:rsidR="008D6614" w:rsidRDefault="008D6614">
            <w:pPr>
              <w:rPr>
                <w:rFonts w:ascii="宋体"/>
              </w:rPr>
            </w:pPr>
          </w:p>
        </w:tc>
        <w:tc>
          <w:tcPr>
            <w:tcW w:w="0" w:type="auto"/>
            <w:shd w:val="clear" w:color="auto" w:fill="auto"/>
            <w:vAlign w:val="center"/>
          </w:tcPr>
          <w:p w14:paraId="64A8AC25" w14:textId="77777777" w:rsidR="008D6614" w:rsidRDefault="008D6614">
            <w:pPr>
              <w:rPr>
                <w:rFonts w:ascii="宋体"/>
              </w:rPr>
            </w:pPr>
          </w:p>
        </w:tc>
        <w:tc>
          <w:tcPr>
            <w:tcW w:w="0" w:type="auto"/>
            <w:shd w:val="clear" w:color="auto" w:fill="auto"/>
            <w:vAlign w:val="center"/>
          </w:tcPr>
          <w:p w14:paraId="64A8AC26" w14:textId="77777777" w:rsidR="008D6614" w:rsidRDefault="008D6614">
            <w:pPr>
              <w:rPr>
                <w:rFonts w:ascii="宋体"/>
              </w:rPr>
            </w:pPr>
          </w:p>
        </w:tc>
        <w:tc>
          <w:tcPr>
            <w:tcW w:w="0" w:type="auto"/>
            <w:shd w:val="clear" w:color="auto" w:fill="auto"/>
            <w:vAlign w:val="center"/>
          </w:tcPr>
          <w:p w14:paraId="64A8AC27" w14:textId="77777777" w:rsidR="008D6614" w:rsidRDefault="008D6614">
            <w:pPr>
              <w:rPr>
                <w:rFonts w:ascii="宋体"/>
              </w:rPr>
            </w:pPr>
          </w:p>
        </w:tc>
        <w:tc>
          <w:tcPr>
            <w:tcW w:w="0" w:type="auto"/>
            <w:shd w:val="clear" w:color="auto" w:fill="auto"/>
            <w:vAlign w:val="center"/>
          </w:tcPr>
          <w:p w14:paraId="64A8AC28" w14:textId="77777777" w:rsidR="008D6614" w:rsidRDefault="008D6614">
            <w:pPr>
              <w:rPr>
                <w:rFonts w:ascii="宋体"/>
              </w:rPr>
            </w:pPr>
          </w:p>
        </w:tc>
        <w:tc>
          <w:tcPr>
            <w:tcW w:w="0" w:type="auto"/>
            <w:shd w:val="clear" w:color="auto" w:fill="auto"/>
            <w:vAlign w:val="center"/>
          </w:tcPr>
          <w:p w14:paraId="64A8AC29" w14:textId="77777777" w:rsidR="008D6614" w:rsidRDefault="008D6614">
            <w:pPr>
              <w:rPr>
                <w:rFonts w:ascii="宋体"/>
              </w:rPr>
            </w:pPr>
          </w:p>
        </w:tc>
      </w:tr>
      <w:tr w:rsidR="008D6614" w14:paraId="64A8AC3D" w14:textId="77777777">
        <w:tc>
          <w:tcPr>
            <w:tcW w:w="0" w:type="auto"/>
            <w:gridSpan w:val="3"/>
            <w:shd w:val="clear" w:color="auto" w:fill="FFFFFF"/>
            <w:tcMar>
              <w:top w:w="40" w:type="dxa"/>
              <w:left w:w="20" w:type="dxa"/>
              <w:bottom w:w="40" w:type="dxa"/>
              <w:right w:w="20" w:type="dxa"/>
            </w:tcMar>
            <w:vAlign w:val="bottom"/>
          </w:tcPr>
          <w:p w14:paraId="64A8AC2B" w14:textId="77777777" w:rsidR="008D6614" w:rsidRDefault="00866AF2">
            <w:pPr>
              <w:textAlignment w:val="bottom"/>
            </w:pPr>
            <w:r>
              <w:rPr>
                <w:rFonts w:ascii="Arial" w:eastAsia="宋体" w:hAnsi="Arial" w:cs="Arial"/>
                <w:color w:val="000000"/>
                <w:sz w:val="16"/>
                <w:szCs w:val="16"/>
              </w:rPr>
              <w:t>Marketing services and other revenues:</w:t>
            </w:r>
          </w:p>
        </w:tc>
        <w:tc>
          <w:tcPr>
            <w:tcW w:w="0" w:type="auto"/>
            <w:gridSpan w:val="3"/>
            <w:shd w:val="clear" w:color="auto" w:fill="FFFFFF"/>
            <w:tcMar>
              <w:left w:w="20" w:type="dxa"/>
              <w:right w:w="20" w:type="dxa"/>
            </w:tcMar>
            <w:vAlign w:val="bottom"/>
          </w:tcPr>
          <w:p w14:paraId="64A8AC2C"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C2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C2E"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C2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C30" w14:textId="77777777" w:rsidR="008D6614" w:rsidRDefault="008D6614">
            <w:pPr>
              <w:rPr>
                <w:rFonts w:ascii="宋体"/>
              </w:rPr>
            </w:pPr>
          </w:p>
        </w:tc>
        <w:tc>
          <w:tcPr>
            <w:tcW w:w="0" w:type="auto"/>
            <w:shd w:val="clear" w:color="auto" w:fill="auto"/>
            <w:vAlign w:val="center"/>
          </w:tcPr>
          <w:p w14:paraId="64A8AC31" w14:textId="77777777" w:rsidR="008D6614" w:rsidRDefault="008D6614">
            <w:pPr>
              <w:rPr>
                <w:rFonts w:ascii="宋体"/>
                <w:vanish/>
              </w:rPr>
            </w:pPr>
          </w:p>
        </w:tc>
        <w:tc>
          <w:tcPr>
            <w:tcW w:w="0" w:type="auto"/>
            <w:shd w:val="clear" w:color="auto" w:fill="auto"/>
            <w:vAlign w:val="center"/>
          </w:tcPr>
          <w:p w14:paraId="64A8AC32" w14:textId="77777777" w:rsidR="008D6614" w:rsidRDefault="008D6614">
            <w:pPr>
              <w:rPr>
                <w:rFonts w:ascii="宋体"/>
                <w:vanish/>
              </w:rPr>
            </w:pPr>
          </w:p>
        </w:tc>
        <w:tc>
          <w:tcPr>
            <w:tcW w:w="0" w:type="auto"/>
            <w:shd w:val="clear" w:color="auto" w:fill="auto"/>
            <w:vAlign w:val="center"/>
          </w:tcPr>
          <w:p w14:paraId="64A8AC33" w14:textId="77777777" w:rsidR="008D6614" w:rsidRDefault="008D6614">
            <w:pPr>
              <w:rPr>
                <w:rFonts w:ascii="宋体"/>
                <w:vanish/>
              </w:rPr>
            </w:pPr>
          </w:p>
        </w:tc>
        <w:tc>
          <w:tcPr>
            <w:tcW w:w="0" w:type="auto"/>
            <w:shd w:val="clear" w:color="auto" w:fill="auto"/>
            <w:vAlign w:val="center"/>
          </w:tcPr>
          <w:p w14:paraId="64A8AC34" w14:textId="77777777" w:rsidR="008D6614" w:rsidRDefault="008D6614">
            <w:pPr>
              <w:rPr>
                <w:rFonts w:ascii="宋体"/>
                <w:vanish/>
              </w:rPr>
            </w:pPr>
          </w:p>
        </w:tc>
        <w:tc>
          <w:tcPr>
            <w:tcW w:w="0" w:type="auto"/>
            <w:shd w:val="clear" w:color="auto" w:fill="auto"/>
            <w:vAlign w:val="center"/>
          </w:tcPr>
          <w:p w14:paraId="64A8AC35" w14:textId="77777777" w:rsidR="008D6614" w:rsidRDefault="008D6614">
            <w:pPr>
              <w:rPr>
                <w:rFonts w:ascii="宋体"/>
                <w:vanish/>
              </w:rPr>
            </w:pPr>
          </w:p>
        </w:tc>
        <w:tc>
          <w:tcPr>
            <w:tcW w:w="0" w:type="auto"/>
            <w:shd w:val="clear" w:color="auto" w:fill="auto"/>
            <w:vAlign w:val="center"/>
          </w:tcPr>
          <w:p w14:paraId="64A8AC36" w14:textId="77777777" w:rsidR="008D6614" w:rsidRDefault="008D6614">
            <w:pPr>
              <w:rPr>
                <w:rFonts w:ascii="宋体"/>
                <w:vanish/>
              </w:rPr>
            </w:pPr>
          </w:p>
        </w:tc>
        <w:tc>
          <w:tcPr>
            <w:tcW w:w="0" w:type="auto"/>
            <w:shd w:val="clear" w:color="auto" w:fill="auto"/>
            <w:vAlign w:val="center"/>
          </w:tcPr>
          <w:p w14:paraId="64A8AC37" w14:textId="77777777" w:rsidR="008D6614" w:rsidRDefault="008D6614">
            <w:pPr>
              <w:rPr>
                <w:rFonts w:ascii="宋体"/>
              </w:rPr>
            </w:pPr>
          </w:p>
        </w:tc>
        <w:tc>
          <w:tcPr>
            <w:tcW w:w="0" w:type="auto"/>
            <w:shd w:val="clear" w:color="auto" w:fill="auto"/>
            <w:vAlign w:val="center"/>
          </w:tcPr>
          <w:p w14:paraId="64A8AC38" w14:textId="77777777" w:rsidR="008D6614" w:rsidRDefault="008D6614">
            <w:pPr>
              <w:rPr>
                <w:rFonts w:ascii="宋体"/>
              </w:rPr>
            </w:pPr>
          </w:p>
        </w:tc>
        <w:tc>
          <w:tcPr>
            <w:tcW w:w="0" w:type="auto"/>
            <w:shd w:val="clear" w:color="auto" w:fill="auto"/>
            <w:vAlign w:val="center"/>
          </w:tcPr>
          <w:p w14:paraId="64A8AC39" w14:textId="77777777" w:rsidR="008D6614" w:rsidRDefault="008D6614">
            <w:pPr>
              <w:rPr>
                <w:rFonts w:ascii="宋体"/>
              </w:rPr>
            </w:pPr>
          </w:p>
        </w:tc>
        <w:tc>
          <w:tcPr>
            <w:tcW w:w="0" w:type="auto"/>
            <w:shd w:val="clear" w:color="auto" w:fill="auto"/>
            <w:vAlign w:val="center"/>
          </w:tcPr>
          <w:p w14:paraId="64A8AC3A" w14:textId="77777777" w:rsidR="008D6614" w:rsidRDefault="008D6614">
            <w:pPr>
              <w:rPr>
                <w:rFonts w:ascii="宋体"/>
              </w:rPr>
            </w:pPr>
          </w:p>
        </w:tc>
        <w:tc>
          <w:tcPr>
            <w:tcW w:w="0" w:type="auto"/>
            <w:shd w:val="clear" w:color="auto" w:fill="auto"/>
            <w:vAlign w:val="center"/>
          </w:tcPr>
          <w:p w14:paraId="64A8AC3B" w14:textId="77777777" w:rsidR="008D6614" w:rsidRDefault="008D6614">
            <w:pPr>
              <w:rPr>
                <w:rFonts w:ascii="宋体"/>
              </w:rPr>
            </w:pPr>
          </w:p>
        </w:tc>
        <w:tc>
          <w:tcPr>
            <w:tcW w:w="0" w:type="auto"/>
            <w:shd w:val="clear" w:color="auto" w:fill="auto"/>
            <w:vAlign w:val="center"/>
          </w:tcPr>
          <w:p w14:paraId="64A8AC3C" w14:textId="77777777" w:rsidR="008D6614" w:rsidRDefault="008D6614">
            <w:pPr>
              <w:rPr>
                <w:rFonts w:ascii="宋体"/>
              </w:rPr>
            </w:pPr>
          </w:p>
        </w:tc>
      </w:tr>
      <w:tr w:rsidR="008D6614" w14:paraId="64A8AC53" w14:textId="77777777">
        <w:tc>
          <w:tcPr>
            <w:tcW w:w="0" w:type="auto"/>
            <w:gridSpan w:val="3"/>
            <w:shd w:val="clear" w:color="auto" w:fill="E2E2E2"/>
            <w:tcMar>
              <w:top w:w="40" w:type="dxa"/>
              <w:left w:w="135" w:type="dxa"/>
              <w:bottom w:w="40" w:type="dxa"/>
              <w:right w:w="20" w:type="dxa"/>
            </w:tcMar>
            <w:vAlign w:val="bottom"/>
          </w:tcPr>
          <w:p w14:paraId="64A8AC3E" w14:textId="77777777" w:rsidR="008D6614" w:rsidRDefault="00866AF2">
            <w:pPr>
              <w:textAlignment w:val="bottom"/>
            </w:pPr>
            <w:r>
              <w:rPr>
                <w:rFonts w:ascii="Arial" w:eastAsia="宋体" w:hAnsi="Arial" w:cs="Arial"/>
                <w:color w:val="000000"/>
                <w:sz w:val="16"/>
                <w:szCs w:val="16"/>
              </w:rPr>
              <w:t>Marketplace</w:t>
            </w:r>
          </w:p>
        </w:tc>
        <w:tc>
          <w:tcPr>
            <w:tcW w:w="0" w:type="auto"/>
            <w:gridSpan w:val="2"/>
            <w:shd w:val="clear" w:color="auto" w:fill="E2E2E2"/>
            <w:tcMar>
              <w:top w:w="40" w:type="dxa"/>
              <w:left w:w="20" w:type="dxa"/>
              <w:bottom w:w="40" w:type="dxa"/>
              <w:right w:w="0" w:type="dxa"/>
            </w:tcMar>
            <w:vAlign w:val="bottom"/>
          </w:tcPr>
          <w:p w14:paraId="64A8AC3F" w14:textId="77777777" w:rsidR="008D6614" w:rsidRDefault="00866AF2">
            <w:pPr>
              <w:jc w:val="right"/>
              <w:textAlignment w:val="bottom"/>
            </w:pPr>
            <w:r>
              <w:rPr>
                <w:rFonts w:ascii="Arial" w:eastAsia="宋体" w:hAnsi="Arial" w:cs="Arial"/>
                <w:color w:val="000000"/>
                <w:sz w:val="16"/>
                <w:szCs w:val="16"/>
              </w:rPr>
              <w:t>230 </w:t>
            </w:r>
          </w:p>
        </w:tc>
        <w:tc>
          <w:tcPr>
            <w:tcW w:w="0" w:type="auto"/>
            <w:shd w:val="clear" w:color="auto" w:fill="E2E2E2"/>
            <w:tcMar>
              <w:top w:w="40" w:type="dxa"/>
              <w:bottom w:w="40" w:type="dxa"/>
              <w:right w:w="20" w:type="dxa"/>
            </w:tcMar>
            <w:vAlign w:val="bottom"/>
          </w:tcPr>
          <w:p w14:paraId="64A8AC4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C41"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C42" w14:textId="77777777" w:rsidR="008D6614" w:rsidRDefault="00866AF2">
            <w:pPr>
              <w:jc w:val="right"/>
              <w:textAlignment w:val="bottom"/>
            </w:pPr>
            <w:r>
              <w:rPr>
                <w:rFonts w:ascii="Arial" w:eastAsia="宋体" w:hAnsi="Arial" w:cs="Arial"/>
                <w:color w:val="000000"/>
                <w:sz w:val="16"/>
                <w:szCs w:val="16"/>
              </w:rPr>
              <w:t>277 </w:t>
            </w:r>
          </w:p>
        </w:tc>
        <w:tc>
          <w:tcPr>
            <w:tcW w:w="0" w:type="auto"/>
            <w:shd w:val="clear" w:color="auto" w:fill="E2E2E2"/>
            <w:tcMar>
              <w:top w:w="40" w:type="dxa"/>
              <w:bottom w:w="40" w:type="dxa"/>
              <w:right w:w="20" w:type="dxa"/>
            </w:tcMar>
            <w:vAlign w:val="bottom"/>
          </w:tcPr>
          <w:p w14:paraId="64A8AC4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C44"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C45" w14:textId="77777777" w:rsidR="008D6614" w:rsidRDefault="00866AF2">
            <w:pPr>
              <w:jc w:val="right"/>
              <w:textAlignment w:val="bottom"/>
            </w:pPr>
            <w:r>
              <w:rPr>
                <w:rFonts w:ascii="Arial" w:eastAsia="宋体" w:hAnsi="Arial" w:cs="Arial"/>
                <w:color w:val="000000"/>
                <w:sz w:val="16"/>
                <w:szCs w:val="16"/>
              </w:rPr>
              <w:t>(17)</w:t>
            </w:r>
          </w:p>
        </w:tc>
        <w:tc>
          <w:tcPr>
            <w:tcW w:w="0" w:type="auto"/>
            <w:shd w:val="clear" w:color="auto" w:fill="E2E2E2"/>
            <w:tcMar>
              <w:top w:w="40" w:type="dxa"/>
              <w:bottom w:w="40" w:type="dxa"/>
              <w:right w:w="20" w:type="dxa"/>
            </w:tcMar>
            <w:vAlign w:val="bottom"/>
          </w:tcPr>
          <w:p w14:paraId="64A8AC46"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C47" w14:textId="77777777" w:rsidR="008D6614" w:rsidRDefault="008D6614">
            <w:pPr>
              <w:rPr>
                <w:rFonts w:ascii="宋体"/>
                <w:vanish/>
              </w:rPr>
            </w:pPr>
          </w:p>
        </w:tc>
        <w:tc>
          <w:tcPr>
            <w:tcW w:w="0" w:type="auto"/>
            <w:shd w:val="clear" w:color="auto" w:fill="auto"/>
            <w:vAlign w:val="center"/>
          </w:tcPr>
          <w:p w14:paraId="64A8AC48" w14:textId="77777777" w:rsidR="008D6614" w:rsidRDefault="008D6614">
            <w:pPr>
              <w:rPr>
                <w:rFonts w:ascii="宋体"/>
                <w:vanish/>
              </w:rPr>
            </w:pPr>
          </w:p>
        </w:tc>
        <w:tc>
          <w:tcPr>
            <w:tcW w:w="0" w:type="auto"/>
            <w:shd w:val="clear" w:color="auto" w:fill="auto"/>
            <w:vAlign w:val="center"/>
          </w:tcPr>
          <w:p w14:paraId="64A8AC49" w14:textId="77777777" w:rsidR="008D6614" w:rsidRDefault="008D6614">
            <w:pPr>
              <w:rPr>
                <w:rFonts w:ascii="宋体"/>
                <w:vanish/>
              </w:rPr>
            </w:pPr>
          </w:p>
        </w:tc>
        <w:tc>
          <w:tcPr>
            <w:tcW w:w="0" w:type="auto"/>
            <w:shd w:val="clear" w:color="auto" w:fill="auto"/>
            <w:vAlign w:val="center"/>
          </w:tcPr>
          <w:p w14:paraId="64A8AC4A" w14:textId="77777777" w:rsidR="008D6614" w:rsidRDefault="008D6614">
            <w:pPr>
              <w:rPr>
                <w:rFonts w:ascii="宋体"/>
                <w:vanish/>
              </w:rPr>
            </w:pPr>
          </w:p>
        </w:tc>
        <w:tc>
          <w:tcPr>
            <w:tcW w:w="0" w:type="auto"/>
            <w:shd w:val="clear" w:color="auto" w:fill="auto"/>
            <w:vAlign w:val="center"/>
          </w:tcPr>
          <w:p w14:paraId="64A8AC4B" w14:textId="77777777" w:rsidR="008D6614" w:rsidRDefault="008D6614">
            <w:pPr>
              <w:rPr>
                <w:rFonts w:ascii="宋体"/>
                <w:vanish/>
              </w:rPr>
            </w:pPr>
          </w:p>
        </w:tc>
        <w:tc>
          <w:tcPr>
            <w:tcW w:w="0" w:type="auto"/>
            <w:shd w:val="clear" w:color="auto" w:fill="auto"/>
            <w:vAlign w:val="center"/>
          </w:tcPr>
          <w:p w14:paraId="64A8AC4C" w14:textId="77777777" w:rsidR="008D6614" w:rsidRDefault="008D6614">
            <w:pPr>
              <w:rPr>
                <w:rFonts w:ascii="宋体"/>
                <w:vanish/>
              </w:rPr>
            </w:pPr>
          </w:p>
        </w:tc>
        <w:tc>
          <w:tcPr>
            <w:tcW w:w="0" w:type="auto"/>
            <w:shd w:val="clear" w:color="auto" w:fill="auto"/>
            <w:vAlign w:val="center"/>
          </w:tcPr>
          <w:p w14:paraId="64A8AC4D" w14:textId="77777777" w:rsidR="008D6614" w:rsidRDefault="008D6614">
            <w:pPr>
              <w:rPr>
                <w:rFonts w:ascii="宋体"/>
              </w:rPr>
            </w:pPr>
          </w:p>
        </w:tc>
        <w:tc>
          <w:tcPr>
            <w:tcW w:w="0" w:type="auto"/>
            <w:shd w:val="clear" w:color="auto" w:fill="auto"/>
            <w:vAlign w:val="center"/>
          </w:tcPr>
          <w:p w14:paraId="64A8AC4E" w14:textId="77777777" w:rsidR="008D6614" w:rsidRDefault="008D6614">
            <w:pPr>
              <w:rPr>
                <w:rFonts w:ascii="宋体"/>
              </w:rPr>
            </w:pPr>
          </w:p>
        </w:tc>
        <w:tc>
          <w:tcPr>
            <w:tcW w:w="0" w:type="auto"/>
            <w:shd w:val="clear" w:color="auto" w:fill="auto"/>
            <w:vAlign w:val="center"/>
          </w:tcPr>
          <w:p w14:paraId="64A8AC4F" w14:textId="77777777" w:rsidR="008D6614" w:rsidRDefault="008D6614">
            <w:pPr>
              <w:rPr>
                <w:rFonts w:ascii="宋体"/>
              </w:rPr>
            </w:pPr>
          </w:p>
        </w:tc>
        <w:tc>
          <w:tcPr>
            <w:tcW w:w="0" w:type="auto"/>
            <w:shd w:val="clear" w:color="auto" w:fill="auto"/>
            <w:vAlign w:val="center"/>
          </w:tcPr>
          <w:p w14:paraId="64A8AC50" w14:textId="77777777" w:rsidR="008D6614" w:rsidRDefault="008D6614">
            <w:pPr>
              <w:rPr>
                <w:rFonts w:ascii="宋体"/>
              </w:rPr>
            </w:pPr>
          </w:p>
        </w:tc>
        <w:tc>
          <w:tcPr>
            <w:tcW w:w="0" w:type="auto"/>
            <w:shd w:val="clear" w:color="auto" w:fill="auto"/>
            <w:vAlign w:val="center"/>
          </w:tcPr>
          <w:p w14:paraId="64A8AC51" w14:textId="77777777" w:rsidR="008D6614" w:rsidRDefault="008D6614">
            <w:pPr>
              <w:rPr>
                <w:rFonts w:ascii="宋体"/>
              </w:rPr>
            </w:pPr>
          </w:p>
        </w:tc>
        <w:tc>
          <w:tcPr>
            <w:tcW w:w="0" w:type="auto"/>
            <w:shd w:val="clear" w:color="auto" w:fill="auto"/>
            <w:vAlign w:val="center"/>
          </w:tcPr>
          <w:p w14:paraId="64A8AC52" w14:textId="77777777" w:rsidR="008D6614" w:rsidRDefault="008D6614">
            <w:pPr>
              <w:rPr>
                <w:rFonts w:ascii="宋体"/>
              </w:rPr>
            </w:pPr>
          </w:p>
        </w:tc>
      </w:tr>
      <w:tr w:rsidR="008D6614" w14:paraId="64A8AC69" w14:textId="77777777">
        <w:tc>
          <w:tcPr>
            <w:tcW w:w="0" w:type="auto"/>
            <w:gridSpan w:val="3"/>
            <w:shd w:val="clear" w:color="auto" w:fill="FFFFFF"/>
            <w:tcMar>
              <w:top w:w="40" w:type="dxa"/>
              <w:left w:w="135" w:type="dxa"/>
              <w:bottom w:w="40" w:type="dxa"/>
              <w:right w:w="20" w:type="dxa"/>
            </w:tcMar>
            <w:vAlign w:val="bottom"/>
          </w:tcPr>
          <w:p w14:paraId="64A8AC54" w14:textId="77777777" w:rsidR="008D6614" w:rsidRDefault="00866AF2">
            <w:pPr>
              <w:textAlignment w:val="bottom"/>
            </w:pPr>
            <w:r>
              <w:rPr>
                <w:rFonts w:ascii="Arial" w:eastAsia="宋体" w:hAnsi="Arial" w:cs="Arial"/>
                <w:color w:val="000000"/>
                <w:sz w:val="16"/>
                <w:szCs w:val="16"/>
              </w:rPr>
              <w:t>Classifieds</w:t>
            </w:r>
          </w:p>
        </w:tc>
        <w:tc>
          <w:tcPr>
            <w:tcW w:w="0" w:type="auto"/>
            <w:gridSpan w:val="2"/>
            <w:shd w:val="clear" w:color="auto" w:fill="FFFFFF"/>
            <w:tcMar>
              <w:top w:w="40" w:type="dxa"/>
              <w:left w:w="20" w:type="dxa"/>
              <w:bottom w:w="40" w:type="dxa"/>
              <w:right w:w="0" w:type="dxa"/>
            </w:tcMar>
            <w:vAlign w:val="bottom"/>
          </w:tcPr>
          <w:p w14:paraId="64A8AC55" w14:textId="77777777" w:rsidR="008D6614" w:rsidRDefault="00866AF2">
            <w:pPr>
              <w:jc w:val="right"/>
              <w:textAlignment w:val="bottom"/>
            </w:pPr>
            <w:r>
              <w:rPr>
                <w:rFonts w:ascii="Arial" w:eastAsia="宋体" w:hAnsi="Arial" w:cs="Arial"/>
                <w:color w:val="000000"/>
                <w:sz w:val="16"/>
                <w:szCs w:val="16"/>
              </w:rPr>
              <w:t>248 </w:t>
            </w:r>
          </w:p>
        </w:tc>
        <w:tc>
          <w:tcPr>
            <w:tcW w:w="0" w:type="auto"/>
            <w:shd w:val="clear" w:color="auto" w:fill="FFFFFF"/>
            <w:tcMar>
              <w:top w:w="40" w:type="dxa"/>
              <w:bottom w:w="40" w:type="dxa"/>
              <w:right w:w="20" w:type="dxa"/>
            </w:tcMar>
            <w:vAlign w:val="bottom"/>
          </w:tcPr>
          <w:p w14:paraId="64A8AC5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C5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C58" w14:textId="77777777" w:rsidR="008D6614" w:rsidRDefault="00866AF2">
            <w:pPr>
              <w:jc w:val="right"/>
              <w:textAlignment w:val="bottom"/>
            </w:pPr>
            <w:r>
              <w:rPr>
                <w:rFonts w:ascii="Arial" w:eastAsia="宋体" w:hAnsi="Arial" w:cs="Arial"/>
                <w:color w:val="000000"/>
                <w:sz w:val="16"/>
                <w:szCs w:val="16"/>
              </w:rPr>
              <w:t>256 </w:t>
            </w:r>
          </w:p>
        </w:tc>
        <w:tc>
          <w:tcPr>
            <w:tcW w:w="0" w:type="auto"/>
            <w:shd w:val="clear" w:color="auto" w:fill="FFFFFF"/>
            <w:tcMar>
              <w:top w:w="40" w:type="dxa"/>
              <w:bottom w:w="40" w:type="dxa"/>
              <w:right w:w="20" w:type="dxa"/>
            </w:tcMar>
            <w:vAlign w:val="bottom"/>
          </w:tcPr>
          <w:p w14:paraId="64A8AC5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C5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C5B" w14:textId="77777777" w:rsidR="008D6614" w:rsidRDefault="00866AF2">
            <w:pPr>
              <w:jc w:val="right"/>
              <w:textAlignment w:val="bottom"/>
            </w:pPr>
            <w:r>
              <w:rPr>
                <w:rFonts w:ascii="Arial" w:eastAsia="宋体" w:hAnsi="Arial" w:cs="Arial"/>
                <w:color w:val="000000"/>
                <w:sz w:val="16"/>
                <w:szCs w:val="16"/>
              </w:rPr>
              <w:t>(3)</w:t>
            </w:r>
          </w:p>
        </w:tc>
        <w:tc>
          <w:tcPr>
            <w:tcW w:w="0" w:type="auto"/>
            <w:shd w:val="clear" w:color="auto" w:fill="FFFFFF"/>
            <w:tcMar>
              <w:top w:w="40" w:type="dxa"/>
              <w:bottom w:w="40" w:type="dxa"/>
              <w:right w:w="20" w:type="dxa"/>
            </w:tcMar>
            <w:vAlign w:val="bottom"/>
          </w:tcPr>
          <w:p w14:paraId="64A8AC5C"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C5D" w14:textId="77777777" w:rsidR="008D6614" w:rsidRDefault="008D6614">
            <w:pPr>
              <w:rPr>
                <w:rFonts w:ascii="宋体"/>
                <w:vanish/>
              </w:rPr>
            </w:pPr>
          </w:p>
        </w:tc>
        <w:tc>
          <w:tcPr>
            <w:tcW w:w="0" w:type="auto"/>
            <w:shd w:val="clear" w:color="auto" w:fill="auto"/>
            <w:vAlign w:val="center"/>
          </w:tcPr>
          <w:p w14:paraId="64A8AC5E" w14:textId="77777777" w:rsidR="008D6614" w:rsidRDefault="008D6614">
            <w:pPr>
              <w:rPr>
                <w:rFonts w:ascii="宋体"/>
                <w:vanish/>
              </w:rPr>
            </w:pPr>
          </w:p>
        </w:tc>
        <w:tc>
          <w:tcPr>
            <w:tcW w:w="0" w:type="auto"/>
            <w:shd w:val="clear" w:color="auto" w:fill="auto"/>
            <w:vAlign w:val="center"/>
          </w:tcPr>
          <w:p w14:paraId="64A8AC5F" w14:textId="77777777" w:rsidR="008D6614" w:rsidRDefault="008D6614">
            <w:pPr>
              <w:rPr>
                <w:rFonts w:ascii="宋体"/>
                <w:vanish/>
              </w:rPr>
            </w:pPr>
          </w:p>
        </w:tc>
        <w:tc>
          <w:tcPr>
            <w:tcW w:w="0" w:type="auto"/>
            <w:shd w:val="clear" w:color="auto" w:fill="auto"/>
            <w:vAlign w:val="center"/>
          </w:tcPr>
          <w:p w14:paraId="64A8AC60" w14:textId="77777777" w:rsidR="008D6614" w:rsidRDefault="008D6614">
            <w:pPr>
              <w:rPr>
                <w:rFonts w:ascii="宋体"/>
                <w:vanish/>
              </w:rPr>
            </w:pPr>
          </w:p>
        </w:tc>
        <w:tc>
          <w:tcPr>
            <w:tcW w:w="0" w:type="auto"/>
            <w:shd w:val="clear" w:color="auto" w:fill="auto"/>
            <w:vAlign w:val="center"/>
          </w:tcPr>
          <w:p w14:paraId="64A8AC61" w14:textId="77777777" w:rsidR="008D6614" w:rsidRDefault="008D6614">
            <w:pPr>
              <w:rPr>
                <w:rFonts w:ascii="宋体"/>
                <w:vanish/>
              </w:rPr>
            </w:pPr>
          </w:p>
        </w:tc>
        <w:tc>
          <w:tcPr>
            <w:tcW w:w="0" w:type="auto"/>
            <w:shd w:val="clear" w:color="auto" w:fill="auto"/>
            <w:vAlign w:val="center"/>
          </w:tcPr>
          <w:p w14:paraId="64A8AC62" w14:textId="77777777" w:rsidR="008D6614" w:rsidRDefault="008D6614">
            <w:pPr>
              <w:rPr>
                <w:rFonts w:ascii="宋体"/>
                <w:vanish/>
              </w:rPr>
            </w:pPr>
          </w:p>
        </w:tc>
        <w:tc>
          <w:tcPr>
            <w:tcW w:w="0" w:type="auto"/>
            <w:shd w:val="clear" w:color="auto" w:fill="auto"/>
            <w:vAlign w:val="center"/>
          </w:tcPr>
          <w:p w14:paraId="64A8AC63" w14:textId="77777777" w:rsidR="008D6614" w:rsidRDefault="008D6614">
            <w:pPr>
              <w:rPr>
                <w:rFonts w:ascii="宋体"/>
              </w:rPr>
            </w:pPr>
          </w:p>
        </w:tc>
        <w:tc>
          <w:tcPr>
            <w:tcW w:w="0" w:type="auto"/>
            <w:shd w:val="clear" w:color="auto" w:fill="auto"/>
            <w:vAlign w:val="center"/>
          </w:tcPr>
          <w:p w14:paraId="64A8AC64" w14:textId="77777777" w:rsidR="008D6614" w:rsidRDefault="008D6614">
            <w:pPr>
              <w:rPr>
                <w:rFonts w:ascii="宋体"/>
              </w:rPr>
            </w:pPr>
          </w:p>
        </w:tc>
        <w:tc>
          <w:tcPr>
            <w:tcW w:w="0" w:type="auto"/>
            <w:shd w:val="clear" w:color="auto" w:fill="auto"/>
            <w:vAlign w:val="center"/>
          </w:tcPr>
          <w:p w14:paraId="64A8AC65" w14:textId="77777777" w:rsidR="008D6614" w:rsidRDefault="008D6614">
            <w:pPr>
              <w:rPr>
                <w:rFonts w:ascii="宋体"/>
              </w:rPr>
            </w:pPr>
          </w:p>
        </w:tc>
        <w:tc>
          <w:tcPr>
            <w:tcW w:w="0" w:type="auto"/>
            <w:shd w:val="clear" w:color="auto" w:fill="auto"/>
            <w:vAlign w:val="center"/>
          </w:tcPr>
          <w:p w14:paraId="64A8AC66" w14:textId="77777777" w:rsidR="008D6614" w:rsidRDefault="008D6614">
            <w:pPr>
              <w:rPr>
                <w:rFonts w:ascii="宋体"/>
              </w:rPr>
            </w:pPr>
          </w:p>
        </w:tc>
        <w:tc>
          <w:tcPr>
            <w:tcW w:w="0" w:type="auto"/>
            <w:shd w:val="clear" w:color="auto" w:fill="auto"/>
            <w:vAlign w:val="center"/>
          </w:tcPr>
          <w:p w14:paraId="64A8AC67" w14:textId="77777777" w:rsidR="008D6614" w:rsidRDefault="008D6614">
            <w:pPr>
              <w:rPr>
                <w:rFonts w:ascii="宋体"/>
              </w:rPr>
            </w:pPr>
          </w:p>
        </w:tc>
        <w:tc>
          <w:tcPr>
            <w:tcW w:w="0" w:type="auto"/>
            <w:shd w:val="clear" w:color="auto" w:fill="auto"/>
            <w:vAlign w:val="center"/>
          </w:tcPr>
          <w:p w14:paraId="64A8AC68" w14:textId="77777777" w:rsidR="008D6614" w:rsidRDefault="008D6614">
            <w:pPr>
              <w:rPr>
                <w:rFonts w:ascii="宋体"/>
              </w:rPr>
            </w:pPr>
          </w:p>
        </w:tc>
      </w:tr>
      <w:tr w:rsidR="008D6614" w14:paraId="64A8AC7C" w14:textId="77777777">
        <w:trPr>
          <w:hidden/>
        </w:trPr>
        <w:tc>
          <w:tcPr>
            <w:tcW w:w="0" w:type="auto"/>
            <w:gridSpan w:val="3"/>
            <w:shd w:val="clear" w:color="auto" w:fill="auto"/>
            <w:vAlign w:val="center"/>
          </w:tcPr>
          <w:p w14:paraId="64A8AC6A" w14:textId="77777777" w:rsidR="008D6614" w:rsidRDefault="008D6614">
            <w:pPr>
              <w:rPr>
                <w:rFonts w:ascii="宋体"/>
                <w:vanish/>
              </w:rPr>
            </w:pPr>
          </w:p>
        </w:tc>
        <w:tc>
          <w:tcPr>
            <w:tcW w:w="0" w:type="auto"/>
            <w:gridSpan w:val="3"/>
            <w:shd w:val="clear" w:color="auto" w:fill="auto"/>
            <w:vAlign w:val="center"/>
          </w:tcPr>
          <w:p w14:paraId="64A8AC6B" w14:textId="77777777" w:rsidR="008D6614" w:rsidRDefault="008D6614">
            <w:pPr>
              <w:rPr>
                <w:rFonts w:ascii="宋体"/>
                <w:vanish/>
              </w:rPr>
            </w:pPr>
          </w:p>
        </w:tc>
        <w:tc>
          <w:tcPr>
            <w:tcW w:w="0" w:type="auto"/>
            <w:gridSpan w:val="3"/>
            <w:shd w:val="clear" w:color="auto" w:fill="auto"/>
            <w:vAlign w:val="center"/>
          </w:tcPr>
          <w:p w14:paraId="64A8AC6C" w14:textId="77777777" w:rsidR="008D6614" w:rsidRDefault="008D6614">
            <w:pPr>
              <w:rPr>
                <w:rFonts w:ascii="宋体"/>
                <w:vanish/>
              </w:rPr>
            </w:pPr>
          </w:p>
        </w:tc>
        <w:tc>
          <w:tcPr>
            <w:tcW w:w="0" w:type="auto"/>
            <w:gridSpan w:val="3"/>
            <w:shd w:val="clear" w:color="auto" w:fill="auto"/>
            <w:vAlign w:val="center"/>
          </w:tcPr>
          <w:p w14:paraId="64A8AC6D" w14:textId="77777777" w:rsidR="008D6614" w:rsidRDefault="008D6614">
            <w:pPr>
              <w:rPr>
                <w:rFonts w:ascii="宋体"/>
                <w:vanish/>
              </w:rPr>
            </w:pPr>
          </w:p>
        </w:tc>
        <w:tc>
          <w:tcPr>
            <w:tcW w:w="0" w:type="auto"/>
            <w:gridSpan w:val="3"/>
            <w:shd w:val="clear" w:color="auto" w:fill="auto"/>
            <w:vAlign w:val="center"/>
          </w:tcPr>
          <w:p w14:paraId="64A8AC6E" w14:textId="77777777" w:rsidR="008D6614" w:rsidRDefault="008D6614">
            <w:pPr>
              <w:rPr>
                <w:rFonts w:ascii="宋体"/>
                <w:vanish/>
              </w:rPr>
            </w:pPr>
          </w:p>
        </w:tc>
        <w:tc>
          <w:tcPr>
            <w:tcW w:w="0" w:type="auto"/>
            <w:gridSpan w:val="3"/>
            <w:shd w:val="clear" w:color="auto" w:fill="auto"/>
            <w:vAlign w:val="center"/>
          </w:tcPr>
          <w:p w14:paraId="64A8AC6F" w14:textId="77777777" w:rsidR="008D6614" w:rsidRDefault="008D6614">
            <w:pPr>
              <w:rPr>
                <w:rFonts w:ascii="宋体"/>
                <w:vanish/>
              </w:rPr>
            </w:pPr>
          </w:p>
        </w:tc>
        <w:tc>
          <w:tcPr>
            <w:tcW w:w="0" w:type="auto"/>
            <w:shd w:val="clear" w:color="auto" w:fill="auto"/>
            <w:vAlign w:val="center"/>
          </w:tcPr>
          <w:p w14:paraId="64A8AC70" w14:textId="77777777" w:rsidR="008D6614" w:rsidRDefault="008D6614">
            <w:pPr>
              <w:rPr>
                <w:rFonts w:ascii="宋体"/>
                <w:vanish/>
              </w:rPr>
            </w:pPr>
          </w:p>
        </w:tc>
        <w:tc>
          <w:tcPr>
            <w:tcW w:w="0" w:type="auto"/>
            <w:shd w:val="clear" w:color="auto" w:fill="auto"/>
            <w:vAlign w:val="center"/>
          </w:tcPr>
          <w:p w14:paraId="64A8AC71" w14:textId="77777777" w:rsidR="008D6614" w:rsidRDefault="008D6614">
            <w:pPr>
              <w:rPr>
                <w:rFonts w:ascii="宋体"/>
                <w:vanish/>
              </w:rPr>
            </w:pPr>
          </w:p>
        </w:tc>
        <w:tc>
          <w:tcPr>
            <w:tcW w:w="0" w:type="auto"/>
            <w:shd w:val="clear" w:color="auto" w:fill="auto"/>
            <w:vAlign w:val="center"/>
          </w:tcPr>
          <w:p w14:paraId="64A8AC72" w14:textId="77777777" w:rsidR="008D6614" w:rsidRDefault="008D6614">
            <w:pPr>
              <w:rPr>
                <w:rFonts w:ascii="宋体"/>
                <w:vanish/>
              </w:rPr>
            </w:pPr>
          </w:p>
        </w:tc>
        <w:tc>
          <w:tcPr>
            <w:tcW w:w="0" w:type="auto"/>
            <w:shd w:val="clear" w:color="auto" w:fill="auto"/>
            <w:vAlign w:val="center"/>
          </w:tcPr>
          <w:p w14:paraId="64A8AC73" w14:textId="77777777" w:rsidR="008D6614" w:rsidRDefault="008D6614">
            <w:pPr>
              <w:rPr>
                <w:rFonts w:ascii="宋体"/>
                <w:vanish/>
              </w:rPr>
            </w:pPr>
          </w:p>
        </w:tc>
        <w:tc>
          <w:tcPr>
            <w:tcW w:w="0" w:type="auto"/>
            <w:shd w:val="clear" w:color="auto" w:fill="auto"/>
            <w:vAlign w:val="center"/>
          </w:tcPr>
          <w:p w14:paraId="64A8AC74" w14:textId="77777777" w:rsidR="008D6614" w:rsidRDefault="008D6614">
            <w:pPr>
              <w:rPr>
                <w:rFonts w:ascii="宋体"/>
                <w:vanish/>
              </w:rPr>
            </w:pPr>
          </w:p>
        </w:tc>
        <w:tc>
          <w:tcPr>
            <w:tcW w:w="0" w:type="auto"/>
            <w:shd w:val="clear" w:color="auto" w:fill="auto"/>
            <w:vAlign w:val="center"/>
          </w:tcPr>
          <w:p w14:paraId="64A8AC75" w14:textId="77777777" w:rsidR="008D6614" w:rsidRDefault="008D6614">
            <w:pPr>
              <w:rPr>
                <w:rFonts w:ascii="宋体"/>
                <w:vanish/>
              </w:rPr>
            </w:pPr>
          </w:p>
        </w:tc>
        <w:tc>
          <w:tcPr>
            <w:tcW w:w="0" w:type="auto"/>
            <w:shd w:val="clear" w:color="auto" w:fill="auto"/>
            <w:vAlign w:val="center"/>
          </w:tcPr>
          <w:p w14:paraId="64A8AC76" w14:textId="77777777" w:rsidR="008D6614" w:rsidRDefault="008D6614">
            <w:pPr>
              <w:rPr>
                <w:rFonts w:ascii="宋体"/>
              </w:rPr>
            </w:pPr>
          </w:p>
        </w:tc>
        <w:tc>
          <w:tcPr>
            <w:tcW w:w="0" w:type="auto"/>
            <w:shd w:val="clear" w:color="auto" w:fill="auto"/>
            <w:vAlign w:val="center"/>
          </w:tcPr>
          <w:p w14:paraId="64A8AC77" w14:textId="77777777" w:rsidR="008D6614" w:rsidRDefault="008D6614">
            <w:pPr>
              <w:rPr>
                <w:rFonts w:ascii="宋体"/>
              </w:rPr>
            </w:pPr>
          </w:p>
        </w:tc>
        <w:tc>
          <w:tcPr>
            <w:tcW w:w="0" w:type="auto"/>
            <w:shd w:val="clear" w:color="auto" w:fill="auto"/>
            <w:vAlign w:val="center"/>
          </w:tcPr>
          <w:p w14:paraId="64A8AC78" w14:textId="77777777" w:rsidR="008D6614" w:rsidRDefault="008D6614">
            <w:pPr>
              <w:rPr>
                <w:rFonts w:ascii="宋体"/>
              </w:rPr>
            </w:pPr>
          </w:p>
        </w:tc>
        <w:tc>
          <w:tcPr>
            <w:tcW w:w="0" w:type="auto"/>
            <w:shd w:val="clear" w:color="auto" w:fill="auto"/>
            <w:vAlign w:val="center"/>
          </w:tcPr>
          <w:p w14:paraId="64A8AC79" w14:textId="77777777" w:rsidR="008D6614" w:rsidRDefault="008D6614">
            <w:pPr>
              <w:rPr>
                <w:rFonts w:ascii="宋体"/>
              </w:rPr>
            </w:pPr>
          </w:p>
        </w:tc>
        <w:tc>
          <w:tcPr>
            <w:tcW w:w="0" w:type="auto"/>
            <w:shd w:val="clear" w:color="auto" w:fill="auto"/>
            <w:vAlign w:val="center"/>
          </w:tcPr>
          <w:p w14:paraId="64A8AC7A" w14:textId="77777777" w:rsidR="008D6614" w:rsidRDefault="008D6614">
            <w:pPr>
              <w:rPr>
                <w:rFonts w:ascii="宋体"/>
              </w:rPr>
            </w:pPr>
          </w:p>
        </w:tc>
        <w:tc>
          <w:tcPr>
            <w:tcW w:w="0" w:type="auto"/>
            <w:shd w:val="clear" w:color="auto" w:fill="auto"/>
            <w:vAlign w:val="center"/>
          </w:tcPr>
          <w:p w14:paraId="64A8AC7B" w14:textId="77777777" w:rsidR="008D6614" w:rsidRDefault="008D6614">
            <w:pPr>
              <w:rPr>
                <w:rFonts w:ascii="宋体"/>
              </w:rPr>
            </w:pPr>
          </w:p>
        </w:tc>
      </w:tr>
      <w:tr w:rsidR="008D6614" w14:paraId="64A8AC92" w14:textId="77777777">
        <w:tc>
          <w:tcPr>
            <w:tcW w:w="0" w:type="auto"/>
            <w:gridSpan w:val="3"/>
            <w:shd w:val="clear" w:color="auto" w:fill="E2E2E2"/>
            <w:tcMar>
              <w:top w:w="40" w:type="dxa"/>
              <w:left w:w="135" w:type="dxa"/>
              <w:bottom w:w="40" w:type="dxa"/>
              <w:right w:w="20" w:type="dxa"/>
            </w:tcMar>
            <w:vAlign w:val="bottom"/>
          </w:tcPr>
          <w:p w14:paraId="64A8AC7D" w14:textId="77777777" w:rsidR="008D6614" w:rsidRDefault="00866AF2">
            <w:pPr>
              <w:textAlignment w:val="bottom"/>
            </w:pPr>
            <w:r>
              <w:rPr>
                <w:rFonts w:ascii="Arial" w:eastAsia="宋体" w:hAnsi="Arial" w:cs="Arial"/>
                <w:color w:val="000000"/>
                <w:sz w:val="16"/>
                <w:szCs w:val="16"/>
              </w:rPr>
              <w:t>Elimination of inter-segment net revenues</w:t>
            </w:r>
          </w:p>
        </w:tc>
        <w:tc>
          <w:tcPr>
            <w:tcW w:w="0" w:type="auto"/>
            <w:gridSpan w:val="2"/>
            <w:shd w:val="clear" w:color="auto" w:fill="E2E2E2"/>
            <w:tcMar>
              <w:top w:w="40" w:type="dxa"/>
              <w:left w:w="20" w:type="dxa"/>
              <w:bottom w:w="40" w:type="dxa"/>
              <w:right w:w="0" w:type="dxa"/>
            </w:tcMar>
            <w:vAlign w:val="bottom"/>
          </w:tcPr>
          <w:p w14:paraId="64A8AC7E" w14:textId="77777777" w:rsidR="008D6614" w:rsidRDefault="00866AF2">
            <w:pPr>
              <w:jc w:val="right"/>
              <w:textAlignment w:val="bottom"/>
            </w:pPr>
            <w:r>
              <w:rPr>
                <w:rFonts w:ascii="Arial" w:eastAsia="宋体" w:hAnsi="Arial" w:cs="Arial"/>
                <w:color w:val="000000"/>
                <w:sz w:val="16"/>
                <w:szCs w:val="16"/>
              </w:rPr>
              <w:t>(4)</w:t>
            </w:r>
          </w:p>
        </w:tc>
        <w:tc>
          <w:tcPr>
            <w:tcW w:w="0" w:type="auto"/>
            <w:shd w:val="clear" w:color="auto" w:fill="E2E2E2"/>
            <w:tcMar>
              <w:top w:w="40" w:type="dxa"/>
              <w:bottom w:w="40" w:type="dxa"/>
              <w:right w:w="20" w:type="dxa"/>
            </w:tcMar>
            <w:vAlign w:val="bottom"/>
          </w:tcPr>
          <w:p w14:paraId="64A8AC7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C8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C81" w14:textId="77777777" w:rsidR="008D6614" w:rsidRDefault="00866AF2">
            <w:pPr>
              <w:jc w:val="right"/>
              <w:textAlignment w:val="bottom"/>
            </w:pPr>
            <w:r>
              <w:rPr>
                <w:rFonts w:ascii="Arial" w:eastAsia="宋体" w:hAnsi="Arial" w:cs="Arial"/>
                <w:color w:val="000000"/>
                <w:sz w:val="16"/>
                <w:szCs w:val="16"/>
              </w:rPr>
              <w:t>(5)</w:t>
            </w:r>
          </w:p>
        </w:tc>
        <w:tc>
          <w:tcPr>
            <w:tcW w:w="0" w:type="auto"/>
            <w:shd w:val="clear" w:color="auto" w:fill="E2E2E2"/>
            <w:tcMar>
              <w:top w:w="40" w:type="dxa"/>
              <w:bottom w:w="40" w:type="dxa"/>
              <w:right w:w="20" w:type="dxa"/>
            </w:tcMar>
            <w:vAlign w:val="bottom"/>
          </w:tcPr>
          <w:p w14:paraId="64A8AC82"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C83"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C84" w14:textId="77777777" w:rsidR="008D6614" w:rsidRDefault="00866AF2">
            <w:pPr>
              <w:jc w:val="right"/>
              <w:textAlignment w:val="bottom"/>
            </w:pPr>
            <w:r>
              <w:rPr>
                <w:rFonts w:ascii="Arial" w:eastAsia="宋体" w:hAnsi="Arial" w:cs="Arial"/>
                <w:color w:val="000000"/>
                <w:sz w:val="16"/>
                <w:szCs w:val="16"/>
              </w:rPr>
              <w:t>(20)</w:t>
            </w:r>
          </w:p>
        </w:tc>
        <w:tc>
          <w:tcPr>
            <w:tcW w:w="0" w:type="auto"/>
            <w:shd w:val="clear" w:color="auto" w:fill="E2E2E2"/>
            <w:tcMar>
              <w:top w:w="40" w:type="dxa"/>
              <w:bottom w:w="40" w:type="dxa"/>
              <w:right w:w="20" w:type="dxa"/>
            </w:tcMar>
            <w:vAlign w:val="bottom"/>
          </w:tcPr>
          <w:p w14:paraId="64A8AC85"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C86" w14:textId="77777777" w:rsidR="008D6614" w:rsidRDefault="008D6614">
            <w:pPr>
              <w:rPr>
                <w:rFonts w:ascii="宋体"/>
                <w:vanish/>
              </w:rPr>
            </w:pPr>
          </w:p>
        </w:tc>
        <w:tc>
          <w:tcPr>
            <w:tcW w:w="0" w:type="auto"/>
            <w:shd w:val="clear" w:color="auto" w:fill="auto"/>
            <w:vAlign w:val="center"/>
          </w:tcPr>
          <w:p w14:paraId="64A8AC87" w14:textId="77777777" w:rsidR="008D6614" w:rsidRDefault="008D6614">
            <w:pPr>
              <w:rPr>
                <w:rFonts w:ascii="宋体"/>
                <w:vanish/>
              </w:rPr>
            </w:pPr>
          </w:p>
        </w:tc>
        <w:tc>
          <w:tcPr>
            <w:tcW w:w="0" w:type="auto"/>
            <w:shd w:val="clear" w:color="auto" w:fill="auto"/>
            <w:vAlign w:val="center"/>
          </w:tcPr>
          <w:p w14:paraId="64A8AC88" w14:textId="77777777" w:rsidR="008D6614" w:rsidRDefault="008D6614">
            <w:pPr>
              <w:rPr>
                <w:rFonts w:ascii="宋体"/>
                <w:vanish/>
              </w:rPr>
            </w:pPr>
          </w:p>
        </w:tc>
        <w:tc>
          <w:tcPr>
            <w:tcW w:w="0" w:type="auto"/>
            <w:shd w:val="clear" w:color="auto" w:fill="auto"/>
            <w:vAlign w:val="center"/>
          </w:tcPr>
          <w:p w14:paraId="64A8AC89" w14:textId="77777777" w:rsidR="008D6614" w:rsidRDefault="008D6614">
            <w:pPr>
              <w:rPr>
                <w:rFonts w:ascii="宋体"/>
                <w:vanish/>
              </w:rPr>
            </w:pPr>
          </w:p>
        </w:tc>
        <w:tc>
          <w:tcPr>
            <w:tcW w:w="0" w:type="auto"/>
            <w:shd w:val="clear" w:color="auto" w:fill="auto"/>
            <w:vAlign w:val="center"/>
          </w:tcPr>
          <w:p w14:paraId="64A8AC8A" w14:textId="77777777" w:rsidR="008D6614" w:rsidRDefault="008D6614">
            <w:pPr>
              <w:rPr>
                <w:rFonts w:ascii="宋体"/>
                <w:vanish/>
              </w:rPr>
            </w:pPr>
          </w:p>
        </w:tc>
        <w:tc>
          <w:tcPr>
            <w:tcW w:w="0" w:type="auto"/>
            <w:shd w:val="clear" w:color="auto" w:fill="auto"/>
            <w:vAlign w:val="center"/>
          </w:tcPr>
          <w:p w14:paraId="64A8AC8B" w14:textId="77777777" w:rsidR="008D6614" w:rsidRDefault="008D6614">
            <w:pPr>
              <w:rPr>
                <w:rFonts w:ascii="宋体"/>
                <w:vanish/>
              </w:rPr>
            </w:pPr>
          </w:p>
        </w:tc>
        <w:tc>
          <w:tcPr>
            <w:tcW w:w="0" w:type="auto"/>
            <w:shd w:val="clear" w:color="auto" w:fill="auto"/>
            <w:vAlign w:val="center"/>
          </w:tcPr>
          <w:p w14:paraId="64A8AC8C" w14:textId="77777777" w:rsidR="008D6614" w:rsidRDefault="008D6614">
            <w:pPr>
              <w:rPr>
                <w:rFonts w:ascii="宋体"/>
              </w:rPr>
            </w:pPr>
          </w:p>
        </w:tc>
        <w:tc>
          <w:tcPr>
            <w:tcW w:w="0" w:type="auto"/>
            <w:shd w:val="clear" w:color="auto" w:fill="auto"/>
            <w:vAlign w:val="center"/>
          </w:tcPr>
          <w:p w14:paraId="64A8AC8D" w14:textId="77777777" w:rsidR="008D6614" w:rsidRDefault="008D6614">
            <w:pPr>
              <w:rPr>
                <w:rFonts w:ascii="宋体"/>
              </w:rPr>
            </w:pPr>
          </w:p>
        </w:tc>
        <w:tc>
          <w:tcPr>
            <w:tcW w:w="0" w:type="auto"/>
            <w:shd w:val="clear" w:color="auto" w:fill="auto"/>
            <w:vAlign w:val="center"/>
          </w:tcPr>
          <w:p w14:paraId="64A8AC8E" w14:textId="77777777" w:rsidR="008D6614" w:rsidRDefault="008D6614">
            <w:pPr>
              <w:rPr>
                <w:rFonts w:ascii="宋体"/>
              </w:rPr>
            </w:pPr>
          </w:p>
        </w:tc>
        <w:tc>
          <w:tcPr>
            <w:tcW w:w="0" w:type="auto"/>
            <w:shd w:val="clear" w:color="auto" w:fill="auto"/>
            <w:vAlign w:val="center"/>
          </w:tcPr>
          <w:p w14:paraId="64A8AC8F" w14:textId="77777777" w:rsidR="008D6614" w:rsidRDefault="008D6614">
            <w:pPr>
              <w:rPr>
                <w:rFonts w:ascii="宋体"/>
              </w:rPr>
            </w:pPr>
          </w:p>
        </w:tc>
        <w:tc>
          <w:tcPr>
            <w:tcW w:w="0" w:type="auto"/>
            <w:shd w:val="clear" w:color="auto" w:fill="auto"/>
            <w:vAlign w:val="center"/>
          </w:tcPr>
          <w:p w14:paraId="64A8AC90" w14:textId="77777777" w:rsidR="008D6614" w:rsidRDefault="008D6614">
            <w:pPr>
              <w:rPr>
                <w:rFonts w:ascii="宋体"/>
              </w:rPr>
            </w:pPr>
          </w:p>
        </w:tc>
        <w:tc>
          <w:tcPr>
            <w:tcW w:w="0" w:type="auto"/>
            <w:shd w:val="clear" w:color="auto" w:fill="auto"/>
            <w:vAlign w:val="center"/>
          </w:tcPr>
          <w:p w14:paraId="64A8AC91" w14:textId="77777777" w:rsidR="008D6614" w:rsidRDefault="008D6614">
            <w:pPr>
              <w:rPr>
                <w:rFonts w:ascii="宋体"/>
              </w:rPr>
            </w:pPr>
          </w:p>
        </w:tc>
      </w:tr>
      <w:tr w:rsidR="008D6614" w14:paraId="64A8ACA8" w14:textId="77777777">
        <w:tc>
          <w:tcPr>
            <w:tcW w:w="0" w:type="auto"/>
            <w:gridSpan w:val="3"/>
            <w:shd w:val="clear" w:color="auto" w:fill="FFFFFF"/>
            <w:tcMar>
              <w:top w:w="40" w:type="dxa"/>
              <w:left w:w="225" w:type="dxa"/>
              <w:bottom w:w="40" w:type="dxa"/>
              <w:right w:w="20" w:type="dxa"/>
            </w:tcMar>
            <w:vAlign w:val="bottom"/>
          </w:tcPr>
          <w:p w14:paraId="64A8AC93" w14:textId="77777777" w:rsidR="008D6614" w:rsidRDefault="00866AF2">
            <w:pPr>
              <w:textAlignment w:val="bottom"/>
            </w:pPr>
            <w:r>
              <w:rPr>
                <w:rFonts w:ascii="Arial" w:eastAsia="宋体" w:hAnsi="Arial" w:cs="Arial"/>
                <w:color w:val="000000"/>
                <w:sz w:val="16"/>
                <w:szCs w:val="16"/>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C94" w14:textId="77777777" w:rsidR="008D6614" w:rsidRDefault="00866AF2">
            <w:pPr>
              <w:jc w:val="right"/>
              <w:textAlignment w:val="bottom"/>
            </w:pPr>
            <w:r>
              <w:rPr>
                <w:rFonts w:ascii="Arial" w:eastAsia="宋体" w:hAnsi="Arial" w:cs="Arial"/>
                <w:color w:val="000000"/>
                <w:sz w:val="16"/>
                <w:szCs w:val="16"/>
              </w:rPr>
              <w:t>474 </w:t>
            </w:r>
          </w:p>
        </w:tc>
        <w:tc>
          <w:tcPr>
            <w:tcW w:w="0" w:type="auto"/>
            <w:tcBorders>
              <w:top w:val="single" w:sz="8" w:space="0" w:color="000000"/>
            </w:tcBorders>
            <w:shd w:val="clear" w:color="auto" w:fill="FFFFFF"/>
            <w:tcMar>
              <w:top w:w="40" w:type="dxa"/>
              <w:bottom w:w="40" w:type="dxa"/>
              <w:right w:w="20" w:type="dxa"/>
            </w:tcMar>
            <w:vAlign w:val="bottom"/>
          </w:tcPr>
          <w:p w14:paraId="64A8AC9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C96" w14:textId="77777777" w:rsidR="008D6614" w:rsidRDefault="008D661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A8AC97" w14:textId="77777777" w:rsidR="008D6614" w:rsidRDefault="00866AF2">
            <w:pPr>
              <w:jc w:val="right"/>
              <w:textAlignment w:val="bottom"/>
            </w:pPr>
            <w:r>
              <w:rPr>
                <w:rFonts w:ascii="Arial" w:eastAsia="宋体" w:hAnsi="Arial" w:cs="Arial"/>
                <w:color w:val="000000"/>
                <w:sz w:val="16"/>
                <w:szCs w:val="16"/>
              </w:rPr>
              <w:t>528 </w:t>
            </w:r>
          </w:p>
        </w:tc>
        <w:tc>
          <w:tcPr>
            <w:tcW w:w="0" w:type="auto"/>
            <w:tcBorders>
              <w:top w:val="single" w:sz="8" w:space="0" w:color="000000"/>
            </w:tcBorders>
            <w:shd w:val="clear" w:color="auto" w:fill="FFFFFF"/>
            <w:tcMar>
              <w:top w:w="40" w:type="dxa"/>
              <w:bottom w:w="40" w:type="dxa"/>
              <w:right w:w="20" w:type="dxa"/>
            </w:tcMar>
            <w:vAlign w:val="bottom"/>
          </w:tcPr>
          <w:p w14:paraId="64A8AC9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C9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C9A" w14:textId="77777777" w:rsidR="008D6614" w:rsidRDefault="00866AF2">
            <w:pPr>
              <w:jc w:val="right"/>
              <w:textAlignment w:val="bottom"/>
            </w:pPr>
            <w:r>
              <w:rPr>
                <w:rFonts w:ascii="Arial" w:eastAsia="宋体" w:hAnsi="Arial" w:cs="Arial"/>
                <w:color w:val="000000"/>
                <w:sz w:val="16"/>
                <w:szCs w:val="16"/>
              </w:rPr>
              <w:t>(10)</w:t>
            </w:r>
          </w:p>
        </w:tc>
        <w:tc>
          <w:tcPr>
            <w:tcW w:w="0" w:type="auto"/>
            <w:shd w:val="clear" w:color="auto" w:fill="FFFFFF"/>
            <w:tcMar>
              <w:top w:w="40" w:type="dxa"/>
              <w:bottom w:w="40" w:type="dxa"/>
              <w:right w:w="20" w:type="dxa"/>
            </w:tcMar>
            <w:vAlign w:val="bottom"/>
          </w:tcPr>
          <w:p w14:paraId="64A8AC9B"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C9C" w14:textId="77777777" w:rsidR="008D6614" w:rsidRDefault="008D6614">
            <w:pPr>
              <w:rPr>
                <w:rFonts w:ascii="宋体"/>
                <w:vanish/>
              </w:rPr>
            </w:pPr>
          </w:p>
        </w:tc>
        <w:tc>
          <w:tcPr>
            <w:tcW w:w="0" w:type="auto"/>
            <w:shd w:val="clear" w:color="auto" w:fill="auto"/>
            <w:vAlign w:val="center"/>
          </w:tcPr>
          <w:p w14:paraId="64A8AC9D" w14:textId="77777777" w:rsidR="008D6614" w:rsidRDefault="008D6614">
            <w:pPr>
              <w:rPr>
                <w:rFonts w:ascii="宋体"/>
                <w:vanish/>
              </w:rPr>
            </w:pPr>
          </w:p>
        </w:tc>
        <w:tc>
          <w:tcPr>
            <w:tcW w:w="0" w:type="auto"/>
            <w:shd w:val="clear" w:color="auto" w:fill="auto"/>
            <w:vAlign w:val="center"/>
          </w:tcPr>
          <w:p w14:paraId="64A8AC9E" w14:textId="77777777" w:rsidR="008D6614" w:rsidRDefault="008D6614">
            <w:pPr>
              <w:rPr>
                <w:rFonts w:ascii="宋体"/>
                <w:vanish/>
              </w:rPr>
            </w:pPr>
          </w:p>
        </w:tc>
        <w:tc>
          <w:tcPr>
            <w:tcW w:w="0" w:type="auto"/>
            <w:shd w:val="clear" w:color="auto" w:fill="auto"/>
            <w:vAlign w:val="center"/>
          </w:tcPr>
          <w:p w14:paraId="64A8AC9F" w14:textId="77777777" w:rsidR="008D6614" w:rsidRDefault="008D6614">
            <w:pPr>
              <w:rPr>
                <w:rFonts w:ascii="宋体"/>
                <w:vanish/>
              </w:rPr>
            </w:pPr>
          </w:p>
        </w:tc>
        <w:tc>
          <w:tcPr>
            <w:tcW w:w="0" w:type="auto"/>
            <w:shd w:val="clear" w:color="auto" w:fill="auto"/>
            <w:vAlign w:val="center"/>
          </w:tcPr>
          <w:p w14:paraId="64A8ACA0" w14:textId="77777777" w:rsidR="008D6614" w:rsidRDefault="008D6614">
            <w:pPr>
              <w:rPr>
                <w:rFonts w:ascii="宋体"/>
                <w:vanish/>
              </w:rPr>
            </w:pPr>
          </w:p>
        </w:tc>
        <w:tc>
          <w:tcPr>
            <w:tcW w:w="0" w:type="auto"/>
            <w:shd w:val="clear" w:color="auto" w:fill="auto"/>
            <w:vAlign w:val="center"/>
          </w:tcPr>
          <w:p w14:paraId="64A8ACA1" w14:textId="77777777" w:rsidR="008D6614" w:rsidRDefault="008D6614">
            <w:pPr>
              <w:rPr>
                <w:rFonts w:ascii="宋体"/>
                <w:vanish/>
              </w:rPr>
            </w:pPr>
          </w:p>
        </w:tc>
        <w:tc>
          <w:tcPr>
            <w:tcW w:w="0" w:type="auto"/>
            <w:shd w:val="clear" w:color="auto" w:fill="auto"/>
            <w:vAlign w:val="center"/>
          </w:tcPr>
          <w:p w14:paraId="64A8ACA2" w14:textId="77777777" w:rsidR="008D6614" w:rsidRDefault="008D6614">
            <w:pPr>
              <w:rPr>
                <w:rFonts w:ascii="宋体"/>
              </w:rPr>
            </w:pPr>
          </w:p>
        </w:tc>
        <w:tc>
          <w:tcPr>
            <w:tcW w:w="0" w:type="auto"/>
            <w:shd w:val="clear" w:color="auto" w:fill="auto"/>
            <w:vAlign w:val="center"/>
          </w:tcPr>
          <w:p w14:paraId="64A8ACA3" w14:textId="77777777" w:rsidR="008D6614" w:rsidRDefault="008D6614">
            <w:pPr>
              <w:rPr>
                <w:rFonts w:ascii="宋体"/>
              </w:rPr>
            </w:pPr>
          </w:p>
        </w:tc>
        <w:tc>
          <w:tcPr>
            <w:tcW w:w="0" w:type="auto"/>
            <w:shd w:val="clear" w:color="auto" w:fill="auto"/>
            <w:vAlign w:val="center"/>
          </w:tcPr>
          <w:p w14:paraId="64A8ACA4" w14:textId="77777777" w:rsidR="008D6614" w:rsidRDefault="008D6614">
            <w:pPr>
              <w:rPr>
                <w:rFonts w:ascii="宋体"/>
              </w:rPr>
            </w:pPr>
          </w:p>
        </w:tc>
        <w:tc>
          <w:tcPr>
            <w:tcW w:w="0" w:type="auto"/>
            <w:shd w:val="clear" w:color="auto" w:fill="auto"/>
            <w:vAlign w:val="center"/>
          </w:tcPr>
          <w:p w14:paraId="64A8ACA5" w14:textId="77777777" w:rsidR="008D6614" w:rsidRDefault="008D6614">
            <w:pPr>
              <w:rPr>
                <w:rFonts w:ascii="宋体"/>
              </w:rPr>
            </w:pPr>
          </w:p>
        </w:tc>
        <w:tc>
          <w:tcPr>
            <w:tcW w:w="0" w:type="auto"/>
            <w:shd w:val="clear" w:color="auto" w:fill="auto"/>
            <w:vAlign w:val="center"/>
          </w:tcPr>
          <w:p w14:paraId="64A8ACA6" w14:textId="77777777" w:rsidR="008D6614" w:rsidRDefault="008D6614">
            <w:pPr>
              <w:rPr>
                <w:rFonts w:ascii="宋体"/>
              </w:rPr>
            </w:pPr>
          </w:p>
        </w:tc>
        <w:tc>
          <w:tcPr>
            <w:tcW w:w="0" w:type="auto"/>
            <w:shd w:val="clear" w:color="auto" w:fill="auto"/>
            <w:vAlign w:val="center"/>
          </w:tcPr>
          <w:p w14:paraId="64A8ACA7" w14:textId="77777777" w:rsidR="008D6614" w:rsidRDefault="008D6614">
            <w:pPr>
              <w:rPr>
                <w:rFonts w:ascii="宋体"/>
              </w:rPr>
            </w:pPr>
          </w:p>
        </w:tc>
      </w:tr>
      <w:tr w:rsidR="008D6614" w14:paraId="64A8ACC0" w14:textId="77777777">
        <w:tc>
          <w:tcPr>
            <w:tcW w:w="0" w:type="auto"/>
            <w:gridSpan w:val="3"/>
            <w:shd w:val="clear" w:color="auto" w:fill="E2E2E2"/>
            <w:tcMar>
              <w:top w:w="40" w:type="dxa"/>
              <w:left w:w="360" w:type="dxa"/>
              <w:bottom w:w="40" w:type="dxa"/>
              <w:right w:w="20" w:type="dxa"/>
            </w:tcMar>
            <w:vAlign w:val="bottom"/>
          </w:tcPr>
          <w:p w14:paraId="64A8ACA9" w14:textId="77777777" w:rsidR="008D6614" w:rsidRDefault="00866AF2">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CAA"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CAB" w14:textId="77777777" w:rsidR="008D6614" w:rsidRDefault="00866AF2">
            <w:pPr>
              <w:jc w:val="right"/>
              <w:textAlignment w:val="bottom"/>
            </w:pPr>
            <w:r>
              <w:rPr>
                <w:rFonts w:ascii="Arial" w:eastAsia="宋体" w:hAnsi="Arial" w:cs="Arial"/>
                <w:color w:val="000000"/>
                <w:sz w:val="16"/>
                <w:szCs w:val="16"/>
              </w:rPr>
              <w:t>2,374 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CAC"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CAD"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ACAE"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ACAF" w14:textId="77777777" w:rsidR="008D6614" w:rsidRDefault="00866AF2">
            <w:pPr>
              <w:jc w:val="right"/>
              <w:textAlignment w:val="bottom"/>
            </w:pPr>
            <w:r>
              <w:rPr>
                <w:rFonts w:ascii="Arial" w:eastAsia="宋体" w:hAnsi="Arial" w:cs="Arial"/>
                <w:color w:val="000000"/>
                <w:sz w:val="16"/>
                <w:szCs w:val="16"/>
              </w:rPr>
              <w:t>2,413 </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ACB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CB1"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CB2" w14:textId="77777777" w:rsidR="008D6614" w:rsidRDefault="00866AF2">
            <w:pPr>
              <w:jc w:val="right"/>
              <w:textAlignment w:val="bottom"/>
            </w:pPr>
            <w:r>
              <w:rPr>
                <w:rFonts w:ascii="Arial" w:eastAsia="宋体" w:hAnsi="Arial" w:cs="Arial"/>
                <w:color w:val="000000"/>
                <w:sz w:val="16"/>
                <w:szCs w:val="16"/>
              </w:rPr>
              <w:t>(2)</w:t>
            </w:r>
          </w:p>
        </w:tc>
        <w:tc>
          <w:tcPr>
            <w:tcW w:w="0" w:type="auto"/>
            <w:shd w:val="clear" w:color="auto" w:fill="E2E2E2"/>
            <w:tcMar>
              <w:top w:w="40" w:type="dxa"/>
              <w:bottom w:w="40" w:type="dxa"/>
              <w:right w:w="20" w:type="dxa"/>
            </w:tcMar>
            <w:vAlign w:val="bottom"/>
          </w:tcPr>
          <w:p w14:paraId="64A8ACB3"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CB4" w14:textId="77777777" w:rsidR="008D6614" w:rsidRDefault="008D6614">
            <w:pPr>
              <w:rPr>
                <w:rFonts w:ascii="宋体"/>
                <w:vanish/>
              </w:rPr>
            </w:pPr>
          </w:p>
        </w:tc>
        <w:tc>
          <w:tcPr>
            <w:tcW w:w="0" w:type="auto"/>
            <w:shd w:val="clear" w:color="auto" w:fill="auto"/>
            <w:vAlign w:val="center"/>
          </w:tcPr>
          <w:p w14:paraId="64A8ACB5" w14:textId="77777777" w:rsidR="008D6614" w:rsidRDefault="008D6614">
            <w:pPr>
              <w:rPr>
                <w:rFonts w:ascii="宋体"/>
                <w:vanish/>
              </w:rPr>
            </w:pPr>
          </w:p>
        </w:tc>
        <w:tc>
          <w:tcPr>
            <w:tcW w:w="0" w:type="auto"/>
            <w:shd w:val="clear" w:color="auto" w:fill="auto"/>
            <w:vAlign w:val="center"/>
          </w:tcPr>
          <w:p w14:paraId="64A8ACB6" w14:textId="77777777" w:rsidR="008D6614" w:rsidRDefault="008D6614">
            <w:pPr>
              <w:rPr>
                <w:rFonts w:ascii="宋体"/>
                <w:vanish/>
              </w:rPr>
            </w:pPr>
          </w:p>
        </w:tc>
        <w:tc>
          <w:tcPr>
            <w:tcW w:w="0" w:type="auto"/>
            <w:shd w:val="clear" w:color="auto" w:fill="auto"/>
            <w:vAlign w:val="center"/>
          </w:tcPr>
          <w:p w14:paraId="64A8ACB7" w14:textId="77777777" w:rsidR="008D6614" w:rsidRDefault="008D6614">
            <w:pPr>
              <w:rPr>
                <w:rFonts w:ascii="宋体"/>
                <w:vanish/>
              </w:rPr>
            </w:pPr>
          </w:p>
        </w:tc>
        <w:tc>
          <w:tcPr>
            <w:tcW w:w="0" w:type="auto"/>
            <w:shd w:val="clear" w:color="auto" w:fill="auto"/>
            <w:vAlign w:val="center"/>
          </w:tcPr>
          <w:p w14:paraId="64A8ACB8" w14:textId="77777777" w:rsidR="008D6614" w:rsidRDefault="008D6614">
            <w:pPr>
              <w:rPr>
                <w:rFonts w:ascii="宋体"/>
                <w:vanish/>
              </w:rPr>
            </w:pPr>
          </w:p>
        </w:tc>
        <w:tc>
          <w:tcPr>
            <w:tcW w:w="0" w:type="auto"/>
            <w:shd w:val="clear" w:color="auto" w:fill="auto"/>
            <w:vAlign w:val="center"/>
          </w:tcPr>
          <w:p w14:paraId="64A8ACB9" w14:textId="77777777" w:rsidR="008D6614" w:rsidRDefault="008D6614">
            <w:pPr>
              <w:rPr>
                <w:rFonts w:ascii="宋体"/>
                <w:vanish/>
              </w:rPr>
            </w:pPr>
          </w:p>
        </w:tc>
        <w:tc>
          <w:tcPr>
            <w:tcW w:w="0" w:type="auto"/>
            <w:shd w:val="clear" w:color="auto" w:fill="auto"/>
            <w:vAlign w:val="center"/>
          </w:tcPr>
          <w:p w14:paraId="64A8ACBA" w14:textId="77777777" w:rsidR="008D6614" w:rsidRDefault="008D6614">
            <w:pPr>
              <w:rPr>
                <w:rFonts w:ascii="宋体"/>
              </w:rPr>
            </w:pPr>
          </w:p>
        </w:tc>
        <w:tc>
          <w:tcPr>
            <w:tcW w:w="0" w:type="auto"/>
            <w:shd w:val="clear" w:color="auto" w:fill="auto"/>
            <w:vAlign w:val="center"/>
          </w:tcPr>
          <w:p w14:paraId="64A8ACBB" w14:textId="77777777" w:rsidR="008D6614" w:rsidRDefault="008D6614">
            <w:pPr>
              <w:rPr>
                <w:rFonts w:ascii="宋体"/>
              </w:rPr>
            </w:pPr>
          </w:p>
        </w:tc>
        <w:tc>
          <w:tcPr>
            <w:tcW w:w="0" w:type="auto"/>
            <w:shd w:val="clear" w:color="auto" w:fill="auto"/>
            <w:vAlign w:val="center"/>
          </w:tcPr>
          <w:p w14:paraId="64A8ACBC" w14:textId="77777777" w:rsidR="008D6614" w:rsidRDefault="008D6614">
            <w:pPr>
              <w:rPr>
                <w:rFonts w:ascii="宋体"/>
              </w:rPr>
            </w:pPr>
          </w:p>
        </w:tc>
        <w:tc>
          <w:tcPr>
            <w:tcW w:w="0" w:type="auto"/>
            <w:shd w:val="clear" w:color="auto" w:fill="auto"/>
            <w:vAlign w:val="center"/>
          </w:tcPr>
          <w:p w14:paraId="64A8ACBD" w14:textId="77777777" w:rsidR="008D6614" w:rsidRDefault="008D6614">
            <w:pPr>
              <w:rPr>
                <w:rFonts w:ascii="宋体"/>
              </w:rPr>
            </w:pPr>
          </w:p>
        </w:tc>
        <w:tc>
          <w:tcPr>
            <w:tcW w:w="0" w:type="auto"/>
            <w:shd w:val="clear" w:color="auto" w:fill="auto"/>
            <w:vAlign w:val="center"/>
          </w:tcPr>
          <w:p w14:paraId="64A8ACBE" w14:textId="77777777" w:rsidR="008D6614" w:rsidRDefault="008D6614">
            <w:pPr>
              <w:rPr>
                <w:rFonts w:ascii="宋体"/>
              </w:rPr>
            </w:pPr>
          </w:p>
        </w:tc>
        <w:tc>
          <w:tcPr>
            <w:tcW w:w="0" w:type="auto"/>
            <w:shd w:val="clear" w:color="auto" w:fill="auto"/>
            <w:vAlign w:val="center"/>
          </w:tcPr>
          <w:p w14:paraId="64A8ACBF" w14:textId="77777777" w:rsidR="008D6614" w:rsidRDefault="008D6614">
            <w:pPr>
              <w:rPr>
                <w:rFonts w:ascii="宋体"/>
              </w:rPr>
            </w:pPr>
          </w:p>
        </w:tc>
      </w:tr>
    </w:tbl>
    <w:p w14:paraId="64A8ACC1" w14:textId="77777777" w:rsidR="008D6614" w:rsidRDefault="008D6614">
      <w:pPr>
        <w:jc w:val="both"/>
      </w:pPr>
    </w:p>
    <w:p w14:paraId="64A8ACC2" w14:textId="77777777" w:rsidR="008D6614" w:rsidRDefault="00866AF2">
      <w:pPr>
        <w:ind w:firstLine="270"/>
        <w:jc w:val="both"/>
      </w:pPr>
      <w:r>
        <w:rPr>
          <w:rFonts w:ascii="Arial" w:eastAsia="宋体" w:hAnsi="Arial" w:cs="Arial"/>
          <w:b/>
          <w:bCs/>
          <w:i/>
          <w:iCs/>
          <w:color w:val="000000"/>
          <w:sz w:val="20"/>
          <w:szCs w:val="20"/>
        </w:rPr>
        <w:t>Net Transaction Revenues</w:t>
      </w:r>
    </w:p>
    <w:p w14:paraId="64A8ACC3" w14:textId="77777777" w:rsidR="008D6614" w:rsidRDefault="008D6614">
      <w:pPr>
        <w:ind w:firstLine="540"/>
        <w:jc w:val="both"/>
      </w:pPr>
    </w:p>
    <w:p w14:paraId="64A8ACC4" w14:textId="77777777" w:rsidR="008D6614" w:rsidRDefault="00866AF2">
      <w:pPr>
        <w:ind w:firstLine="270"/>
        <w:jc w:val="both"/>
      </w:pPr>
      <w:r>
        <w:rPr>
          <w:rFonts w:ascii="Arial" w:eastAsia="宋体" w:hAnsi="Arial" w:cs="Arial"/>
          <w:i/>
          <w:iCs/>
          <w:color w:val="000000"/>
          <w:sz w:val="20"/>
          <w:szCs w:val="20"/>
        </w:rPr>
        <w:t>Key Operating Metrics</w:t>
      </w:r>
    </w:p>
    <w:p w14:paraId="64A8ACC5" w14:textId="77777777" w:rsidR="008D6614" w:rsidRDefault="008D6614">
      <w:pPr>
        <w:ind w:firstLine="540"/>
        <w:jc w:val="both"/>
      </w:pPr>
    </w:p>
    <w:p w14:paraId="64A8ACC6" w14:textId="77777777" w:rsidR="008D6614" w:rsidRDefault="00866AF2">
      <w:pPr>
        <w:ind w:firstLine="540"/>
        <w:jc w:val="both"/>
      </w:pPr>
      <w:r>
        <w:rPr>
          <w:rFonts w:ascii="Arial" w:eastAsia="宋体" w:hAnsi="Arial" w:cs="Arial"/>
          <w:color w:val="000000"/>
          <w:sz w:val="20"/>
          <w:szCs w:val="20"/>
        </w:rPr>
        <w:t>Gross Merchandise Volume (“GMV”) and take rate are significant factors that we believe affect our net transaction revenues.</w:t>
      </w:r>
    </w:p>
    <w:p w14:paraId="64A8ACC7" w14:textId="77777777" w:rsidR="008D6614" w:rsidRDefault="008D6614"/>
    <w:p w14:paraId="64A8ACC8" w14:textId="77777777" w:rsidR="008D6614" w:rsidRDefault="00866AF2">
      <w:pPr>
        <w:jc w:val="both"/>
      </w:pPr>
      <w:r>
        <w:rPr>
          <w:rFonts w:ascii="Arial" w:eastAsia="宋体" w:hAnsi="Arial" w:cs="Arial"/>
          <w:b/>
          <w:bCs/>
          <w:color w:val="000000"/>
          <w:sz w:val="20"/>
          <w:szCs w:val="20"/>
        </w:rPr>
        <w:t>GMV</w:t>
      </w:r>
      <w:r>
        <w:rPr>
          <w:rFonts w:ascii="Arial" w:eastAsia="宋体" w:hAnsi="Arial" w:cs="Arial"/>
          <w:color w:val="000000"/>
          <w:sz w:val="20"/>
          <w:szCs w:val="20"/>
        </w:rPr>
        <w:t xml:space="preserve"> consists of the total value of all successfully closed transactions between users on our Marketplace platform during the applicable period, regardless of whether the buyer and seller actually consummated the transaction. Despite GMV’s divergence from reve</w:t>
      </w:r>
      <w:r>
        <w:rPr>
          <w:rFonts w:ascii="Arial" w:eastAsia="宋体" w:hAnsi="Arial" w:cs="Arial"/>
          <w:color w:val="000000"/>
          <w:sz w:val="20"/>
          <w:szCs w:val="20"/>
        </w:rPr>
        <w:t>nue, we still believe that GMV provides a useful measure of the overall volume of closed transactions that flow through our Marketplace platform in a given period, notwithstanding the inclusion in GMV of closed transactions that are not ultimately consumma</w:t>
      </w:r>
      <w:r>
        <w:rPr>
          <w:rFonts w:ascii="Arial" w:eastAsia="宋体" w:hAnsi="Arial" w:cs="Arial"/>
          <w:color w:val="000000"/>
          <w:sz w:val="20"/>
          <w:szCs w:val="20"/>
        </w:rPr>
        <w:t>ted.</w:t>
      </w:r>
    </w:p>
    <w:p w14:paraId="64A8ACC9" w14:textId="77777777" w:rsidR="008D6614" w:rsidRDefault="008D6614">
      <w:pPr>
        <w:ind w:hanging="540"/>
        <w:jc w:val="both"/>
      </w:pPr>
    </w:p>
    <w:p w14:paraId="64A8ACCA" w14:textId="77777777" w:rsidR="008D6614" w:rsidRDefault="00866AF2">
      <w:pPr>
        <w:jc w:val="both"/>
      </w:pPr>
      <w:r>
        <w:rPr>
          <w:rFonts w:ascii="Arial" w:eastAsia="宋体" w:hAnsi="Arial" w:cs="Arial"/>
          <w:b/>
          <w:bCs/>
          <w:color w:val="000000"/>
          <w:sz w:val="20"/>
          <w:szCs w:val="20"/>
        </w:rPr>
        <w:t>Take rate</w:t>
      </w:r>
      <w:r>
        <w:rPr>
          <w:rFonts w:ascii="Arial" w:eastAsia="宋体" w:hAnsi="Arial" w:cs="Arial"/>
          <w:color w:val="000000"/>
          <w:sz w:val="20"/>
          <w:szCs w:val="20"/>
        </w:rPr>
        <w:t xml:space="preserve"> is defined as net transaction revenues divided by GMV.</w:t>
      </w:r>
    </w:p>
    <w:p w14:paraId="64A8ACCB" w14:textId="77777777" w:rsidR="008D6614" w:rsidRDefault="008D6614">
      <w:pPr>
        <w:jc w:val="both"/>
      </w:pPr>
    </w:p>
    <w:p w14:paraId="64A8ACCC" w14:textId="77777777" w:rsidR="008D6614" w:rsidRDefault="00866AF2">
      <w:pPr>
        <w:spacing w:after="160"/>
        <w:ind w:firstLine="270"/>
        <w:jc w:val="both"/>
      </w:pPr>
      <w:r>
        <w:rPr>
          <w:rFonts w:ascii="Arial" w:eastAsia="宋体" w:hAnsi="Arial" w:cs="Arial"/>
          <w:i/>
          <w:iCs/>
          <w:color w:val="000000"/>
          <w:sz w:val="20"/>
          <w:szCs w:val="20"/>
        </w:rPr>
        <w:t>Marketplace Net Transaction Revenues</w:t>
      </w:r>
    </w:p>
    <w:tbl>
      <w:tblPr>
        <w:tblW w:w="5000" w:type="pct"/>
        <w:tblCellMar>
          <w:top w:w="15" w:type="dxa"/>
          <w:left w:w="15" w:type="dxa"/>
          <w:bottom w:w="15" w:type="dxa"/>
          <w:right w:w="15" w:type="dxa"/>
        </w:tblCellMar>
        <w:tblLook w:val="04A0" w:firstRow="1" w:lastRow="0" w:firstColumn="1" w:lastColumn="0" w:noHBand="0" w:noVBand="1"/>
      </w:tblPr>
      <w:tblGrid>
        <w:gridCol w:w="38"/>
        <w:gridCol w:w="3095"/>
        <w:gridCol w:w="37"/>
        <w:gridCol w:w="124"/>
        <w:gridCol w:w="667"/>
        <w:gridCol w:w="178"/>
        <w:gridCol w:w="36"/>
        <w:gridCol w:w="36"/>
        <w:gridCol w:w="36"/>
        <w:gridCol w:w="124"/>
        <w:gridCol w:w="635"/>
        <w:gridCol w:w="178"/>
        <w:gridCol w:w="36"/>
        <w:gridCol w:w="36"/>
        <w:gridCol w:w="36"/>
        <w:gridCol w:w="52"/>
        <w:gridCol w:w="596"/>
        <w:gridCol w:w="178"/>
        <w:gridCol w:w="36"/>
        <w:gridCol w:w="36"/>
        <w:gridCol w:w="36"/>
        <w:gridCol w:w="59"/>
        <w:gridCol w:w="631"/>
        <w:gridCol w:w="178"/>
        <w:gridCol w:w="243"/>
        <w:gridCol w:w="24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D6614" w14:paraId="64A8ACED" w14:textId="77777777">
        <w:trPr>
          <w:gridAfter w:val="15"/>
        </w:trPr>
        <w:tc>
          <w:tcPr>
            <w:tcW w:w="50" w:type="pct"/>
            <w:shd w:val="clear" w:color="auto" w:fill="auto"/>
            <w:vAlign w:val="center"/>
          </w:tcPr>
          <w:p w14:paraId="64A8ACCD" w14:textId="77777777" w:rsidR="008D6614" w:rsidRDefault="008D6614">
            <w:pPr>
              <w:rPr>
                <w:rFonts w:ascii="宋体"/>
              </w:rPr>
            </w:pPr>
          </w:p>
        </w:tc>
        <w:tc>
          <w:tcPr>
            <w:tcW w:w="2246" w:type="pct"/>
            <w:shd w:val="clear" w:color="auto" w:fill="auto"/>
            <w:vAlign w:val="center"/>
          </w:tcPr>
          <w:p w14:paraId="64A8ACCE" w14:textId="77777777" w:rsidR="008D6614" w:rsidRDefault="008D6614">
            <w:pPr>
              <w:rPr>
                <w:rFonts w:ascii="宋体"/>
              </w:rPr>
            </w:pPr>
          </w:p>
        </w:tc>
        <w:tc>
          <w:tcPr>
            <w:tcW w:w="50" w:type="pct"/>
            <w:shd w:val="clear" w:color="auto" w:fill="auto"/>
            <w:vAlign w:val="center"/>
          </w:tcPr>
          <w:p w14:paraId="64A8ACCF" w14:textId="77777777" w:rsidR="008D6614" w:rsidRDefault="008D6614">
            <w:pPr>
              <w:rPr>
                <w:rFonts w:ascii="宋体"/>
              </w:rPr>
            </w:pPr>
          </w:p>
        </w:tc>
        <w:tc>
          <w:tcPr>
            <w:tcW w:w="50" w:type="pct"/>
            <w:shd w:val="clear" w:color="auto" w:fill="auto"/>
            <w:vAlign w:val="center"/>
          </w:tcPr>
          <w:p w14:paraId="64A8ACD0" w14:textId="77777777" w:rsidR="008D6614" w:rsidRDefault="008D6614">
            <w:pPr>
              <w:rPr>
                <w:rFonts w:ascii="宋体"/>
              </w:rPr>
            </w:pPr>
          </w:p>
        </w:tc>
        <w:tc>
          <w:tcPr>
            <w:tcW w:w="535" w:type="pct"/>
            <w:shd w:val="clear" w:color="auto" w:fill="auto"/>
            <w:vAlign w:val="center"/>
          </w:tcPr>
          <w:p w14:paraId="64A8ACD1" w14:textId="77777777" w:rsidR="008D6614" w:rsidRDefault="008D6614">
            <w:pPr>
              <w:rPr>
                <w:rFonts w:ascii="宋体"/>
              </w:rPr>
            </w:pPr>
          </w:p>
        </w:tc>
        <w:tc>
          <w:tcPr>
            <w:tcW w:w="50" w:type="pct"/>
            <w:shd w:val="clear" w:color="auto" w:fill="auto"/>
            <w:vAlign w:val="center"/>
          </w:tcPr>
          <w:p w14:paraId="64A8ACD2" w14:textId="77777777" w:rsidR="008D6614" w:rsidRDefault="008D6614">
            <w:pPr>
              <w:rPr>
                <w:rFonts w:ascii="宋体"/>
              </w:rPr>
            </w:pPr>
          </w:p>
        </w:tc>
        <w:tc>
          <w:tcPr>
            <w:tcW w:w="5" w:type="pct"/>
            <w:shd w:val="clear" w:color="auto" w:fill="auto"/>
            <w:vAlign w:val="center"/>
          </w:tcPr>
          <w:p w14:paraId="64A8ACD3" w14:textId="77777777" w:rsidR="008D6614" w:rsidRDefault="008D6614">
            <w:pPr>
              <w:rPr>
                <w:rFonts w:ascii="宋体"/>
              </w:rPr>
            </w:pPr>
          </w:p>
        </w:tc>
        <w:tc>
          <w:tcPr>
            <w:tcW w:w="26" w:type="pct"/>
            <w:shd w:val="clear" w:color="auto" w:fill="auto"/>
            <w:vAlign w:val="center"/>
          </w:tcPr>
          <w:p w14:paraId="64A8ACD4" w14:textId="77777777" w:rsidR="008D6614" w:rsidRDefault="008D6614">
            <w:pPr>
              <w:rPr>
                <w:rFonts w:ascii="宋体"/>
              </w:rPr>
            </w:pPr>
          </w:p>
        </w:tc>
        <w:tc>
          <w:tcPr>
            <w:tcW w:w="5" w:type="pct"/>
            <w:shd w:val="clear" w:color="auto" w:fill="auto"/>
            <w:vAlign w:val="center"/>
          </w:tcPr>
          <w:p w14:paraId="64A8ACD5" w14:textId="77777777" w:rsidR="008D6614" w:rsidRDefault="008D6614">
            <w:pPr>
              <w:rPr>
                <w:rFonts w:ascii="宋体"/>
              </w:rPr>
            </w:pPr>
          </w:p>
        </w:tc>
        <w:tc>
          <w:tcPr>
            <w:tcW w:w="50" w:type="pct"/>
            <w:shd w:val="clear" w:color="auto" w:fill="auto"/>
            <w:vAlign w:val="center"/>
          </w:tcPr>
          <w:p w14:paraId="64A8ACD6" w14:textId="77777777" w:rsidR="008D6614" w:rsidRDefault="008D6614">
            <w:pPr>
              <w:rPr>
                <w:rFonts w:ascii="宋体"/>
              </w:rPr>
            </w:pPr>
          </w:p>
        </w:tc>
        <w:tc>
          <w:tcPr>
            <w:tcW w:w="535" w:type="pct"/>
            <w:shd w:val="clear" w:color="auto" w:fill="auto"/>
            <w:vAlign w:val="center"/>
          </w:tcPr>
          <w:p w14:paraId="64A8ACD7" w14:textId="77777777" w:rsidR="008D6614" w:rsidRDefault="008D6614">
            <w:pPr>
              <w:rPr>
                <w:rFonts w:ascii="宋体"/>
              </w:rPr>
            </w:pPr>
          </w:p>
        </w:tc>
        <w:tc>
          <w:tcPr>
            <w:tcW w:w="50" w:type="pct"/>
            <w:shd w:val="clear" w:color="auto" w:fill="auto"/>
            <w:vAlign w:val="center"/>
          </w:tcPr>
          <w:p w14:paraId="64A8ACD8" w14:textId="77777777" w:rsidR="008D6614" w:rsidRDefault="008D6614">
            <w:pPr>
              <w:rPr>
                <w:rFonts w:ascii="宋体"/>
              </w:rPr>
            </w:pPr>
          </w:p>
        </w:tc>
        <w:tc>
          <w:tcPr>
            <w:tcW w:w="5" w:type="pct"/>
            <w:shd w:val="clear" w:color="auto" w:fill="auto"/>
            <w:vAlign w:val="center"/>
          </w:tcPr>
          <w:p w14:paraId="64A8ACD9" w14:textId="77777777" w:rsidR="008D6614" w:rsidRDefault="008D6614">
            <w:pPr>
              <w:rPr>
                <w:rFonts w:ascii="宋体"/>
              </w:rPr>
            </w:pPr>
          </w:p>
        </w:tc>
        <w:tc>
          <w:tcPr>
            <w:tcW w:w="26" w:type="pct"/>
            <w:shd w:val="clear" w:color="auto" w:fill="auto"/>
            <w:vAlign w:val="center"/>
          </w:tcPr>
          <w:p w14:paraId="64A8ACDA" w14:textId="77777777" w:rsidR="008D6614" w:rsidRDefault="008D6614">
            <w:pPr>
              <w:rPr>
                <w:rFonts w:ascii="宋体"/>
              </w:rPr>
            </w:pPr>
          </w:p>
        </w:tc>
        <w:tc>
          <w:tcPr>
            <w:tcW w:w="5" w:type="pct"/>
            <w:shd w:val="clear" w:color="auto" w:fill="auto"/>
            <w:vAlign w:val="center"/>
          </w:tcPr>
          <w:p w14:paraId="64A8ACDB" w14:textId="77777777" w:rsidR="008D6614" w:rsidRDefault="008D6614">
            <w:pPr>
              <w:rPr>
                <w:rFonts w:ascii="宋体"/>
              </w:rPr>
            </w:pPr>
          </w:p>
        </w:tc>
        <w:tc>
          <w:tcPr>
            <w:tcW w:w="50" w:type="pct"/>
            <w:shd w:val="clear" w:color="auto" w:fill="auto"/>
            <w:vAlign w:val="center"/>
          </w:tcPr>
          <w:p w14:paraId="64A8ACDC" w14:textId="77777777" w:rsidR="008D6614" w:rsidRDefault="008D6614">
            <w:pPr>
              <w:rPr>
                <w:rFonts w:ascii="宋体"/>
              </w:rPr>
            </w:pPr>
          </w:p>
        </w:tc>
        <w:tc>
          <w:tcPr>
            <w:tcW w:w="535" w:type="pct"/>
            <w:shd w:val="clear" w:color="auto" w:fill="auto"/>
            <w:vAlign w:val="center"/>
          </w:tcPr>
          <w:p w14:paraId="64A8ACDD" w14:textId="77777777" w:rsidR="008D6614" w:rsidRDefault="008D6614">
            <w:pPr>
              <w:rPr>
                <w:rFonts w:ascii="宋体"/>
              </w:rPr>
            </w:pPr>
          </w:p>
        </w:tc>
        <w:tc>
          <w:tcPr>
            <w:tcW w:w="50" w:type="pct"/>
            <w:shd w:val="clear" w:color="auto" w:fill="auto"/>
            <w:vAlign w:val="center"/>
          </w:tcPr>
          <w:p w14:paraId="64A8ACDE" w14:textId="77777777" w:rsidR="008D6614" w:rsidRDefault="008D6614">
            <w:pPr>
              <w:rPr>
                <w:rFonts w:ascii="宋体"/>
              </w:rPr>
            </w:pPr>
          </w:p>
        </w:tc>
        <w:tc>
          <w:tcPr>
            <w:tcW w:w="5" w:type="pct"/>
            <w:shd w:val="clear" w:color="auto" w:fill="auto"/>
            <w:vAlign w:val="center"/>
          </w:tcPr>
          <w:p w14:paraId="64A8ACDF" w14:textId="77777777" w:rsidR="008D6614" w:rsidRDefault="008D6614">
            <w:pPr>
              <w:rPr>
                <w:rFonts w:ascii="宋体"/>
              </w:rPr>
            </w:pPr>
          </w:p>
        </w:tc>
        <w:tc>
          <w:tcPr>
            <w:tcW w:w="26" w:type="pct"/>
            <w:shd w:val="clear" w:color="auto" w:fill="auto"/>
            <w:vAlign w:val="center"/>
          </w:tcPr>
          <w:p w14:paraId="64A8ACE0" w14:textId="77777777" w:rsidR="008D6614" w:rsidRDefault="008D6614">
            <w:pPr>
              <w:rPr>
                <w:rFonts w:ascii="宋体"/>
              </w:rPr>
            </w:pPr>
          </w:p>
        </w:tc>
        <w:tc>
          <w:tcPr>
            <w:tcW w:w="5" w:type="pct"/>
            <w:shd w:val="clear" w:color="auto" w:fill="auto"/>
            <w:vAlign w:val="center"/>
          </w:tcPr>
          <w:p w14:paraId="64A8ACE1" w14:textId="77777777" w:rsidR="008D6614" w:rsidRDefault="008D6614">
            <w:pPr>
              <w:rPr>
                <w:rFonts w:ascii="宋体"/>
              </w:rPr>
            </w:pPr>
          </w:p>
        </w:tc>
        <w:tc>
          <w:tcPr>
            <w:tcW w:w="50" w:type="pct"/>
            <w:shd w:val="clear" w:color="auto" w:fill="auto"/>
            <w:vAlign w:val="center"/>
          </w:tcPr>
          <w:p w14:paraId="64A8ACE2" w14:textId="77777777" w:rsidR="008D6614" w:rsidRDefault="008D6614">
            <w:pPr>
              <w:rPr>
                <w:rFonts w:ascii="宋体"/>
              </w:rPr>
            </w:pPr>
          </w:p>
        </w:tc>
        <w:tc>
          <w:tcPr>
            <w:tcW w:w="536" w:type="pct"/>
            <w:shd w:val="clear" w:color="auto" w:fill="auto"/>
            <w:vAlign w:val="center"/>
          </w:tcPr>
          <w:p w14:paraId="64A8ACE3" w14:textId="77777777" w:rsidR="008D6614" w:rsidRDefault="008D6614">
            <w:pPr>
              <w:rPr>
                <w:rFonts w:ascii="宋体"/>
              </w:rPr>
            </w:pPr>
          </w:p>
        </w:tc>
        <w:tc>
          <w:tcPr>
            <w:tcW w:w="50" w:type="pct"/>
            <w:shd w:val="clear" w:color="auto" w:fill="auto"/>
            <w:vAlign w:val="center"/>
          </w:tcPr>
          <w:p w14:paraId="64A8ACE4" w14:textId="77777777" w:rsidR="008D6614" w:rsidRDefault="008D6614">
            <w:pPr>
              <w:rPr>
                <w:rFonts w:ascii="宋体"/>
              </w:rPr>
            </w:pPr>
          </w:p>
        </w:tc>
        <w:tc>
          <w:tcPr>
            <w:tcW w:w="0" w:type="auto"/>
            <w:shd w:val="clear" w:color="auto" w:fill="auto"/>
            <w:vAlign w:val="center"/>
          </w:tcPr>
          <w:p w14:paraId="64A8ACE5" w14:textId="77777777" w:rsidR="008D6614" w:rsidRDefault="008D6614">
            <w:pPr>
              <w:rPr>
                <w:rFonts w:ascii="宋体"/>
                <w:vanish/>
              </w:rPr>
            </w:pPr>
          </w:p>
        </w:tc>
        <w:tc>
          <w:tcPr>
            <w:tcW w:w="0" w:type="auto"/>
            <w:shd w:val="clear" w:color="auto" w:fill="auto"/>
            <w:vAlign w:val="center"/>
          </w:tcPr>
          <w:p w14:paraId="64A8ACE6" w14:textId="77777777" w:rsidR="008D6614" w:rsidRDefault="008D6614">
            <w:pPr>
              <w:rPr>
                <w:rFonts w:ascii="宋体"/>
                <w:vanish/>
              </w:rPr>
            </w:pPr>
          </w:p>
        </w:tc>
        <w:tc>
          <w:tcPr>
            <w:tcW w:w="0" w:type="auto"/>
            <w:shd w:val="clear" w:color="auto" w:fill="auto"/>
            <w:vAlign w:val="center"/>
          </w:tcPr>
          <w:p w14:paraId="64A8ACE7" w14:textId="77777777" w:rsidR="008D6614" w:rsidRDefault="008D6614">
            <w:pPr>
              <w:rPr>
                <w:rFonts w:ascii="宋体"/>
                <w:vanish/>
              </w:rPr>
            </w:pPr>
          </w:p>
        </w:tc>
        <w:tc>
          <w:tcPr>
            <w:tcW w:w="0" w:type="auto"/>
            <w:shd w:val="clear" w:color="auto" w:fill="auto"/>
            <w:vAlign w:val="center"/>
          </w:tcPr>
          <w:p w14:paraId="64A8ACE8" w14:textId="77777777" w:rsidR="008D6614" w:rsidRDefault="008D6614">
            <w:pPr>
              <w:rPr>
                <w:rFonts w:ascii="宋体"/>
                <w:vanish/>
              </w:rPr>
            </w:pPr>
          </w:p>
        </w:tc>
        <w:tc>
          <w:tcPr>
            <w:tcW w:w="0" w:type="auto"/>
            <w:shd w:val="clear" w:color="auto" w:fill="auto"/>
            <w:vAlign w:val="center"/>
          </w:tcPr>
          <w:p w14:paraId="64A8ACE9" w14:textId="77777777" w:rsidR="008D6614" w:rsidRDefault="008D6614">
            <w:pPr>
              <w:rPr>
                <w:rFonts w:ascii="宋体"/>
                <w:vanish/>
              </w:rPr>
            </w:pPr>
          </w:p>
        </w:tc>
        <w:tc>
          <w:tcPr>
            <w:tcW w:w="0" w:type="auto"/>
            <w:shd w:val="clear" w:color="auto" w:fill="auto"/>
            <w:vAlign w:val="center"/>
          </w:tcPr>
          <w:p w14:paraId="64A8ACEA" w14:textId="77777777" w:rsidR="008D6614" w:rsidRDefault="008D6614">
            <w:pPr>
              <w:rPr>
                <w:rFonts w:ascii="宋体"/>
                <w:vanish/>
              </w:rPr>
            </w:pPr>
          </w:p>
        </w:tc>
        <w:tc>
          <w:tcPr>
            <w:tcW w:w="0" w:type="auto"/>
            <w:shd w:val="clear" w:color="auto" w:fill="auto"/>
            <w:vAlign w:val="center"/>
          </w:tcPr>
          <w:p w14:paraId="64A8ACEB" w14:textId="77777777" w:rsidR="008D6614" w:rsidRDefault="008D6614">
            <w:pPr>
              <w:rPr>
                <w:rFonts w:ascii="宋体"/>
                <w:vanish/>
              </w:rPr>
            </w:pPr>
          </w:p>
        </w:tc>
        <w:tc>
          <w:tcPr>
            <w:tcW w:w="0" w:type="auto"/>
            <w:shd w:val="clear" w:color="auto" w:fill="auto"/>
            <w:vAlign w:val="center"/>
          </w:tcPr>
          <w:p w14:paraId="64A8ACEC" w14:textId="77777777" w:rsidR="008D6614" w:rsidRDefault="008D6614">
            <w:pPr>
              <w:rPr>
                <w:rFonts w:ascii="宋体"/>
                <w:vanish/>
              </w:rPr>
            </w:pPr>
          </w:p>
        </w:tc>
      </w:tr>
      <w:tr w:rsidR="008D6614" w14:paraId="64A8ACFE" w14:textId="77777777">
        <w:trPr>
          <w:gridAfter w:val="3"/>
        </w:trPr>
        <w:tc>
          <w:tcPr>
            <w:tcW w:w="0" w:type="auto"/>
            <w:gridSpan w:val="3"/>
            <w:shd w:val="clear" w:color="auto" w:fill="auto"/>
            <w:tcMar>
              <w:left w:w="20" w:type="dxa"/>
              <w:right w:w="20" w:type="dxa"/>
            </w:tcMar>
            <w:vAlign w:val="bottom"/>
          </w:tcPr>
          <w:p w14:paraId="64A8ACEE"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ACEF"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vAlign w:val="center"/>
          </w:tcPr>
          <w:p w14:paraId="64A8ACF0" w14:textId="77777777" w:rsidR="008D6614" w:rsidRDefault="008D6614">
            <w:pPr>
              <w:rPr>
                <w:rFonts w:ascii="宋体"/>
                <w:vanish/>
              </w:rPr>
            </w:pPr>
          </w:p>
        </w:tc>
        <w:tc>
          <w:tcPr>
            <w:tcW w:w="0" w:type="auto"/>
            <w:gridSpan w:val="3"/>
            <w:shd w:val="clear" w:color="auto" w:fill="auto"/>
            <w:vAlign w:val="center"/>
          </w:tcPr>
          <w:p w14:paraId="64A8ACF1"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ACF2" w14:textId="77777777" w:rsidR="008D6614" w:rsidRDefault="008D6614">
            <w:pPr>
              <w:rPr>
                <w:rFonts w:ascii="宋体"/>
              </w:rPr>
            </w:pPr>
          </w:p>
        </w:tc>
        <w:tc>
          <w:tcPr>
            <w:tcW w:w="0" w:type="auto"/>
            <w:gridSpan w:val="5"/>
            <w:shd w:val="clear" w:color="auto" w:fill="auto"/>
            <w:tcMar>
              <w:top w:w="40" w:type="dxa"/>
              <w:left w:w="20" w:type="dxa"/>
              <w:bottom w:w="40" w:type="dxa"/>
              <w:right w:w="20" w:type="dxa"/>
            </w:tcMar>
            <w:vAlign w:val="bottom"/>
          </w:tcPr>
          <w:p w14:paraId="64A8ACF3" w14:textId="77777777" w:rsidR="008D6614" w:rsidRDefault="00866AF2">
            <w:pPr>
              <w:jc w:val="center"/>
              <w:textAlignment w:val="bottom"/>
            </w:pPr>
            <w:r>
              <w:rPr>
                <w:rFonts w:ascii="Arial" w:eastAsia="宋体" w:hAnsi="Arial" w:cs="Arial"/>
                <w:b/>
                <w:bCs/>
                <w:color w:val="000000"/>
                <w:sz w:val="14"/>
                <w:szCs w:val="14"/>
              </w:rPr>
              <w:t>Change</w:t>
            </w:r>
          </w:p>
        </w:tc>
        <w:tc>
          <w:tcPr>
            <w:tcW w:w="0" w:type="auto"/>
            <w:shd w:val="clear" w:color="auto" w:fill="auto"/>
            <w:vAlign w:val="center"/>
          </w:tcPr>
          <w:p w14:paraId="64A8ACF4" w14:textId="77777777" w:rsidR="008D6614" w:rsidRDefault="008D6614">
            <w:pPr>
              <w:rPr>
                <w:rFonts w:ascii="宋体"/>
                <w:vanish/>
              </w:rPr>
            </w:pPr>
          </w:p>
        </w:tc>
        <w:tc>
          <w:tcPr>
            <w:tcW w:w="0" w:type="auto"/>
            <w:shd w:val="clear" w:color="auto" w:fill="auto"/>
            <w:vAlign w:val="center"/>
          </w:tcPr>
          <w:p w14:paraId="64A8ACF5" w14:textId="77777777" w:rsidR="008D6614" w:rsidRDefault="008D6614">
            <w:pPr>
              <w:rPr>
                <w:rFonts w:ascii="宋体"/>
                <w:vanish/>
              </w:rPr>
            </w:pPr>
          </w:p>
        </w:tc>
        <w:tc>
          <w:tcPr>
            <w:tcW w:w="0" w:type="auto"/>
            <w:shd w:val="clear" w:color="auto" w:fill="auto"/>
            <w:vAlign w:val="center"/>
          </w:tcPr>
          <w:p w14:paraId="64A8ACF6" w14:textId="77777777" w:rsidR="008D6614" w:rsidRDefault="008D6614">
            <w:pPr>
              <w:rPr>
                <w:rFonts w:ascii="宋体"/>
                <w:vanish/>
              </w:rPr>
            </w:pPr>
          </w:p>
        </w:tc>
        <w:tc>
          <w:tcPr>
            <w:tcW w:w="0" w:type="auto"/>
            <w:shd w:val="clear" w:color="auto" w:fill="auto"/>
            <w:vAlign w:val="center"/>
          </w:tcPr>
          <w:p w14:paraId="64A8ACF7" w14:textId="77777777" w:rsidR="008D6614" w:rsidRDefault="008D6614">
            <w:pPr>
              <w:rPr>
                <w:rFonts w:ascii="宋体"/>
                <w:vanish/>
              </w:rPr>
            </w:pPr>
          </w:p>
        </w:tc>
        <w:tc>
          <w:tcPr>
            <w:tcW w:w="0" w:type="auto"/>
            <w:shd w:val="clear" w:color="auto" w:fill="auto"/>
            <w:vAlign w:val="center"/>
          </w:tcPr>
          <w:p w14:paraId="64A8ACF8" w14:textId="77777777" w:rsidR="008D6614" w:rsidRDefault="008D6614">
            <w:pPr>
              <w:rPr>
                <w:rFonts w:ascii="宋体"/>
                <w:vanish/>
              </w:rPr>
            </w:pPr>
          </w:p>
        </w:tc>
        <w:tc>
          <w:tcPr>
            <w:tcW w:w="0" w:type="auto"/>
            <w:shd w:val="clear" w:color="auto" w:fill="auto"/>
            <w:vAlign w:val="center"/>
          </w:tcPr>
          <w:p w14:paraId="64A8ACF9" w14:textId="77777777" w:rsidR="008D6614" w:rsidRDefault="008D6614">
            <w:pPr>
              <w:rPr>
                <w:rFonts w:ascii="宋体"/>
                <w:vanish/>
              </w:rPr>
            </w:pPr>
          </w:p>
        </w:tc>
        <w:tc>
          <w:tcPr>
            <w:tcW w:w="0" w:type="auto"/>
            <w:gridSpan w:val="3"/>
            <w:shd w:val="clear" w:color="auto" w:fill="auto"/>
            <w:vAlign w:val="center"/>
          </w:tcPr>
          <w:p w14:paraId="64A8ACFA" w14:textId="77777777" w:rsidR="008D6614" w:rsidRDefault="008D6614">
            <w:pPr>
              <w:rPr>
                <w:rFonts w:ascii="宋体"/>
                <w:vanish/>
              </w:rPr>
            </w:pPr>
          </w:p>
        </w:tc>
        <w:tc>
          <w:tcPr>
            <w:tcW w:w="0" w:type="auto"/>
            <w:gridSpan w:val="3"/>
            <w:shd w:val="clear" w:color="auto" w:fill="auto"/>
            <w:vAlign w:val="center"/>
          </w:tcPr>
          <w:p w14:paraId="64A8ACFB" w14:textId="77777777" w:rsidR="008D6614" w:rsidRDefault="008D6614">
            <w:pPr>
              <w:rPr>
                <w:rFonts w:ascii="宋体"/>
                <w:vanish/>
              </w:rPr>
            </w:pPr>
          </w:p>
        </w:tc>
        <w:tc>
          <w:tcPr>
            <w:tcW w:w="0" w:type="auto"/>
            <w:gridSpan w:val="3"/>
            <w:shd w:val="clear" w:color="auto" w:fill="auto"/>
            <w:vAlign w:val="center"/>
          </w:tcPr>
          <w:p w14:paraId="64A8ACFC" w14:textId="77777777" w:rsidR="008D6614" w:rsidRDefault="008D6614">
            <w:pPr>
              <w:rPr>
                <w:rFonts w:ascii="宋体"/>
                <w:vanish/>
              </w:rPr>
            </w:pPr>
          </w:p>
        </w:tc>
        <w:tc>
          <w:tcPr>
            <w:tcW w:w="0" w:type="auto"/>
            <w:gridSpan w:val="3"/>
            <w:shd w:val="clear" w:color="auto" w:fill="auto"/>
            <w:vAlign w:val="center"/>
          </w:tcPr>
          <w:p w14:paraId="64A8ACFD" w14:textId="77777777" w:rsidR="008D6614" w:rsidRDefault="008D6614">
            <w:pPr>
              <w:rPr>
                <w:rFonts w:ascii="宋体"/>
                <w:vanish/>
              </w:rPr>
            </w:pPr>
          </w:p>
        </w:tc>
      </w:tr>
      <w:tr w:rsidR="008D6614" w14:paraId="64A8AD1B" w14:textId="77777777">
        <w:trPr>
          <w:gridAfter w:val="3"/>
        </w:trPr>
        <w:tc>
          <w:tcPr>
            <w:tcW w:w="0" w:type="auto"/>
            <w:gridSpan w:val="3"/>
            <w:shd w:val="clear" w:color="auto" w:fill="auto"/>
            <w:tcMar>
              <w:top w:w="40" w:type="dxa"/>
              <w:left w:w="20" w:type="dxa"/>
              <w:bottom w:w="40" w:type="dxa"/>
              <w:right w:w="20" w:type="dxa"/>
            </w:tcMar>
            <w:vAlign w:val="center"/>
          </w:tcPr>
          <w:p w14:paraId="64A8ACFF" w14:textId="77777777" w:rsidR="008D6614" w:rsidRDefault="00866AF2">
            <w:pPr>
              <w:textAlignment w:val="center"/>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D00" w14:textId="77777777" w:rsidR="008D6614" w:rsidRDefault="00866AF2">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64A8AD01"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AD02" w14:textId="77777777" w:rsidR="008D6614" w:rsidRDefault="00866AF2">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64A8AD03"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AD04" w14:textId="77777777" w:rsidR="008D6614" w:rsidRDefault="00866AF2">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left w:w="20" w:type="dxa"/>
              <w:right w:w="20" w:type="dxa"/>
            </w:tcMar>
            <w:vAlign w:val="bottom"/>
          </w:tcPr>
          <w:p w14:paraId="64A8AD05"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AD06" w14:textId="77777777" w:rsidR="008D6614" w:rsidRDefault="00866AF2">
            <w:pPr>
              <w:jc w:val="center"/>
              <w:textAlignment w:val="bottom"/>
            </w:pPr>
            <w:r>
              <w:rPr>
                <w:rFonts w:ascii="Arial" w:eastAsia="宋体" w:hAnsi="Arial" w:cs="Arial"/>
                <w:b/>
                <w:bCs/>
                <w:color w:val="000000"/>
                <w:sz w:val="14"/>
                <w:szCs w:val="14"/>
              </w:rPr>
              <w:t>FX-Neutral</w:t>
            </w:r>
          </w:p>
        </w:tc>
        <w:tc>
          <w:tcPr>
            <w:tcW w:w="0" w:type="auto"/>
            <w:shd w:val="clear" w:color="auto" w:fill="auto"/>
            <w:vAlign w:val="center"/>
          </w:tcPr>
          <w:p w14:paraId="64A8AD07" w14:textId="77777777" w:rsidR="008D6614" w:rsidRDefault="008D6614">
            <w:pPr>
              <w:rPr>
                <w:rFonts w:ascii="宋体"/>
                <w:vanish/>
              </w:rPr>
            </w:pPr>
          </w:p>
        </w:tc>
        <w:tc>
          <w:tcPr>
            <w:tcW w:w="0" w:type="auto"/>
            <w:shd w:val="clear" w:color="auto" w:fill="auto"/>
            <w:vAlign w:val="center"/>
          </w:tcPr>
          <w:p w14:paraId="64A8AD08" w14:textId="77777777" w:rsidR="008D6614" w:rsidRDefault="008D6614">
            <w:pPr>
              <w:rPr>
                <w:rFonts w:ascii="宋体"/>
                <w:vanish/>
              </w:rPr>
            </w:pPr>
          </w:p>
        </w:tc>
        <w:tc>
          <w:tcPr>
            <w:tcW w:w="0" w:type="auto"/>
            <w:shd w:val="clear" w:color="auto" w:fill="auto"/>
            <w:vAlign w:val="center"/>
          </w:tcPr>
          <w:p w14:paraId="64A8AD09" w14:textId="77777777" w:rsidR="008D6614" w:rsidRDefault="008D6614">
            <w:pPr>
              <w:rPr>
                <w:rFonts w:ascii="宋体"/>
                <w:vanish/>
              </w:rPr>
            </w:pPr>
          </w:p>
        </w:tc>
        <w:tc>
          <w:tcPr>
            <w:tcW w:w="0" w:type="auto"/>
            <w:shd w:val="clear" w:color="auto" w:fill="auto"/>
            <w:vAlign w:val="center"/>
          </w:tcPr>
          <w:p w14:paraId="64A8AD0A" w14:textId="77777777" w:rsidR="008D6614" w:rsidRDefault="008D6614">
            <w:pPr>
              <w:rPr>
                <w:rFonts w:ascii="宋体"/>
                <w:vanish/>
              </w:rPr>
            </w:pPr>
          </w:p>
        </w:tc>
        <w:tc>
          <w:tcPr>
            <w:tcW w:w="0" w:type="auto"/>
            <w:shd w:val="clear" w:color="auto" w:fill="auto"/>
            <w:vAlign w:val="center"/>
          </w:tcPr>
          <w:p w14:paraId="64A8AD0B" w14:textId="77777777" w:rsidR="008D6614" w:rsidRDefault="008D6614">
            <w:pPr>
              <w:rPr>
                <w:rFonts w:ascii="宋体"/>
                <w:vanish/>
              </w:rPr>
            </w:pPr>
          </w:p>
        </w:tc>
        <w:tc>
          <w:tcPr>
            <w:tcW w:w="0" w:type="auto"/>
            <w:shd w:val="clear" w:color="auto" w:fill="auto"/>
            <w:vAlign w:val="center"/>
          </w:tcPr>
          <w:p w14:paraId="64A8AD0C" w14:textId="77777777" w:rsidR="008D6614" w:rsidRDefault="008D6614">
            <w:pPr>
              <w:rPr>
                <w:rFonts w:ascii="宋体"/>
                <w:vanish/>
              </w:rPr>
            </w:pPr>
          </w:p>
        </w:tc>
        <w:tc>
          <w:tcPr>
            <w:tcW w:w="0" w:type="auto"/>
            <w:shd w:val="clear" w:color="auto" w:fill="auto"/>
            <w:vAlign w:val="center"/>
          </w:tcPr>
          <w:p w14:paraId="64A8AD0D" w14:textId="77777777" w:rsidR="008D6614" w:rsidRDefault="008D6614">
            <w:pPr>
              <w:rPr>
                <w:rFonts w:ascii="宋体"/>
                <w:vanish/>
              </w:rPr>
            </w:pPr>
          </w:p>
        </w:tc>
        <w:tc>
          <w:tcPr>
            <w:tcW w:w="0" w:type="auto"/>
            <w:shd w:val="clear" w:color="auto" w:fill="auto"/>
            <w:vAlign w:val="center"/>
          </w:tcPr>
          <w:p w14:paraId="64A8AD0E" w14:textId="77777777" w:rsidR="008D6614" w:rsidRDefault="008D6614">
            <w:pPr>
              <w:rPr>
                <w:rFonts w:ascii="宋体"/>
                <w:vanish/>
              </w:rPr>
            </w:pPr>
          </w:p>
        </w:tc>
        <w:tc>
          <w:tcPr>
            <w:tcW w:w="0" w:type="auto"/>
            <w:shd w:val="clear" w:color="auto" w:fill="auto"/>
            <w:vAlign w:val="center"/>
          </w:tcPr>
          <w:p w14:paraId="64A8AD0F" w14:textId="77777777" w:rsidR="008D6614" w:rsidRDefault="008D6614">
            <w:pPr>
              <w:rPr>
                <w:rFonts w:ascii="宋体"/>
              </w:rPr>
            </w:pPr>
          </w:p>
        </w:tc>
        <w:tc>
          <w:tcPr>
            <w:tcW w:w="0" w:type="auto"/>
            <w:shd w:val="clear" w:color="auto" w:fill="auto"/>
            <w:vAlign w:val="center"/>
          </w:tcPr>
          <w:p w14:paraId="64A8AD10" w14:textId="77777777" w:rsidR="008D6614" w:rsidRDefault="008D6614">
            <w:pPr>
              <w:rPr>
                <w:rFonts w:ascii="宋体"/>
              </w:rPr>
            </w:pPr>
          </w:p>
        </w:tc>
        <w:tc>
          <w:tcPr>
            <w:tcW w:w="0" w:type="auto"/>
            <w:shd w:val="clear" w:color="auto" w:fill="auto"/>
            <w:vAlign w:val="center"/>
          </w:tcPr>
          <w:p w14:paraId="64A8AD11" w14:textId="77777777" w:rsidR="008D6614" w:rsidRDefault="008D6614">
            <w:pPr>
              <w:rPr>
                <w:rFonts w:ascii="宋体"/>
              </w:rPr>
            </w:pPr>
          </w:p>
        </w:tc>
        <w:tc>
          <w:tcPr>
            <w:tcW w:w="0" w:type="auto"/>
            <w:shd w:val="clear" w:color="auto" w:fill="auto"/>
            <w:vAlign w:val="center"/>
          </w:tcPr>
          <w:p w14:paraId="64A8AD12" w14:textId="77777777" w:rsidR="008D6614" w:rsidRDefault="008D6614">
            <w:pPr>
              <w:rPr>
                <w:rFonts w:ascii="宋体"/>
              </w:rPr>
            </w:pPr>
          </w:p>
        </w:tc>
        <w:tc>
          <w:tcPr>
            <w:tcW w:w="0" w:type="auto"/>
            <w:shd w:val="clear" w:color="auto" w:fill="auto"/>
            <w:vAlign w:val="center"/>
          </w:tcPr>
          <w:p w14:paraId="64A8AD13" w14:textId="77777777" w:rsidR="008D6614" w:rsidRDefault="008D6614">
            <w:pPr>
              <w:rPr>
                <w:rFonts w:ascii="宋体"/>
              </w:rPr>
            </w:pPr>
          </w:p>
        </w:tc>
        <w:tc>
          <w:tcPr>
            <w:tcW w:w="0" w:type="auto"/>
            <w:shd w:val="clear" w:color="auto" w:fill="auto"/>
            <w:vAlign w:val="center"/>
          </w:tcPr>
          <w:p w14:paraId="64A8AD14" w14:textId="77777777" w:rsidR="008D6614" w:rsidRDefault="008D6614">
            <w:pPr>
              <w:rPr>
                <w:rFonts w:ascii="宋体"/>
              </w:rPr>
            </w:pPr>
          </w:p>
        </w:tc>
        <w:tc>
          <w:tcPr>
            <w:tcW w:w="0" w:type="auto"/>
            <w:shd w:val="clear" w:color="auto" w:fill="auto"/>
            <w:vAlign w:val="center"/>
          </w:tcPr>
          <w:p w14:paraId="64A8AD15" w14:textId="77777777" w:rsidR="008D6614" w:rsidRDefault="008D6614">
            <w:pPr>
              <w:rPr>
                <w:rFonts w:ascii="宋体"/>
              </w:rPr>
            </w:pPr>
          </w:p>
        </w:tc>
        <w:tc>
          <w:tcPr>
            <w:tcW w:w="0" w:type="auto"/>
            <w:shd w:val="clear" w:color="auto" w:fill="auto"/>
            <w:vAlign w:val="center"/>
          </w:tcPr>
          <w:p w14:paraId="64A8AD16" w14:textId="77777777" w:rsidR="008D6614" w:rsidRDefault="008D6614">
            <w:pPr>
              <w:rPr>
                <w:rFonts w:ascii="宋体"/>
              </w:rPr>
            </w:pPr>
          </w:p>
        </w:tc>
        <w:tc>
          <w:tcPr>
            <w:tcW w:w="0" w:type="auto"/>
            <w:shd w:val="clear" w:color="auto" w:fill="auto"/>
            <w:vAlign w:val="center"/>
          </w:tcPr>
          <w:p w14:paraId="64A8AD17" w14:textId="77777777" w:rsidR="008D6614" w:rsidRDefault="008D6614">
            <w:pPr>
              <w:rPr>
                <w:rFonts w:ascii="宋体"/>
              </w:rPr>
            </w:pPr>
          </w:p>
        </w:tc>
        <w:tc>
          <w:tcPr>
            <w:tcW w:w="0" w:type="auto"/>
            <w:shd w:val="clear" w:color="auto" w:fill="auto"/>
            <w:vAlign w:val="center"/>
          </w:tcPr>
          <w:p w14:paraId="64A8AD18" w14:textId="77777777" w:rsidR="008D6614" w:rsidRDefault="008D6614">
            <w:pPr>
              <w:rPr>
                <w:rFonts w:ascii="宋体"/>
              </w:rPr>
            </w:pPr>
          </w:p>
        </w:tc>
        <w:tc>
          <w:tcPr>
            <w:tcW w:w="0" w:type="auto"/>
            <w:shd w:val="clear" w:color="auto" w:fill="auto"/>
            <w:vAlign w:val="center"/>
          </w:tcPr>
          <w:p w14:paraId="64A8AD19" w14:textId="77777777" w:rsidR="008D6614" w:rsidRDefault="008D6614">
            <w:pPr>
              <w:rPr>
                <w:rFonts w:ascii="宋体"/>
              </w:rPr>
            </w:pPr>
          </w:p>
        </w:tc>
        <w:tc>
          <w:tcPr>
            <w:tcW w:w="0" w:type="auto"/>
            <w:shd w:val="clear" w:color="auto" w:fill="auto"/>
            <w:vAlign w:val="center"/>
          </w:tcPr>
          <w:p w14:paraId="64A8AD1A" w14:textId="77777777" w:rsidR="008D6614" w:rsidRDefault="008D6614">
            <w:pPr>
              <w:rPr>
                <w:rFonts w:ascii="宋体"/>
              </w:rPr>
            </w:pPr>
          </w:p>
        </w:tc>
      </w:tr>
      <w:tr w:rsidR="008D6614" w14:paraId="64A8AD2C" w14:textId="77777777">
        <w:tc>
          <w:tcPr>
            <w:tcW w:w="0" w:type="auto"/>
            <w:gridSpan w:val="3"/>
            <w:shd w:val="clear" w:color="auto" w:fill="auto"/>
            <w:tcMar>
              <w:left w:w="20" w:type="dxa"/>
              <w:right w:w="20" w:type="dxa"/>
            </w:tcMar>
            <w:vAlign w:val="bottom"/>
          </w:tcPr>
          <w:p w14:paraId="64A8AD1C" w14:textId="77777777" w:rsidR="008D6614" w:rsidRDefault="008D6614">
            <w:pPr>
              <w:rPr>
                <w:rFonts w:ascii="宋体"/>
              </w:rPr>
            </w:pPr>
          </w:p>
        </w:tc>
        <w:tc>
          <w:tcPr>
            <w:tcW w:w="0" w:type="auto"/>
            <w:gridSpan w:val="21"/>
            <w:tcBorders>
              <w:top w:val="single" w:sz="8" w:space="0" w:color="000000"/>
            </w:tcBorders>
            <w:shd w:val="clear" w:color="auto" w:fill="FFFFFF"/>
            <w:tcMar>
              <w:top w:w="40" w:type="dxa"/>
              <w:left w:w="20" w:type="dxa"/>
              <w:bottom w:w="40" w:type="dxa"/>
              <w:right w:w="20" w:type="dxa"/>
            </w:tcMar>
            <w:vAlign w:val="bottom"/>
          </w:tcPr>
          <w:p w14:paraId="64A8AD1D" w14:textId="77777777" w:rsidR="008D6614" w:rsidRDefault="00866AF2">
            <w:pPr>
              <w:jc w:val="center"/>
              <w:textAlignment w:val="bottom"/>
            </w:pPr>
            <w:r>
              <w:rPr>
                <w:rFonts w:ascii="Arial" w:eastAsia="宋体" w:hAnsi="Arial" w:cs="Arial"/>
                <w:color w:val="000000"/>
                <w:sz w:val="16"/>
                <w:szCs w:val="16"/>
              </w:rPr>
              <w:t>(In millions, except percentages)</w:t>
            </w:r>
          </w:p>
        </w:tc>
        <w:tc>
          <w:tcPr>
            <w:tcW w:w="0" w:type="auto"/>
            <w:shd w:val="clear" w:color="auto" w:fill="auto"/>
            <w:vAlign w:val="center"/>
          </w:tcPr>
          <w:p w14:paraId="64A8AD1E" w14:textId="77777777" w:rsidR="008D6614" w:rsidRDefault="008D6614">
            <w:pPr>
              <w:rPr>
                <w:rFonts w:ascii="宋体"/>
                <w:vanish/>
              </w:rPr>
            </w:pPr>
          </w:p>
        </w:tc>
        <w:tc>
          <w:tcPr>
            <w:tcW w:w="0" w:type="auto"/>
            <w:shd w:val="clear" w:color="auto" w:fill="auto"/>
            <w:vAlign w:val="center"/>
          </w:tcPr>
          <w:p w14:paraId="64A8AD1F" w14:textId="77777777" w:rsidR="008D6614" w:rsidRDefault="008D6614">
            <w:pPr>
              <w:rPr>
                <w:rFonts w:ascii="宋体"/>
                <w:vanish/>
              </w:rPr>
            </w:pPr>
          </w:p>
        </w:tc>
        <w:tc>
          <w:tcPr>
            <w:tcW w:w="0" w:type="auto"/>
            <w:shd w:val="clear" w:color="auto" w:fill="auto"/>
            <w:vAlign w:val="center"/>
          </w:tcPr>
          <w:p w14:paraId="64A8AD20" w14:textId="77777777" w:rsidR="008D6614" w:rsidRDefault="008D6614">
            <w:pPr>
              <w:rPr>
                <w:rFonts w:ascii="宋体"/>
                <w:vanish/>
              </w:rPr>
            </w:pPr>
          </w:p>
        </w:tc>
        <w:tc>
          <w:tcPr>
            <w:tcW w:w="0" w:type="auto"/>
            <w:shd w:val="clear" w:color="auto" w:fill="auto"/>
            <w:vAlign w:val="center"/>
          </w:tcPr>
          <w:p w14:paraId="64A8AD21" w14:textId="77777777" w:rsidR="008D6614" w:rsidRDefault="008D6614">
            <w:pPr>
              <w:rPr>
                <w:rFonts w:ascii="宋体"/>
                <w:vanish/>
              </w:rPr>
            </w:pPr>
          </w:p>
        </w:tc>
        <w:tc>
          <w:tcPr>
            <w:tcW w:w="0" w:type="auto"/>
            <w:shd w:val="clear" w:color="auto" w:fill="auto"/>
            <w:vAlign w:val="center"/>
          </w:tcPr>
          <w:p w14:paraId="64A8AD22" w14:textId="77777777" w:rsidR="008D6614" w:rsidRDefault="008D6614">
            <w:pPr>
              <w:rPr>
                <w:rFonts w:ascii="宋体"/>
                <w:vanish/>
              </w:rPr>
            </w:pPr>
          </w:p>
        </w:tc>
        <w:tc>
          <w:tcPr>
            <w:tcW w:w="0" w:type="auto"/>
            <w:shd w:val="clear" w:color="auto" w:fill="auto"/>
            <w:vAlign w:val="center"/>
          </w:tcPr>
          <w:p w14:paraId="64A8AD23" w14:textId="77777777" w:rsidR="008D6614" w:rsidRDefault="008D6614">
            <w:pPr>
              <w:rPr>
                <w:rFonts w:ascii="宋体"/>
                <w:vanish/>
              </w:rPr>
            </w:pPr>
          </w:p>
        </w:tc>
        <w:tc>
          <w:tcPr>
            <w:tcW w:w="0" w:type="auto"/>
            <w:shd w:val="clear" w:color="auto" w:fill="auto"/>
            <w:vAlign w:val="center"/>
          </w:tcPr>
          <w:p w14:paraId="64A8AD24" w14:textId="77777777" w:rsidR="008D6614" w:rsidRDefault="008D6614">
            <w:pPr>
              <w:rPr>
                <w:rFonts w:ascii="宋体"/>
                <w:vanish/>
              </w:rPr>
            </w:pPr>
          </w:p>
        </w:tc>
        <w:tc>
          <w:tcPr>
            <w:tcW w:w="0" w:type="auto"/>
            <w:shd w:val="clear" w:color="auto" w:fill="auto"/>
            <w:vAlign w:val="center"/>
          </w:tcPr>
          <w:p w14:paraId="64A8AD25" w14:textId="77777777" w:rsidR="008D6614" w:rsidRDefault="008D6614">
            <w:pPr>
              <w:rPr>
                <w:rFonts w:ascii="宋体"/>
                <w:vanish/>
              </w:rPr>
            </w:pPr>
          </w:p>
        </w:tc>
        <w:tc>
          <w:tcPr>
            <w:tcW w:w="0" w:type="auto"/>
            <w:gridSpan w:val="3"/>
            <w:shd w:val="clear" w:color="auto" w:fill="auto"/>
            <w:vAlign w:val="center"/>
          </w:tcPr>
          <w:p w14:paraId="64A8AD26" w14:textId="77777777" w:rsidR="008D6614" w:rsidRDefault="008D6614">
            <w:pPr>
              <w:rPr>
                <w:rFonts w:ascii="宋体"/>
                <w:vanish/>
              </w:rPr>
            </w:pPr>
          </w:p>
        </w:tc>
        <w:tc>
          <w:tcPr>
            <w:tcW w:w="0" w:type="auto"/>
            <w:gridSpan w:val="3"/>
            <w:shd w:val="clear" w:color="auto" w:fill="auto"/>
            <w:vAlign w:val="center"/>
          </w:tcPr>
          <w:p w14:paraId="64A8AD27" w14:textId="77777777" w:rsidR="008D6614" w:rsidRDefault="008D6614">
            <w:pPr>
              <w:rPr>
                <w:rFonts w:ascii="宋体"/>
                <w:vanish/>
              </w:rPr>
            </w:pPr>
          </w:p>
        </w:tc>
        <w:tc>
          <w:tcPr>
            <w:tcW w:w="0" w:type="auto"/>
            <w:gridSpan w:val="3"/>
            <w:shd w:val="clear" w:color="auto" w:fill="auto"/>
            <w:vAlign w:val="center"/>
          </w:tcPr>
          <w:p w14:paraId="64A8AD28" w14:textId="77777777" w:rsidR="008D6614" w:rsidRDefault="008D6614">
            <w:pPr>
              <w:rPr>
                <w:rFonts w:ascii="宋体"/>
                <w:vanish/>
              </w:rPr>
            </w:pPr>
          </w:p>
        </w:tc>
        <w:tc>
          <w:tcPr>
            <w:tcW w:w="0" w:type="auto"/>
            <w:gridSpan w:val="3"/>
            <w:shd w:val="clear" w:color="auto" w:fill="auto"/>
            <w:vAlign w:val="center"/>
          </w:tcPr>
          <w:p w14:paraId="64A8AD29" w14:textId="77777777" w:rsidR="008D6614" w:rsidRDefault="008D6614">
            <w:pPr>
              <w:rPr>
                <w:rFonts w:ascii="宋体"/>
                <w:vanish/>
              </w:rPr>
            </w:pPr>
          </w:p>
        </w:tc>
        <w:tc>
          <w:tcPr>
            <w:tcW w:w="0" w:type="auto"/>
            <w:gridSpan w:val="2"/>
            <w:shd w:val="clear" w:color="auto" w:fill="auto"/>
            <w:vAlign w:val="center"/>
          </w:tcPr>
          <w:p w14:paraId="64A8AD2A" w14:textId="77777777" w:rsidR="008D6614" w:rsidRDefault="008D6614">
            <w:pPr>
              <w:rPr>
                <w:rFonts w:ascii="宋体"/>
                <w:vanish/>
              </w:rPr>
            </w:pPr>
          </w:p>
        </w:tc>
        <w:tc>
          <w:tcPr>
            <w:tcW w:w="0" w:type="auto"/>
            <w:shd w:val="clear" w:color="auto" w:fill="auto"/>
            <w:vAlign w:val="center"/>
          </w:tcPr>
          <w:p w14:paraId="64A8AD2B" w14:textId="77777777" w:rsidR="008D6614" w:rsidRDefault="008D6614">
            <w:pPr>
              <w:rPr>
                <w:rFonts w:ascii="宋体"/>
                <w:vanish/>
              </w:rPr>
            </w:pPr>
          </w:p>
        </w:tc>
      </w:tr>
      <w:tr w:rsidR="008D6614" w14:paraId="64A8AD52" w14:textId="77777777">
        <w:tc>
          <w:tcPr>
            <w:tcW w:w="0" w:type="auto"/>
            <w:gridSpan w:val="3"/>
            <w:shd w:val="clear" w:color="auto" w:fill="E2E2E2"/>
            <w:tcMar>
              <w:top w:w="40" w:type="dxa"/>
              <w:left w:w="20" w:type="dxa"/>
              <w:bottom w:w="40" w:type="dxa"/>
              <w:right w:w="20" w:type="dxa"/>
            </w:tcMar>
            <w:vAlign w:val="bottom"/>
          </w:tcPr>
          <w:p w14:paraId="64A8AD2D" w14:textId="77777777" w:rsidR="008D6614" w:rsidRDefault="00866AF2">
            <w:pPr>
              <w:textAlignment w:val="bottom"/>
            </w:pPr>
            <w:r>
              <w:rPr>
                <w:rFonts w:ascii="Arial" w:eastAsia="宋体" w:hAnsi="Arial" w:cs="Arial"/>
                <w:color w:val="000000"/>
                <w:sz w:val="16"/>
                <w:szCs w:val="16"/>
              </w:rPr>
              <w:t xml:space="preserve">Marketplace net transaction revenues </w:t>
            </w:r>
            <w:r>
              <w:rPr>
                <w:rFonts w:ascii="Arial" w:eastAsia="宋体" w:hAnsi="Arial" w:cs="Arial"/>
                <w:color w:val="000000"/>
                <w:sz w:val="10"/>
                <w:szCs w:val="10"/>
              </w:rPr>
              <w:t>(1)</w:t>
            </w:r>
          </w:p>
        </w:tc>
        <w:tc>
          <w:tcPr>
            <w:tcW w:w="0" w:type="auto"/>
            <w:shd w:val="clear" w:color="auto" w:fill="E2E2E2"/>
            <w:tcMar>
              <w:top w:w="40" w:type="dxa"/>
              <w:left w:w="20" w:type="dxa"/>
              <w:bottom w:w="40" w:type="dxa"/>
            </w:tcMar>
            <w:vAlign w:val="bottom"/>
          </w:tcPr>
          <w:p w14:paraId="64A8AD2E" w14:textId="77777777" w:rsidR="008D6614" w:rsidRDefault="00866AF2">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64A8AD2F" w14:textId="77777777" w:rsidR="008D6614" w:rsidRDefault="00866AF2">
            <w:pPr>
              <w:jc w:val="right"/>
              <w:textAlignment w:val="bottom"/>
            </w:pPr>
            <w:r>
              <w:rPr>
                <w:rFonts w:ascii="Arial" w:eastAsia="宋体" w:hAnsi="Arial" w:cs="Arial"/>
                <w:color w:val="000000"/>
                <w:sz w:val="16"/>
                <w:szCs w:val="16"/>
              </w:rPr>
              <w:t>1,900 </w:t>
            </w:r>
          </w:p>
        </w:tc>
        <w:tc>
          <w:tcPr>
            <w:tcW w:w="0" w:type="auto"/>
            <w:shd w:val="clear" w:color="auto" w:fill="E2E2E2"/>
            <w:tcMar>
              <w:top w:w="40" w:type="dxa"/>
              <w:bottom w:w="40" w:type="dxa"/>
              <w:right w:w="20" w:type="dxa"/>
            </w:tcMar>
            <w:vAlign w:val="bottom"/>
          </w:tcPr>
          <w:p w14:paraId="64A8AD3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D31"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AD32" w14:textId="77777777" w:rsidR="008D6614" w:rsidRDefault="00866AF2">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64A8AD33" w14:textId="77777777" w:rsidR="008D6614" w:rsidRDefault="00866AF2">
            <w:pPr>
              <w:jc w:val="right"/>
              <w:textAlignment w:val="bottom"/>
            </w:pPr>
            <w:r>
              <w:rPr>
                <w:rFonts w:ascii="Arial" w:eastAsia="宋体" w:hAnsi="Arial" w:cs="Arial"/>
                <w:color w:val="000000"/>
                <w:sz w:val="16"/>
                <w:szCs w:val="16"/>
              </w:rPr>
              <w:t>1,885 </w:t>
            </w:r>
          </w:p>
        </w:tc>
        <w:tc>
          <w:tcPr>
            <w:tcW w:w="0" w:type="auto"/>
            <w:shd w:val="clear" w:color="auto" w:fill="E2E2E2"/>
            <w:tcMar>
              <w:top w:w="40" w:type="dxa"/>
              <w:bottom w:w="40" w:type="dxa"/>
              <w:right w:w="20" w:type="dxa"/>
            </w:tcMar>
            <w:vAlign w:val="bottom"/>
          </w:tcPr>
          <w:p w14:paraId="64A8AD3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D3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D36" w14:textId="77777777" w:rsidR="008D6614" w:rsidRDefault="00866AF2">
            <w:pPr>
              <w:jc w:val="right"/>
              <w:textAlignment w:val="bottom"/>
            </w:pPr>
            <w:r>
              <w:rPr>
                <w:rFonts w:ascii="Arial" w:eastAsia="宋体" w:hAnsi="Arial" w:cs="Arial"/>
                <w:color w:val="000000"/>
                <w:sz w:val="16"/>
                <w:szCs w:val="16"/>
              </w:rPr>
              <w:t>1 </w:t>
            </w:r>
          </w:p>
        </w:tc>
        <w:tc>
          <w:tcPr>
            <w:tcW w:w="0" w:type="auto"/>
            <w:shd w:val="clear" w:color="auto" w:fill="E2E2E2"/>
            <w:tcMar>
              <w:top w:w="40" w:type="dxa"/>
              <w:bottom w:w="40" w:type="dxa"/>
              <w:right w:w="20" w:type="dxa"/>
            </w:tcMar>
            <w:vAlign w:val="bottom"/>
          </w:tcPr>
          <w:p w14:paraId="64A8AD37"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D38"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D39" w14:textId="77777777" w:rsidR="008D6614" w:rsidRDefault="00866AF2">
            <w:pPr>
              <w:jc w:val="right"/>
              <w:textAlignment w:val="bottom"/>
            </w:pPr>
            <w:r>
              <w:rPr>
                <w:rFonts w:ascii="Arial" w:eastAsia="宋体" w:hAnsi="Arial" w:cs="Arial"/>
                <w:color w:val="000000"/>
                <w:sz w:val="16"/>
                <w:szCs w:val="16"/>
              </w:rPr>
              <w:t>3 </w:t>
            </w:r>
          </w:p>
        </w:tc>
        <w:tc>
          <w:tcPr>
            <w:tcW w:w="0" w:type="auto"/>
            <w:shd w:val="clear" w:color="auto" w:fill="E2E2E2"/>
            <w:tcMar>
              <w:top w:w="40" w:type="dxa"/>
              <w:bottom w:w="40" w:type="dxa"/>
              <w:right w:w="20" w:type="dxa"/>
            </w:tcMar>
            <w:vAlign w:val="bottom"/>
          </w:tcPr>
          <w:p w14:paraId="64A8AD3A"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D3B" w14:textId="77777777" w:rsidR="008D6614" w:rsidRDefault="008D6614">
            <w:pPr>
              <w:rPr>
                <w:rFonts w:ascii="宋体"/>
                <w:vanish/>
              </w:rPr>
            </w:pPr>
          </w:p>
        </w:tc>
        <w:tc>
          <w:tcPr>
            <w:tcW w:w="0" w:type="auto"/>
            <w:shd w:val="clear" w:color="auto" w:fill="auto"/>
            <w:vAlign w:val="center"/>
          </w:tcPr>
          <w:p w14:paraId="64A8AD3C" w14:textId="77777777" w:rsidR="008D6614" w:rsidRDefault="008D6614">
            <w:pPr>
              <w:rPr>
                <w:rFonts w:ascii="宋体"/>
                <w:vanish/>
              </w:rPr>
            </w:pPr>
          </w:p>
        </w:tc>
        <w:tc>
          <w:tcPr>
            <w:tcW w:w="0" w:type="auto"/>
            <w:shd w:val="clear" w:color="auto" w:fill="auto"/>
            <w:vAlign w:val="center"/>
          </w:tcPr>
          <w:p w14:paraId="64A8AD3D" w14:textId="77777777" w:rsidR="008D6614" w:rsidRDefault="008D6614">
            <w:pPr>
              <w:rPr>
                <w:rFonts w:ascii="宋体"/>
                <w:vanish/>
              </w:rPr>
            </w:pPr>
          </w:p>
        </w:tc>
        <w:tc>
          <w:tcPr>
            <w:tcW w:w="0" w:type="auto"/>
            <w:shd w:val="clear" w:color="auto" w:fill="auto"/>
            <w:vAlign w:val="center"/>
          </w:tcPr>
          <w:p w14:paraId="64A8AD3E" w14:textId="77777777" w:rsidR="008D6614" w:rsidRDefault="008D6614">
            <w:pPr>
              <w:rPr>
                <w:rFonts w:ascii="宋体"/>
                <w:vanish/>
              </w:rPr>
            </w:pPr>
          </w:p>
        </w:tc>
        <w:tc>
          <w:tcPr>
            <w:tcW w:w="0" w:type="auto"/>
            <w:shd w:val="clear" w:color="auto" w:fill="auto"/>
            <w:vAlign w:val="center"/>
          </w:tcPr>
          <w:p w14:paraId="64A8AD3F" w14:textId="77777777" w:rsidR="008D6614" w:rsidRDefault="008D6614">
            <w:pPr>
              <w:rPr>
                <w:rFonts w:ascii="宋体"/>
                <w:vanish/>
              </w:rPr>
            </w:pPr>
          </w:p>
        </w:tc>
        <w:tc>
          <w:tcPr>
            <w:tcW w:w="0" w:type="auto"/>
            <w:shd w:val="clear" w:color="auto" w:fill="auto"/>
            <w:vAlign w:val="center"/>
          </w:tcPr>
          <w:p w14:paraId="64A8AD40" w14:textId="77777777" w:rsidR="008D6614" w:rsidRDefault="008D6614">
            <w:pPr>
              <w:rPr>
                <w:rFonts w:ascii="宋体"/>
                <w:vanish/>
              </w:rPr>
            </w:pPr>
          </w:p>
        </w:tc>
        <w:tc>
          <w:tcPr>
            <w:tcW w:w="0" w:type="auto"/>
            <w:shd w:val="clear" w:color="auto" w:fill="auto"/>
            <w:vAlign w:val="center"/>
          </w:tcPr>
          <w:p w14:paraId="64A8AD41" w14:textId="77777777" w:rsidR="008D6614" w:rsidRDefault="008D6614">
            <w:pPr>
              <w:rPr>
                <w:rFonts w:ascii="宋体"/>
                <w:vanish/>
              </w:rPr>
            </w:pPr>
          </w:p>
        </w:tc>
        <w:tc>
          <w:tcPr>
            <w:tcW w:w="0" w:type="auto"/>
            <w:shd w:val="clear" w:color="auto" w:fill="auto"/>
            <w:vAlign w:val="center"/>
          </w:tcPr>
          <w:p w14:paraId="64A8AD42" w14:textId="77777777" w:rsidR="008D6614" w:rsidRDefault="008D6614">
            <w:pPr>
              <w:rPr>
                <w:rFonts w:ascii="宋体"/>
                <w:vanish/>
              </w:rPr>
            </w:pPr>
          </w:p>
        </w:tc>
        <w:tc>
          <w:tcPr>
            <w:tcW w:w="0" w:type="auto"/>
            <w:shd w:val="clear" w:color="auto" w:fill="auto"/>
            <w:vAlign w:val="center"/>
          </w:tcPr>
          <w:p w14:paraId="64A8AD43" w14:textId="77777777" w:rsidR="008D6614" w:rsidRDefault="008D6614">
            <w:pPr>
              <w:rPr>
                <w:rFonts w:ascii="宋体"/>
              </w:rPr>
            </w:pPr>
          </w:p>
        </w:tc>
        <w:tc>
          <w:tcPr>
            <w:tcW w:w="0" w:type="auto"/>
            <w:shd w:val="clear" w:color="auto" w:fill="auto"/>
            <w:vAlign w:val="center"/>
          </w:tcPr>
          <w:p w14:paraId="64A8AD44" w14:textId="77777777" w:rsidR="008D6614" w:rsidRDefault="008D6614">
            <w:pPr>
              <w:rPr>
                <w:rFonts w:ascii="宋体"/>
              </w:rPr>
            </w:pPr>
          </w:p>
        </w:tc>
        <w:tc>
          <w:tcPr>
            <w:tcW w:w="0" w:type="auto"/>
            <w:shd w:val="clear" w:color="auto" w:fill="auto"/>
            <w:vAlign w:val="center"/>
          </w:tcPr>
          <w:p w14:paraId="64A8AD45" w14:textId="77777777" w:rsidR="008D6614" w:rsidRDefault="008D6614">
            <w:pPr>
              <w:rPr>
                <w:rFonts w:ascii="宋体"/>
              </w:rPr>
            </w:pPr>
          </w:p>
        </w:tc>
        <w:tc>
          <w:tcPr>
            <w:tcW w:w="0" w:type="auto"/>
            <w:shd w:val="clear" w:color="auto" w:fill="auto"/>
            <w:vAlign w:val="center"/>
          </w:tcPr>
          <w:p w14:paraId="64A8AD46" w14:textId="77777777" w:rsidR="008D6614" w:rsidRDefault="008D6614">
            <w:pPr>
              <w:rPr>
                <w:rFonts w:ascii="宋体"/>
              </w:rPr>
            </w:pPr>
          </w:p>
        </w:tc>
        <w:tc>
          <w:tcPr>
            <w:tcW w:w="0" w:type="auto"/>
            <w:shd w:val="clear" w:color="auto" w:fill="auto"/>
            <w:vAlign w:val="center"/>
          </w:tcPr>
          <w:p w14:paraId="64A8AD47" w14:textId="77777777" w:rsidR="008D6614" w:rsidRDefault="008D6614">
            <w:pPr>
              <w:rPr>
                <w:rFonts w:ascii="宋体"/>
              </w:rPr>
            </w:pPr>
          </w:p>
        </w:tc>
        <w:tc>
          <w:tcPr>
            <w:tcW w:w="0" w:type="auto"/>
            <w:shd w:val="clear" w:color="auto" w:fill="auto"/>
            <w:vAlign w:val="center"/>
          </w:tcPr>
          <w:p w14:paraId="64A8AD48" w14:textId="77777777" w:rsidR="008D6614" w:rsidRDefault="008D6614">
            <w:pPr>
              <w:rPr>
                <w:rFonts w:ascii="宋体"/>
              </w:rPr>
            </w:pPr>
          </w:p>
        </w:tc>
        <w:tc>
          <w:tcPr>
            <w:tcW w:w="0" w:type="auto"/>
            <w:shd w:val="clear" w:color="auto" w:fill="auto"/>
            <w:vAlign w:val="center"/>
          </w:tcPr>
          <w:p w14:paraId="64A8AD49" w14:textId="77777777" w:rsidR="008D6614" w:rsidRDefault="008D6614">
            <w:pPr>
              <w:rPr>
                <w:rFonts w:ascii="宋体"/>
              </w:rPr>
            </w:pPr>
          </w:p>
        </w:tc>
        <w:tc>
          <w:tcPr>
            <w:tcW w:w="0" w:type="auto"/>
            <w:shd w:val="clear" w:color="auto" w:fill="auto"/>
            <w:vAlign w:val="center"/>
          </w:tcPr>
          <w:p w14:paraId="64A8AD4A" w14:textId="77777777" w:rsidR="008D6614" w:rsidRDefault="008D6614">
            <w:pPr>
              <w:rPr>
                <w:rFonts w:ascii="宋体"/>
              </w:rPr>
            </w:pPr>
          </w:p>
        </w:tc>
        <w:tc>
          <w:tcPr>
            <w:tcW w:w="0" w:type="auto"/>
            <w:shd w:val="clear" w:color="auto" w:fill="auto"/>
            <w:vAlign w:val="center"/>
          </w:tcPr>
          <w:p w14:paraId="64A8AD4B" w14:textId="77777777" w:rsidR="008D6614" w:rsidRDefault="008D6614">
            <w:pPr>
              <w:rPr>
                <w:rFonts w:ascii="宋体"/>
              </w:rPr>
            </w:pPr>
          </w:p>
        </w:tc>
        <w:tc>
          <w:tcPr>
            <w:tcW w:w="0" w:type="auto"/>
            <w:shd w:val="clear" w:color="auto" w:fill="auto"/>
            <w:vAlign w:val="center"/>
          </w:tcPr>
          <w:p w14:paraId="64A8AD4C" w14:textId="77777777" w:rsidR="008D6614" w:rsidRDefault="008D6614">
            <w:pPr>
              <w:rPr>
                <w:rFonts w:ascii="宋体"/>
              </w:rPr>
            </w:pPr>
          </w:p>
        </w:tc>
        <w:tc>
          <w:tcPr>
            <w:tcW w:w="0" w:type="auto"/>
            <w:shd w:val="clear" w:color="auto" w:fill="auto"/>
            <w:vAlign w:val="center"/>
          </w:tcPr>
          <w:p w14:paraId="64A8AD4D" w14:textId="77777777" w:rsidR="008D6614" w:rsidRDefault="008D6614">
            <w:pPr>
              <w:rPr>
                <w:rFonts w:ascii="宋体"/>
              </w:rPr>
            </w:pPr>
          </w:p>
        </w:tc>
        <w:tc>
          <w:tcPr>
            <w:tcW w:w="0" w:type="auto"/>
            <w:shd w:val="clear" w:color="auto" w:fill="auto"/>
            <w:vAlign w:val="center"/>
          </w:tcPr>
          <w:p w14:paraId="64A8AD4E" w14:textId="77777777" w:rsidR="008D6614" w:rsidRDefault="008D6614">
            <w:pPr>
              <w:rPr>
                <w:rFonts w:ascii="宋体"/>
              </w:rPr>
            </w:pPr>
          </w:p>
        </w:tc>
        <w:tc>
          <w:tcPr>
            <w:tcW w:w="0" w:type="auto"/>
            <w:shd w:val="clear" w:color="auto" w:fill="auto"/>
            <w:vAlign w:val="center"/>
          </w:tcPr>
          <w:p w14:paraId="64A8AD4F" w14:textId="77777777" w:rsidR="008D6614" w:rsidRDefault="008D6614">
            <w:pPr>
              <w:rPr>
                <w:rFonts w:ascii="宋体"/>
              </w:rPr>
            </w:pPr>
          </w:p>
        </w:tc>
        <w:tc>
          <w:tcPr>
            <w:tcW w:w="0" w:type="auto"/>
            <w:shd w:val="clear" w:color="auto" w:fill="auto"/>
            <w:vAlign w:val="center"/>
          </w:tcPr>
          <w:p w14:paraId="64A8AD50" w14:textId="77777777" w:rsidR="008D6614" w:rsidRDefault="008D6614">
            <w:pPr>
              <w:rPr>
                <w:rFonts w:ascii="宋体"/>
              </w:rPr>
            </w:pPr>
          </w:p>
        </w:tc>
        <w:tc>
          <w:tcPr>
            <w:tcW w:w="0" w:type="auto"/>
            <w:shd w:val="clear" w:color="auto" w:fill="auto"/>
            <w:vAlign w:val="center"/>
          </w:tcPr>
          <w:p w14:paraId="64A8AD51" w14:textId="77777777" w:rsidR="008D6614" w:rsidRDefault="008D6614">
            <w:pPr>
              <w:rPr>
                <w:rFonts w:ascii="宋体"/>
              </w:rPr>
            </w:pPr>
          </w:p>
        </w:tc>
      </w:tr>
      <w:tr w:rsidR="008D6614" w14:paraId="64A8AD72" w14:textId="77777777">
        <w:trPr>
          <w:trHeight w:val="280"/>
        </w:trPr>
        <w:tc>
          <w:tcPr>
            <w:tcW w:w="0" w:type="auto"/>
            <w:gridSpan w:val="3"/>
            <w:shd w:val="clear" w:color="auto" w:fill="FFFFFF"/>
            <w:tcMar>
              <w:left w:w="20" w:type="dxa"/>
              <w:right w:w="20" w:type="dxa"/>
            </w:tcMar>
            <w:vAlign w:val="bottom"/>
          </w:tcPr>
          <w:p w14:paraId="64A8AD5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D54"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D5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D56"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D5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D58"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D59"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D5A" w14:textId="77777777" w:rsidR="008D6614" w:rsidRDefault="008D6614">
            <w:pPr>
              <w:rPr>
                <w:rFonts w:ascii="宋体"/>
              </w:rPr>
            </w:pPr>
          </w:p>
        </w:tc>
        <w:tc>
          <w:tcPr>
            <w:tcW w:w="0" w:type="auto"/>
            <w:shd w:val="clear" w:color="auto" w:fill="auto"/>
            <w:vAlign w:val="center"/>
          </w:tcPr>
          <w:p w14:paraId="64A8AD5B" w14:textId="77777777" w:rsidR="008D6614" w:rsidRDefault="008D6614">
            <w:pPr>
              <w:rPr>
                <w:rFonts w:ascii="宋体"/>
                <w:vanish/>
              </w:rPr>
            </w:pPr>
          </w:p>
        </w:tc>
        <w:tc>
          <w:tcPr>
            <w:tcW w:w="0" w:type="auto"/>
            <w:shd w:val="clear" w:color="auto" w:fill="auto"/>
            <w:vAlign w:val="center"/>
          </w:tcPr>
          <w:p w14:paraId="64A8AD5C" w14:textId="77777777" w:rsidR="008D6614" w:rsidRDefault="008D6614">
            <w:pPr>
              <w:rPr>
                <w:rFonts w:ascii="宋体"/>
                <w:vanish/>
              </w:rPr>
            </w:pPr>
          </w:p>
        </w:tc>
        <w:tc>
          <w:tcPr>
            <w:tcW w:w="0" w:type="auto"/>
            <w:shd w:val="clear" w:color="auto" w:fill="auto"/>
            <w:vAlign w:val="center"/>
          </w:tcPr>
          <w:p w14:paraId="64A8AD5D" w14:textId="77777777" w:rsidR="008D6614" w:rsidRDefault="008D6614">
            <w:pPr>
              <w:rPr>
                <w:rFonts w:ascii="宋体"/>
                <w:vanish/>
              </w:rPr>
            </w:pPr>
          </w:p>
        </w:tc>
        <w:tc>
          <w:tcPr>
            <w:tcW w:w="0" w:type="auto"/>
            <w:shd w:val="clear" w:color="auto" w:fill="auto"/>
            <w:vAlign w:val="center"/>
          </w:tcPr>
          <w:p w14:paraId="64A8AD5E" w14:textId="77777777" w:rsidR="008D6614" w:rsidRDefault="008D6614">
            <w:pPr>
              <w:rPr>
                <w:rFonts w:ascii="宋体"/>
                <w:vanish/>
              </w:rPr>
            </w:pPr>
          </w:p>
        </w:tc>
        <w:tc>
          <w:tcPr>
            <w:tcW w:w="0" w:type="auto"/>
            <w:shd w:val="clear" w:color="auto" w:fill="auto"/>
            <w:vAlign w:val="center"/>
          </w:tcPr>
          <w:p w14:paraId="64A8AD5F" w14:textId="77777777" w:rsidR="008D6614" w:rsidRDefault="008D6614">
            <w:pPr>
              <w:rPr>
                <w:rFonts w:ascii="宋体"/>
                <w:vanish/>
              </w:rPr>
            </w:pPr>
          </w:p>
        </w:tc>
        <w:tc>
          <w:tcPr>
            <w:tcW w:w="0" w:type="auto"/>
            <w:shd w:val="clear" w:color="auto" w:fill="auto"/>
            <w:vAlign w:val="center"/>
          </w:tcPr>
          <w:p w14:paraId="64A8AD60" w14:textId="77777777" w:rsidR="008D6614" w:rsidRDefault="008D6614">
            <w:pPr>
              <w:rPr>
                <w:rFonts w:ascii="宋体"/>
                <w:vanish/>
              </w:rPr>
            </w:pPr>
          </w:p>
        </w:tc>
        <w:tc>
          <w:tcPr>
            <w:tcW w:w="0" w:type="auto"/>
            <w:shd w:val="clear" w:color="auto" w:fill="auto"/>
            <w:vAlign w:val="center"/>
          </w:tcPr>
          <w:p w14:paraId="64A8AD61" w14:textId="77777777" w:rsidR="008D6614" w:rsidRDefault="008D6614">
            <w:pPr>
              <w:rPr>
                <w:rFonts w:ascii="宋体"/>
                <w:vanish/>
              </w:rPr>
            </w:pPr>
          </w:p>
        </w:tc>
        <w:tc>
          <w:tcPr>
            <w:tcW w:w="0" w:type="auto"/>
            <w:shd w:val="clear" w:color="auto" w:fill="auto"/>
            <w:vAlign w:val="center"/>
          </w:tcPr>
          <w:p w14:paraId="64A8AD62" w14:textId="77777777" w:rsidR="008D6614" w:rsidRDefault="008D6614">
            <w:pPr>
              <w:rPr>
                <w:rFonts w:ascii="宋体"/>
                <w:vanish/>
              </w:rPr>
            </w:pPr>
          </w:p>
        </w:tc>
        <w:tc>
          <w:tcPr>
            <w:tcW w:w="0" w:type="auto"/>
            <w:shd w:val="clear" w:color="auto" w:fill="auto"/>
            <w:vAlign w:val="center"/>
          </w:tcPr>
          <w:p w14:paraId="64A8AD63" w14:textId="77777777" w:rsidR="008D6614" w:rsidRDefault="008D6614">
            <w:pPr>
              <w:rPr>
                <w:rFonts w:ascii="宋体"/>
              </w:rPr>
            </w:pPr>
          </w:p>
        </w:tc>
        <w:tc>
          <w:tcPr>
            <w:tcW w:w="0" w:type="auto"/>
            <w:shd w:val="clear" w:color="auto" w:fill="auto"/>
            <w:vAlign w:val="center"/>
          </w:tcPr>
          <w:p w14:paraId="64A8AD64" w14:textId="77777777" w:rsidR="008D6614" w:rsidRDefault="008D6614">
            <w:pPr>
              <w:rPr>
                <w:rFonts w:ascii="宋体"/>
              </w:rPr>
            </w:pPr>
          </w:p>
        </w:tc>
        <w:tc>
          <w:tcPr>
            <w:tcW w:w="0" w:type="auto"/>
            <w:shd w:val="clear" w:color="auto" w:fill="auto"/>
            <w:vAlign w:val="center"/>
          </w:tcPr>
          <w:p w14:paraId="64A8AD65" w14:textId="77777777" w:rsidR="008D6614" w:rsidRDefault="008D6614">
            <w:pPr>
              <w:rPr>
                <w:rFonts w:ascii="宋体"/>
              </w:rPr>
            </w:pPr>
          </w:p>
        </w:tc>
        <w:tc>
          <w:tcPr>
            <w:tcW w:w="0" w:type="auto"/>
            <w:shd w:val="clear" w:color="auto" w:fill="auto"/>
            <w:vAlign w:val="center"/>
          </w:tcPr>
          <w:p w14:paraId="64A8AD66" w14:textId="77777777" w:rsidR="008D6614" w:rsidRDefault="008D6614">
            <w:pPr>
              <w:rPr>
                <w:rFonts w:ascii="宋体"/>
              </w:rPr>
            </w:pPr>
          </w:p>
        </w:tc>
        <w:tc>
          <w:tcPr>
            <w:tcW w:w="0" w:type="auto"/>
            <w:shd w:val="clear" w:color="auto" w:fill="auto"/>
            <w:vAlign w:val="center"/>
          </w:tcPr>
          <w:p w14:paraId="64A8AD67" w14:textId="77777777" w:rsidR="008D6614" w:rsidRDefault="008D6614">
            <w:pPr>
              <w:rPr>
                <w:rFonts w:ascii="宋体"/>
              </w:rPr>
            </w:pPr>
          </w:p>
        </w:tc>
        <w:tc>
          <w:tcPr>
            <w:tcW w:w="0" w:type="auto"/>
            <w:shd w:val="clear" w:color="auto" w:fill="auto"/>
            <w:vAlign w:val="center"/>
          </w:tcPr>
          <w:p w14:paraId="64A8AD68" w14:textId="77777777" w:rsidR="008D6614" w:rsidRDefault="008D6614">
            <w:pPr>
              <w:rPr>
                <w:rFonts w:ascii="宋体"/>
              </w:rPr>
            </w:pPr>
          </w:p>
        </w:tc>
        <w:tc>
          <w:tcPr>
            <w:tcW w:w="0" w:type="auto"/>
            <w:shd w:val="clear" w:color="auto" w:fill="auto"/>
            <w:vAlign w:val="center"/>
          </w:tcPr>
          <w:p w14:paraId="64A8AD69" w14:textId="77777777" w:rsidR="008D6614" w:rsidRDefault="008D6614">
            <w:pPr>
              <w:rPr>
                <w:rFonts w:ascii="宋体"/>
              </w:rPr>
            </w:pPr>
          </w:p>
        </w:tc>
        <w:tc>
          <w:tcPr>
            <w:tcW w:w="0" w:type="auto"/>
            <w:shd w:val="clear" w:color="auto" w:fill="auto"/>
            <w:vAlign w:val="center"/>
          </w:tcPr>
          <w:p w14:paraId="64A8AD6A" w14:textId="77777777" w:rsidR="008D6614" w:rsidRDefault="008D6614">
            <w:pPr>
              <w:rPr>
                <w:rFonts w:ascii="宋体"/>
              </w:rPr>
            </w:pPr>
          </w:p>
        </w:tc>
        <w:tc>
          <w:tcPr>
            <w:tcW w:w="0" w:type="auto"/>
            <w:shd w:val="clear" w:color="auto" w:fill="auto"/>
            <w:vAlign w:val="center"/>
          </w:tcPr>
          <w:p w14:paraId="64A8AD6B" w14:textId="77777777" w:rsidR="008D6614" w:rsidRDefault="008D6614">
            <w:pPr>
              <w:rPr>
                <w:rFonts w:ascii="宋体"/>
              </w:rPr>
            </w:pPr>
          </w:p>
        </w:tc>
        <w:tc>
          <w:tcPr>
            <w:tcW w:w="0" w:type="auto"/>
            <w:shd w:val="clear" w:color="auto" w:fill="auto"/>
            <w:vAlign w:val="center"/>
          </w:tcPr>
          <w:p w14:paraId="64A8AD6C" w14:textId="77777777" w:rsidR="008D6614" w:rsidRDefault="008D6614">
            <w:pPr>
              <w:rPr>
                <w:rFonts w:ascii="宋体"/>
              </w:rPr>
            </w:pPr>
          </w:p>
        </w:tc>
        <w:tc>
          <w:tcPr>
            <w:tcW w:w="0" w:type="auto"/>
            <w:shd w:val="clear" w:color="auto" w:fill="auto"/>
            <w:vAlign w:val="center"/>
          </w:tcPr>
          <w:p w14:paraId="64A8AD6D" w14:textId="77777777" w:rsidR="008D6614" w:rsidRDefault="008D6614">
            <w:pPr>
              <w:rPr>
                <w:rFonts w:ascii="宋体"/>
              </w:rPr>
            </w:pPr>
          </w:p>
        </w:tc>
        <w:tc>
          <w:tcPr>
            <w:tcW w:w="0" w:type="auto"/>
            <w:shd w:val="clear" w:color="auto" w:fill="auto"/>
            <w:vAlign w:val="center"/>
          </w:tcPr>
          <w:p w14:paraId="64A8AD6E" w14:textId="77777777" w:rsidR="008D6614" w:rsidRDefault="008D6614">
            <w:pPr>
              <w:rPr>
                <w:rFonts w:ascii="宋体"/>
              </w:rPr>
            </w:pPr>
          </w:p>
        </w:tc>
        <w:tc>
          <w:tcPr>
            <w:tcW w:w="0" w:type="auto"/>
            <w:shd w:val="clear" w:color="auto" w:fill="auto"/>
            <w:vAlign w:val="center"/>
          </w:tcPr>
          <w:p w14:paraId="64A8AD6F" w14:textId="77777777" w:rsidR="008D6614" w:rsidRDefault="008D6614">
            <w:pPr>
              <w:rPr>
                <w:rFonts w:ascii="宋体"/>
              </w:rPr>
            </w:pPr>
          </w:p>
        </w:tc>
        <w:tc>
          <w:tcPr>
            <w:tcW w:w="0" w:type="auto"/>
            <w:shd w:val="clear" w:color="auto" w:fill="auto"/>
            <w:vAlign w:val="center"/>
          </w:tcPr>
          <w:p w14:paraId="64A8AD70" w14:textId="77777777" w:rsidR="008D6614" w:rsidRDefault="008D6614">
            <w:pPr>
              <w:rPr>
                <w:rFonts w:ascii="宋体"/>
              </w:rPr>
            </w:pPr>
          </w:p>
        </w:tc>
        <w:tc>
          <w:tcPr>
            <w:tcW w:w="0" w:type="auto"/>
            <w:shd w:val="clear" w:color="auto" w:fill="auto"/>
            <w:vAlign w:val="center"/>
          </w:tcPr>
          <w:p w14:paraId="64A8AD71" w14:textId="77777777" w:rsidR="008D6614" w:rsidRDefault="008D6614">
            <w:pPr>
              <w:rPr>
                <w:rFonts w:ascii="宋体"/>
              </w:rPr>
            </w:pPr>
          </w:p>
        </w:tc>
      </w:tr>
      <w:tr w:rsidR="008D6614" w14:paraId="64A8AD92" w14:textId="77777777">
        <w:tc>
          <w:tcPr>
            <w:tcW w:w="0" w:type="auto"/>
            <w:gridSpan w:val="3"/>
            <w:shd w:val="clear" w:color="auto" w:fill="E2E2E2"/>
            <w:tcMar>
              <w:top w:w="40" w:type="dxa"/>
              <w:left w:w="20" w:type="dxa"/>
              <w:bottom w:w="40" w:type="dxa"/>
              <w:right w:w="20" w:type="dxa"/>
            </w:tcMar>
            <w:vAlign w:val="bottom"/>
          </w:tcPr>
          <w:p w14:paraId="64A8AD73" w14:textId="77777777" w:rsidR="008D6614" w:rsidRDefault="00866AF2">
            <w:pPr>
              <w:textAlignment w:val="bottom"/>
            </w:pPr>
            <w:r>
              <w:rPr>
                <w:rFonts w:ascii="Arial" w:eastAsia="宋体" w:hAnsi="Arial" w:cs="Arial"/>
                <w:color w:val="000000"/>
                <w:sz w:val="16"/>
                <w:szCs w:val="16"/>
              </w:rPr>
              <w:t>Supplemental data:</w:t>
            </w:r>
          </w:p>
        </w:tc>
        <w:tc>
          <w:tcPr>
            <w:tcW w:w="0" w:type="auto"/>
            <w:gridSpan w:val="3"/>
            <w:shd w:val="clear" w:color="auto" w:fill="E2E2E2"/>
            <w:tcMar>
              <w:left w:w="20" w:type="dxa"/>
              <w:right w:w="20" w:type="dxa"/>
            </w:tcMar>
            <w:vAlign w:val="bottom"/>
          </w:tcPr>
          <w:p w14:paraId="64A8AD7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D7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D7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D7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D7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D79"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D7A" w14:textId="77777777" w:rsidR="008D6614" w:rsidRDefault="008D6614">
            <w:pPr>
              <w:rPr>
                <w:rFonts w:ascii="宋体"/>
              </w:rPr>
            </w:pPr>
          </w:p>
        </w:tc>
        <w:tc>
          <w:tcPr>
            <w:tcW w:w="0" w:type="auto"/>
            <w:shd w:val="clear" w:color="auto" w:fill="auto"/>
            <w:vAlign w:val="center"/>
          </w:tcPr>
          <w:p w14:paraId="64A8AD7B" w14:textId="77777777" w:rsidR="008D6614" w:rsidRDefault="008D6614">
            <w:pPr>
              <w:rPr>
                <w:rFonts w:ascii="宋体"/>
                <w:vanish/>
              </w:rPr>
            </w:pPr>
          </w:p>
        </w:tc>
        <w:tc>
          <w:tcPr>
            <w:tcW w:w="0" w:type="auto"/>
            <w:shd w:val="clear" w:color="auto" w:fill="auto"/>
            <w:vAlign w:val="center"/>
          </w:tcPr>
          <w:p w14:paraId="64A8AD7C" w14:textId="77777777" w:rsidR="008D6614" w:rsidRDefault="008D6614">
            <w:pPr>
              <w:rPr>
                <w:rFonts w:ascii="宋体"/>
                <w:vanish/>
              </w:rPr>
            </w:pPr>
          </w:p>
        </w:tc>
        <w:tc>
          <w:tcPr>
            <w:tcW w:w="0" w:type="auto"/>
            <w:shd w:val="clear" w:color="auto" w:fill="auto"/>
            <w:vAlign w:val="center"/>
          </w:tcPr>
          <w:p w14:paraId="64A8AD7D" w14:textId="77777777" w:rsidR="008D6614" w:rsidRDefault="008D6614">
            <w:pPr>
              <w:rPr>
                <w:rFonts w:ascii="宋体"/>
                <w:vanish/>
              </w:rPr>
            </w:pPr>
          </w:p>
        </w:tc>
        <w:tc>
          <w:tcPr>
            <w:tcW w:w="0" w:type="auto"/>
            <w:shd w:val="clear" w:color="auto" w:fill="auto"/>
            <w:vAlign w:val="center"/>
          </w:tcPr>
          <w:p w14:paraId="64A8AD7E" w14:textId="77777777" w:rsidR="008D6614" w:rsidRDefault="008D6614">
            <w:pPr>
              <w:rPr>
                <w:rFonts w:ascii="宋体"/>
                <w:vanish/>
              </w:rPr>
            </w:pPr>
          </w:p>
        </w:tc>
        <w:tc>
          <w:tcPr>
            <w:tcW w:w="0" w:type="auto"/>
            <w:shd w:val="clear" w:color="auto" w:fill="auto"/>
            <w:vAlign w:val="center"/>
          </w:tcPr>
          <w:p w14:paraId="64A8AD7F" w14:textId="77777777" w:rsidR="008D6614" w:rsidRDefault="008D6614">
            <w:pPr>
              <w:rPr>
                <w:rFonts w:ascii="宋体"/>
                <w:vanish/>
              </w:rPr>
            </w:pPr>
          </w:p>
        </w:tc>
        <w:tc>
          <w:tcPr>
            <w:tcW w:w="0" w:type="auto"/>
            <w:shd w:val="clear" w:color="auto" w:fill="auto"/>
            <w:vAlign w:val="center"/>
          </w:tcPr>
          <w:p w14:paraId="64A8AD80" w14:textId="77777777" w:rsidR="008D6614" w:rsidRDefault="008D6614">
            <w:pPr>
              <w:rPr>
                <w:rFonts w:ascii="宋体"/>
                <w:vanish/>
              </w:rPr>
            </w:pPr>
          </w:p>
        </w:tc>
        <w:tc>
          <w:tcPr>
            <w:tcW w:w="0" w:type="auto"/>
            <w:shd w:val="clear" w:color="auto" w:fill="auto"/>
            <w:vAlign w:val="center"/>
          </w:tcPr>
          <w:p w14:paraId="64A8AD81" w14:textId="77777777" w:rsidR="008D6614" w:rsidRDefault="008D6614">
            <w:pPr>
              <w:rPr>
                <w:rFonts w:ascii="宋体"/>
                <w:vanish/>
              </w:rPr>
            </w:pPr>
          </w:p>
        </w:tc>
        <w:tc>
          <w:tcPr>
            <w:tcW w:w="0" w:type="auto"/>
            <w:shd w:val="clear" w:color="auto" w:fill="auto"/>
            <w:vAlign w:val="center"/>
          </w:tcPr>
          <w:p w14:paraId="64A8AD82" w14:textId="77777777" w:rsidR="008D6614" w:rsidRDefault="008D6614">
            <w:pPr>
              <w:rPr>
                <w:rFonts w:ascii="宋体"/>
                <w:vanish/>
              </w:rPr>
            </w:pPr>
          </w:p>
        </w:tc>
        <w:tc>
          <w:tcPr>
            <w:tcW w:w="0" w:type="auto"/>
            <w:shd w:val="clear" w:color="auto" w:fill="auto"/>
            <w:vAlign w:val="center"/>
          </w:tcPr>
          <w:p w14:paraId="64A8AD83" w14:textId="77777777" w:rsidR="008D6614" w:rsidRDefault="008D6614">
            <w:pPr>
              <w:rPr>
                <w:rFonts w:ascii="宋体"/>
              </w:rPr>
            </w:pPr>
          </w:p>
        </w:tc>
        <w:tc>
          <w:tcPr>
            <w:tcW w:w="0" w:type="auto"/>
            <w:shd w:val="clear" w:color="auto" w:fill="auto"/>
            <w:vAlign w:val="center"/>
          </w:tcPr>
          <w:p w14:paraId="64A8AD84" w14:textId="77777777" w:rsidR="008D6614" w:rsidRDefault="008D6614">
            <w:pPr>
              <w:rPr>
                <w:rFonts w:ascii="宋体"/>
              </w:rPr>
            </w:pPr>
          </w:p>
        </w:tc>
        <w:tc>
          <w:tcPr>
            <w:tcW w:w="0" w:type="auto"/>
            <w:shd w:val="clear" w:color="auto" w:fill="auto"/>
            <w:vAlign w:val="center"/>
          </w:tcPr>
          <w:p w14:paraId="64A8AD85" w14:textId="77777777" w:rsidR="008D6614" w:rsidRDefault="008D6614">
            <w:pPr>
              <w:rPr>
                <w:rFonts w:ascii="宋体"/>
              </w:rPr>
            </w:pPr>
          </w:p>
        </w:tc>
        <w:tc>
          <w:tcPr>
            <w:tcW w:w="0" w:type="auto"/>
            <w:shd w:val="clear" w:color="auto" w:fill="auto"/>
            <w:vAlign w:val="center"/>
          </w:tcPr>
          <w:p w14:paraId="64A8AD86" w14:textId="77777777" w:rsidR="008D6614" w:rsidRDefault="008D6614">
            <w:pPr>
              <w:rPr>
                <w:rFonts w:ascii="宋体"/>
              </w:rPr>
            </w:pPr>
          </w:p>
        </w:tc>
        <w:tc>
          <w:tcPr>
            <w:tcW w:w="0" w:type="auto"/>
            <w:shd w:val="clear" w:color="auto" w:fill="auto"/>
            <w:vAlign w:val="center"/>
          </w:tcPr>
          <w:p w14:paraId="64A8AD87" w14:textId="77777777" w:rsidR="008D6614" w:rsidRDefault="008D6614">
            <w:pPr>
              <w:rPr>
                <w:rFonts w:ascii="宋体"/>
              </w:rPr>
            </w:pPr>
          </w:p>
        </w:tc>
        <w:tc>
          <w:tcPr>
            <w:tcW w:w="0" w:type="auto"/>
            <w:shd w:val="clear" w:color="auto" w:fill="auto"/>
            <w:vAlign w:val="center"/>
          </w:tcPr>
          <w:p w14:paraId="64A8AD88" w14:textId="77777777" w:rsidR="008D6614" w:rsidRDefault="008D6614">
            <w:pPr>
              <w:rPr>
                <w:rFonts w:ascii="宋体"/>
              </w:rPr>
            </w:pPr>
          </w:p>
        </w:tc>
        <w:tc>
          <w:tcPr>
            <w:tcW w:w="0" w:type="auto"/>
            <w:shd w:val="clear" w:color="auto" w:fill="auto"/>
            <w:vAlign w:val="center"/>
          </w:tcPr>
          <w:p w14:paraId="64A8AD89" w14:textId="77777777" w:rsidR="008D6614" w:rsidRDefault="008D6614">
            <w:pPr>
              <w:rPr>
                <w:rFonts w:ascii="宋体"/>
              </w:rPr>
            </w:pPr>
          </w:p>
        </w:tc>
        <w:tc>
          <w:tcPr>
            <w:tcW w:w="0" w:type="auto"/>
            <w:shd w:val="clear" w:color="auto" w:fill="auto"/>
            <w:vAlign w:val="center"/>
          </w:tcPr>
          <w:p w14:paraId="64A8AD8A" w14:textId="77777777" w:rsidR="008D6614" w:rsidRDefault="008D6614">
            <w:pPr>
              <w:rPr>
                <w:rFonts w:ascii="宋体"/>
              </w:rPr>
            </w:pPr>
          </w:p>
        </w:tc>
        <w:tc>
          <w:tcPr>
            <w:tcW w:w="0" w:type="auto"/>
            <w:shd w:val="clear" w:color="auto" w:fill="auto"/>
            <w:vAlign w:val="center"/>
          </w:tcPr>
          <w:p w14:paraId="64A8AD8B" w14:textId="77777777" w:rsidR="008D6614" w:rsidRDefault="008D6614">
            <w:pPr>
              <w:rPr>
                <w:rFonts w:ascii="宋体"/>
              </w:rPr>
            </w:pPr>
          </w:p>
        </w:tc>
        <w:tc>
          <w:tcPr>
            <w:tcW w:w="0" w:type="auto"/>
            <w:shd w:val="clear" w:color="auto" w:fill="auto"/>
            <w:vAlign w:val="center"/>
          </w:tcPr>
          <w:p w14:paraId="64A8AD8C" w14:textId="77777777" w:rsidR="008D6614" w:rsidRDefault="008D6614">
            <w:pPr>
              <w:rPr>
                <w:rFonts w:ascii="宋体"/>
              </w:rPr>
            </w:pPr>
          </w:p>
        </w:tc>
        <w:tc>
          <w:tcPr>
            <w:tcW w:w="0" w:type="auto"/>
            <w:shd w:val="clear" w:color="auto" w:fill="auto"/>
            <w:vAlign w:val="center"/>
          </w:tcPr>
          <w:p w14:paraId="64A8AD8D" w14:textId="77777777" w:rsidR="008D6614" w:rsidRDefault="008D6614">
            <w:pPr>
              <w:rPr>
                <w:rFonts w:ascii="宋体"/>
              </w:rPr>
            </w:pPr>
          </w:p>
        </w:tc>
        <w:tc>
          <w:tcPr>
            <w:tcW w:w="0" w:type="auto"/>
            <w:shd w:val="clear" w:color="auto" w:fill="auto"/>
            <w:vAlign w:val="center"/>
          </w:tcPr>
          <w:p w14:paraId="64A8AD8E" w14:textId="77777777" w:rsidR="008D6614" w:rsidRDefault="008D6614">
            <w:pPr>
              <w:rPr>
                <w:rFonts w:ascii="宋体"/>
              </w:rPr>
            </w:pPr>
          </w:p>
        </w:tc>
        <w:tc>
          <w:tcPr>
            <w:tcW w:w="0" w:type="auto"/>
            <w:shd w:val="clear" w:color="auto" w:fill="auto"/>
            <w:vAlign w:val="center"/>
          </w:tcPr>
          <w:p w14:paraId="64A8AD8F" w14:textId="77777777" w:rsidR="008D6614" w:rsidRDefault="008D6614">
            <w:pPr>
              <w:rPr>
                <w:rFonts w:ascii="宋体"/>
              </w:rPr>
            </w:pPr>
          </w:p>
        </w:tc>
        <w:tc>
          <w:tcPr>
            <w:tcW w:w="0" w:type="auto"/>
            <w:shd w:val="clear" w:color="auto" w:fill="auto"/>
            <w:vAlign w:val="center"/>
          </w:tcPr>
          <w:p w14:paraId="64A8AD90" w14:textId="77777777" w:rsidR="008D6614" w:rsidRDefault="008D6614">
            <w:pPr>
              <w:rPr>
                <w:rFonts w:ascii="宋体"/>
              </w:rPr>
            </w:pPr>
          </w:p>
        </w:tc>
        <w:tc>
          <w:tcPr>
            <w:tcW w:w="0" w:type="auto"/>
            <w:shd w:val="clear" w:color="auto" w:fill="auto"/>
            <w:vAlign w:val="center"/>
          </w:tcPr>
          <w:p w14:paraId="64A8AD91" w14:textId="77777777" w:rsidR="008D6614" w:rsidRDefault="008D6614">
            <w:pPr>
              <w:rPr>
                <w:rFonts w:ascii="宋体"/>
              </w:rPr>
            </w:pPr>
          </w:p>
        </w:tc>
      </w:tr>
      <w:tr w:rsidR="008D6614" w14:paraId="64A8ADB8" w14:textId="77777777">
        <w:tc>
          <w:tcPr>
            <w:tcW w:w="0" w:type="auto"/>
            <w:gridSpan w:val="3"/>
            <w:shd w:val="clear" w:color="auto" w:fill="FFFFFF"/>
            <w:tcMar>
              <w:top w:w="40" w:type="dxa"/>
              <w:left w:w="135" w:type="dxa"/>
              <w:bottom w:w="40" w:type="dxa"/>
              <w:right w:w="20" w:type="dxa"/>
            </w:tcMar>
            <w:vAlign w:val="bottom"/>
          </w:tcPr>
          <w:p w14:paraId="64A8AD93" w14:textId="77777777" w:rsidR="008D6614" w:rsidRDefault="00866AF2">
            <w:pPr>
              <w:textAlignment w:val="bottom"/>
            </w:pPr>
            <w:r>
              <w:rPr>
                <w:rFonts w:ascii="Arial" w:eastAsia="宋体" w:hAnsi="Arial" w:cs="Arial"/>
                <w:color w:val="000000"/>
                <w:sz w:val="16"/>
                <w:szCs w:val="16"/>
              </w:rPr>
              <w:t>Marketplace GMV</w:t>
            </w:r>
          </w:p>
        </w:tc>
        <w:tc>
          <w:tcPr>
            <w:tcW w:w="0" w:type="auto"/>
            <w:shd w:val="clear" w:color="auto" w:fill="FFFFFF"/>
            <w:tcMar>
              <w:top w:w="40" w:type="dxa"/>
              <w:left w:w="20" w:type="dxa"/>
              <w:bottom w:w="40" w:type="dxa"/>
            </w:tcMar>
            <w:vAlign w:val="bottom"/>
          </w:tcPr>
          <w:p w14:paraId="64A8AD94"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AD95" w14:textId="77777777" w:rsidR="008D6614" w:rsidRDefault="00866AF2">
            <w:pPr>
              <w:jc w:val="right"/>
              <w:textAlignment w:val="bottom"/>
            </w:pPr>
            <w:r>
              <w:rPr>
                <w:rFonts w:ascii="Arial" w:eastAsia="宋体" w:hAnsi="Arial" w:cs="Arial"/>
                <w:color w:val="000000"/>
                <w:sz w:val="16"/>
                <w:szCs w:val="16"/>
              </w:rPr>
              <w:t>21,259 </w:t>
            </w:r>
          </w:p>
        </w:tc>
        <w:tc>
          <w:tcPr>
            <w:tcW w:w="0" w:type="auto"/>
            <w:shd w:val="clear" w:color="auto" w:fill="FFFFFF"/>
            <w:tcMar>
              <w:top w:w="40" w:type="dxa"/>
              <w:bottom w:w="40" w:type="dxa"/>
              <w:right w:w="20" w:type="dxa"/>
            </w:tcMar>
            <w:vAlign w:val="bottom"/>
          </w:tcPr>
          <w:p w14:paraId="64A8AD9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D97"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AD98"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AD99" w14:textId="77777777" w:rsidR="008D6614" w:rsidRDefault="00866AF2">
            <w:pPr>
              <w:jc w:val="right"/>
              <w:textAlignment w:val="bottom"/>
            </w:pPr>
            <w:r>
              <w:rPr>
                <w:rFonts w:ascii="Arial" w:eastAsia="宋体" w:hAnsi="Arial" w:cs="Arial"/>
                <w:color w:val="000000"/>
                <w:sz w:val="16"/>
                <w:szCs w:val="16"/>
              </w:rPr>
              <w:t>21,571 </w:t>
            </w:r>
          </w:p>
        </w:tc>
        <w:tc>
          <w:tcPr>
            <w:tcW w:w="0" w:type="auto"/>
            <w:shd w:val="clear" w:color="auto" w:fill="FFFFFF"/>
            <w:tcMar>
              <w:top w:w="40" w:type="dxa"/>
              <w:bottom w:w="40" w:type="dxa"/>
              <w:right w:w="20" w:type="dxa"/>
            </w:tcMar>
            <w:vAlign w:val="bottom"/>
          </w:tcPr>
          <w:p w14:paraId="64A8AD9A"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D9B"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D9C" w14:textId="77777777" w:rsidR="008D6614" w:rsidRDefault="00866AF2">
            <w:pPr>
              <w:jc w:val="right"/>
              <w:textAlignment w:val="bottom"/>
            </w:pPr>
            <w:r>
              <w:rPr>
                <w:rFonts w:ascii="Arial" w:eastAsia="宋体" w:hAnsi="Arial" w:cs="Arial"/>
                <w:color w:val="000000"/>
                <w:sz w:val="16"/>
                <w:szCs w:val="16"/>
              </w:rPr>
              <w:t>(1)</w:t>
            </w:r>
          </w:p>
        </w:tc>
        <w:tc>
          <w:tcPr>
            <w:tcW w:w="0" w:type="auto"/>
            <w:shd w:val="clear" w:color="auto" w:fill="FFFFFF"/>
            <w:tcMar>
              <w:top w:w="40" w:type="dxa"/>
              <w:bottom w:w="40" w:type="dxa"/>
              <w:right w:w="20" w:type="dxa"/>
            </w:tcMar>
            <w:vAlign w:val="bottom"/>
          </w:tcPr>
          <w:p w14:paraId="64A8AD9D"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AD9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D9F"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64A8ADA0"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DA1" w14:textId="77777777" w:rsidR="008D6614" w:rsidRDefault="008D6614">
            <w:pPr>
              <w:rPr>
                <w:rFonts w:ascii="宋体"/>
                <w:vanish/>
              </w:rPr>
            </w:pPr>
          </w:p>
        </w:tc>
        <w:tc>
          <w:tcPr>
            <w:tcW w:w="0" w:type="auto"/>
            <w:shd w:val="clear" w:color="auto" w:fill="auto"/>
            <w:vAlign w:val="center"/>
          </w:tcPr>
          <w:p w14:paraId="64A8ADA2" w14:textId="77777777" w:rsidR="008D6614" w:rsidRDefault="008D6614">
            <w:pPr>
              <w:rPr>
                <w:rFonts w:ascii="宋体"/>
                <w:vanish/>
              </w:rPr>
            </w:pPr>
          </w:p>
        </w:tc>
        <w:tc>
          <w:tcPr>
            <w:tcW w:w="0" w:type="auto"/>
            <w:shd w:val="clear" w:color="auto" w:fill="auto"/>
            <w:vAlign w:val="center"/>
          </w:tcPr>
          <w:p w14:paraId="64A8ADA3" w14:textId="77777777" w:rsidR="008D6614" w:rsidRDefault="008D6614">
            <w:pPr>
              <w:rPr>
                <w:rFonts w:ascii="宋体"/>
                <w:vanish/>
              </w:rPr>
            </w:pPr>
          </w:p>
        </w:tc>
        <w:tc>
          <w:tcPr>
            <w:tcW w:w="0" w:type="auto"/>
            <w:shd w:val="clear" w:color="auto" w:fill="auto"/>
            <w:vAlign w:val="center"/>
          </w:tcPr>
          <w:p w14:paraId="64A8ADA4" w14:textId="77777777" w:rsidR="008D6614" w:rsidRDefault="008D6614">
            <w:pPr>
              <w:rPr>
                <w:rFonts w:ascii="宋体"/>
                <w:vanish/>
              </w:rPr>
            </w:pPr>
          </w:p>
        </w:tc>
        <w:tc>
          <w:tcPr>
            <w:tcW w:w="0" w:type="auto"/>
            <w:shd w:val="clear" w:color="auto" w:fill="auto"/>
            <w:vAlign w:val="center"/>
          </w:tcPr>
          <w:p w14:paraId="64A8ADA5" w14:textId="77777777" w:rsidR="008D6614" w:rsidRDefault="008D6614">
            <w:pPr>
              <w:rPr>
                <w:rFonts w:ascii="宋体"/>
                <w:vanish/>
              </w:rPr>
            </w:pPr>
          </w:p>
        </w:tc>
        <w:tc>
          <w:tcPr>
            <w:tcW w:w="0" w:type="auto"/>
            <w:shd w:val="clear" w:color="auto" w:fill="auto"/>
            <w:vAlign w:val="center"/>
          </w:tcPr>
          <w:p w14:paraId="64A8ADA6" w14:textId="77777777" w:rsidR="008D6614" w:rsidRDefault="008D6614">
            <w:pPr>
              <w:rPr>
                <w:rFonts w:ascii="宋体"/>
                <w:vanish/>
              </w:rPr>
            </w:pPr>
          </w:p>
        </w:tc>
        <w:tc>
          <w:tcPr>
            <w:tcW w:w="0" w:type="auto"/>
            <w:shd w:val="clear" w:color="auto" w:fill="auto"/>
            <w:vAlign w:val="center"/>
          </w:tcPr>
          <w:p w14:paraId="64A8ADA7" w14:textId="77777777" w:rsidR="008D6614" w:rsidRDefault="008D6614">
            <w:pPr>
              <w:rPr>
                <w:rFonts w:ascii="宋体"/>
                <w:vanish/>
              </w:rPr>
            </w:pPr>
          </w:p>
        </w:tc>
        <w:tc>
          <w:tcPr>
            <w:tcW w:w="0" w:type="auto"/>
            <w:shd w:val="clear" w:color="auto" w:fill="auto"/>
            <w:vAlign w:val="center"/>
          </w:tcPr>
          <w:p w14:paraId="64A8ADA8" w14:textId="77777777" w:rsidR="008D6614" w:rsidRDefault="008D6614">
            <w:pPr>
              <w:rPr>
                <w:rFonts w:ascii="宋体"/>
                <w:vanish/>
              </w:rPr>
            </w:pPr>
          </w:p>
        </w:tc>
        <w:tc>
          <w:tcPr>
            <w:tcW w:w="0" w:type="auto"/>
            <w:shd w:val="clear" w:color="auto" w:fill="auto"/>
            <w:vAlign w:val="center"/>
          </w:tcPr>
          <w:p w14:paraId="64A8ADA9" w14:textId="77777777" w:rsidR="008D6614" w:rsidRDefault="008D6614">
            <w:pPr>
              <w:rPr>
                <w:rFonts w:ascii="宋体"/>
              </w:rPr>
            </w:pPr>
          </w:p>
        </w:tc>
        <w:tc>
          <w:tcPr>
            <w:tcW w:w="0" w:type="auto"/>
            <w:shd w:val="clear" w:color="auto" w:fill="auto"/>
            <w:vAlign w:val="center"/>
          </w:tcPr>
          <w:p w14:paraId="64A8ADAA" w14:textId="77777777" w:rsidR="008D6614" w:rsidRDefault="008D6614">
            <w:pPr>
              <w:rPr>
                <w:rFonts w:ascii="宋体"/>
              </w:rPr>
            </w:pPr>
          </w:p>
        </w:tc>
        <w:tc>
          <w:tcPr>
            <w:tcW w:w="0" w:type="auto"/>
            <w:shd w:val="clear" w:color="auto" w:fill="auto"/>
            <w:vAlign w:val="center"/>
          </w:tcPr>
          <w:p w14:paraId="64A8ADAB" w14:textId="77777777" w:rsidR="008D6614" w:rsidRDefault="008D6614">
            <w:pPr>
              <w:rPr>
                <w:rFonts w:ascii="宋体"/>
              </w:rPr>
            </w:pPr>
          </w:p>
        </w:tc>
        <w:tc>
          <w:tcPr>
            <w:tcW w:w="0" w:type="auto"/>
            <w:shd w:val="clear" w:color="auto" w:fill="auto"/>
            <w:vAlign w:val="center"/>
          </w:tcPr>
          <w:p w14:paraId="64A8ADAC" w14:textId="77777777" w:rsidR="008D6614" w:rsidRDefault="008D6614">
            <w:pPr>
              <w:rPr>
                <w:rFonts w:ascii="宋体"/>
              </w:rPr>
            </w:pPr>
          </w:p>
        </w:tc>
        <w:tc>
          <w:tcPr>
            <w:tcW w:w="0" w:type="auto"/>
            <w:shd w:val="clear" w:color="auto" w:fill="auto"/>
            <w:vAlign w:val="center"/>
          </w:tcPr>
          <w:p w14:paraId="64A8ADAD" w14:textId="77777777" w:rsidR="008D6614" w:rsidRDefault="008D6614">
            <w:pPr>
              <w:rPr>
                <w:rFonts w:ascii="宋体"/>
              </w:rPr>
            </w:pPr>
          </w:p>
        </w:tc>
        <w:tc>
          <w:tcPr>
            <w:tcW w:w="0" w:type="auto"/>
            <w:shd w:val="clear" w:color="auto" w:fill="auto"/>
            <w:vAlign w:val="center"/>
          </w:tcPr>
          <w:p w14:paraId="64A8ADAE" w14:textId="77777777" w:rsidR="008D6614" w:rsidRDefault="008D6614">
            <w:pPr>
              <w:rPr>
                <w:rFonts w:ascii="宋体"/>
              </w:rPr>
            </w:pPr>
          </w:p>
        </w:tc>
        <w:tc>
          <w:tcPr>
            <w:tcW w:w="0" w:type="auto"/>
            <w:shd w:val="clear" w:color="auto" w:fill="auto"/>
            <w:vAlign w:val="center"/>
          </w:tcPr>
          <w:p w14:paraId="64A8ADAF" w14:textId="77777777" w:rsidR="008D6614" w:rsidRDefault="008D6614">
            <w:pPr>
              <w:rPr>
                <w:rFonts w:ascii="宋体"/>
              </w:rPr>
            </w:pPr>
          </w:p>
        </w:tc>
        <w:tc>
          <w:tcPr>
            <w:tcW w:w="0" w:type="auto"/>
            <w:shd w:val="clear" w:color="auto" w:fill="auto"/>
            <w:vAlign w:val="center"/>
          </w:tcPr>
          <w:p w14:paraId="64A8ADB0" w14:textId="77777777" w:rsidR="008D6614" w:rsidRDefault="008D6614">
            <w:pPr>
              <w:rPr>
                <w:rFonts w:ascii="宋体"/>
              </w:rPr>
            </w:pPr>
          </w:p>
        </w:tc>
        <w:tc>
          <w:tcPr>
            <w:tcW w:w="0" w:type="auto"/>
            <w:shd w:val="clear" w:color="auto" w:fill="auto"/>
            <w:vAlign w:val="center"/>
          </w:tcPr>
          <w:p w14:paraId="64A8ADB1" w14:textId="77777777" w:rsidR="008D6614" w:rsidRDefault="008D6614">
            <w:pPr>
              <w:rPr>
                <w:rFonts w:ascii="宋体"/>
              </w:rPr>
            </w:pPr>
          </w:p>
        </w:tc>
        <w:tc>
          <w:tcPr>
            <w:tcW w:w="0" w:type="auto"/>
            <w:shd w:val="clear" w:color="auto" w:fill="auto"/>
            <w:vAlign w:val="center"/>
          </w:tcPr>
          <w:p w14:paraId="64A8ADB2" w14:textId="77777777" w:rsidR="008D6614" w:rsidRDefault="008D6614">
            <w:pPr>
              <w:rPr>
                <w:rFonts w:ascii="宋体"/>
              </w:rPr>
            </w:pPr>
          </w:p>
        </w:tc>
        <w:tc>
          <w:tcPr>
            <w:tcW w:w="0" w:type="auto"/>
            <w:shd w:val="clear" w:color="auto" w:fill="auto"/>
            <w:vAlign w:val="center"/>
          </w:tcPr>
          <w:p w14:paraId="64A8ADB3" w14:textId="77777777" w:rsidR="008D6614" w:rsidRDefault="008D6614">
            <w:pPr>
              <w:rPr>
                <w:rFonts w:ascii="宋体"/>
              </w:rPr>
            </w:pPr>
          </w:p>
        </w:tc>
        <w:tc>
          <w:tcPr>
            <w:tcW w:w="0" w:type="auto"/>
            <w:shd w:val="clear" w:color="auto" w:fill="auto"/>
            <w:vAlign w:val="center"/>
          </w:tcPr>
          <w:p w14:paraId="64A8ADB4" w14:textId="77777777" w:rsidR="008D6614" w:rsidRDefault="008D6614">
            <w:pPr>
              <w:rPr>
                <w:rFonts w:ascii="宋体"/>
              </w:rPr>
            </w:pPr>
          </w:p>
        </w:tc>
        <w:tc>
          <w:tcPr>
            <w:tcW w:w="0" w:type="auto"/>
            <w:shd w:val="clear" w:color="auto" w:fill="auto"/>
            <w:vAlign w:val="center"/>
          </w:tcPr>
          <w:p w14:paraId="64A8ADB5" w14:textId="77777777" w:rsidR="008D6614" w:rsidRDefault="008D6614">
            <w:pPr>
              <w:rPr>
                <w:rFonts w:ascii="宋体"/>
              </w:rPr>
            </w:pPr>
          </w:p>
        </w:tc>
        <w:tc>
          <w:tcPr>
            <w:tcW w:w="0" w:type="auto"/>
            <w:shd w:val="clear" w:color="auto" w:fill="auto"/>
            <w:vAlign w:val="center"/>
          </w:tcPr>
          <w:p w14:paraId="64A8ADB6" w14:textId="77777777" w:rsidR="008D6614" w:rsidRDefault="008D6614">
            <w:pPr>
              <w:rPr>
                <w:rFonts w:ascii="宋体"/>
              </w:rPr>
            </w:pPr>
          </w:p>
        </w:tc>
        <w:tc>
          <w:tcPr>
            <w:tcW w:w="0" w:type="auto"/>
            <w:shd w:val="clear" w:color="auto" w:fill="auto"/>
            <w:vAlign w:val="center"/>
          </w:tcPr>
          <w:p w14:paraId="64A8ADB7" w14:textId="77777777" w:rsidR="008D6614" w:rsidRDefault="008D6614">
            <w:pPr>
              <w:rPr>
                <w:rFonts w:ascii="宋体"/>
              </w:rPr>
            </w:pPr>
          </w:p>
        </w:tc>
      </w:tr>
      <w:tr w:rsidR="008D6614" w14:paraId="64A8ADDB" w14:textId="77777777">
        <w:tc>
          <w:tcPr>
            <w:tcW w:w="0" w:type="auto"/>
            <w:gridSpan w:val="3"/>
            <w:shd w:val="clear" w:color="auto" w:fill="E2E2E2"/>
            <w:tcMar>
              <w:top w:w="40" w:type="dxa"/>
              <w:left w:w="135" w:type="dxa"/>
              <w:bottom w:w="40" w:type="dxa"/>
              <w:right w:w="20" w:type="dxa"/>
            </w:tcMar>
            <w:vAlign w:val="bottom"/>
          </w:tcPr>
          <w:p w14:paraId="64A8ADB9" w14:textId="77777777" w:rsidR="008D6614" w:rsidRDefault="00866AF2">
            <w:pPr>
              <w:textAlignment w:val="bottom"/>
            </w:pPr>
            <w:r>
              <w:rPr>
                <w:rFonts w:ascii="Arial" w:eastAsia="宋体" w:hAnsi="Arial" w:cs="Arial"/>
                <w:color w:val="000000"/>
                <w:sz w:val="16"/>
                <w:szCs w:val="16"/>
              </w:rPr>
              <w:t>Marketplace take rate</w:t>
            </w:r>
          </w:p>
        </w:tc>
        <w:tc>
          <w:tcPr>
            <w:tcW w:w="0" w:type="auto"/>
            <w:gridSpan w:val="2"/>
            <w:shd w:val="clear" w:color="auto" w:fill="E2E2E2"/>
            <w:tcMar>
              <w:top w:w="40" w:type="dxa"/>
              <w:left w:w="20" w:type="dxa"/>
              <w:bottom w:w="40" w:type="dxa"/>
              <w:right w:w="0" w:type="dxa"/>
            </w:tcMar>
            <w:vAlign w:val="bottom"/>
          </w:tcPr>
          <w:p w14:paraId="64A8ADBA" w14:textId="77777777" w:rsidR="008D6614" w:rsidRDefault="00866AF2">
            <w:pPr>
              <w:jc w:val="right"/>
              <w:textAlignment w:val="bottom"/>
            </w:pPr>
            <w:r>
              <w:rPr>
                <w:rFonts w:ascii="Arial" w:eastAsia="宋体" w:hAnsi="Arial" w:cs="Arial"/>
                <w:color w:val="000000"/>
                <w:sz w:val="16"/>
                <w:szCs w:val="16"/>
              </w:rPr>
              <w:t>8.93 </w:t>
            </w:r>
          </w:p>
        </w:tc>
        <w:tc>
          <w:tcPr>
            <w:tcW w:w="0" w:type="auto"/>
            <w:shd w:val="clear" w:color="auto" w:fill="E2E2E2"/>
            <w:tcMar>
              <w:top w:w="40" w:type="dxa"/>
              <w:bottom w:w="40" w:type="dxa"/>
              <w:right w:w="20" w:type="dxa"/>
            </w:tcMar>
            <w:vAlign w:val="bottom"/>
          </w:tcPr>
          <w:p w14:paraId="64A8ADBB"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DB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DBD" w14:textId="77777777" w:rsidR="008D6614" w:rsidRDefault="00866AF2">
            <w:pPr>
              <w:jc w:val="right"/>
              <w:textAlignment w:val="bottom"/>
            </w:pPr>
            <w:r>
              <w:rPr>
                <w:rFonts w:ascii="Arial" w:eastAsia="宋体" w:hAnsi="Arial" w:cs="Arial"/>
                <w:color w:val="000000"/>
                <w:sz w:val="16"/>
                <w:szCs w:val="16"/>
              </w:rPr>
              <w:t>8.74 </w:t>
            </w:r>
          </w:p>
        </w:tc>
        <w:tc>
          <w:tcPr>
            <w:tcW w:w="0" w:type="auto"/>
            <w:shd w:val="clear" w:color="auto" w:fill="E2E2E2"/>
            <w:tcMar>
              <w:top w:w="40" w:type="dxa"/>
              <w:bottom w:w="40" w:type="dxa"/>
              <w:right w:w="20" w:type="dxa"/>
            </w:tcMar>
            <w:vAlign w:val="bottom"/>
          </w:tcPr>
          <w:p w14:paraId="64A8ADBE"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DB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DC0" w14:textId="77777777" w:rsidR="008D6614" w:rsidRDefault="00866AF2">
            <w:pPr>
              <w:jc w:val="right"/>
              <w:textAlignment w:val="bottom"/>
            </w:pPr>
            <w:r>
              <w:rPr>
                <w:rFonts w:ascii="Arial" w:eastAsia="宋体" w:hAnsi="Arial" w:cs="Arial"/>
                <w:color w:val="000000"/>
                <w:sz w:val="16"/>
                <w:szCs w:val="16"/>
              </w:rPr>
              <w:t>0.19 </w:t>
            </w:r>
          </w:p>
        </w:tc>
        <w:tc>
          <w:tcPr>
            <w:tcW w:w="0" w:type="auto"/>
            <w:shd w:val="clear" w:color="auto" w:fill="E2E2E2"/>
            <w:tcMar>
              <w:top w:w="40" w:type="dxa"/>
              <w:bottom w:w="40" w:type="dxa"/>
              <w:right w:w="20" w:type="dxa"/>
            </w:tcMar>
            <w:vAlign w:val="bottom"/>
          </w:tcPr>
          <w:p w14:paraId="64A8ADC1"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DC2"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ADC3" w14:textId="77777777" w:rsidR="008D6614" w:rsidRDefault="008D6614">
            <w:pPr>
              <w:rPr>
                <w:rFonts w:ascii="宋体"/>
              </w:rPr>
            </w:pPr>
          </w:p>
        </w:tc>
        <w:tc>
          <w:tcPr>
            <w:tcW w:w="0" w:type="auto"/>
            <w:shd w:val="clear" w:color="auto" w:fill="auto"/>
            <w:vAlign w:val="center"/>
          </w:tcPr>
          <w:p w14:paraId="64A8ADC4" w14:textId="77777777" w:rsidR="008D6614" w:rsidRDefault="008D6614">
            <w:pPr>
              <w:rPr>
                <w:rFonts w:ascii="宋体"/>
                <w:vanish/>
              </w:rPr>
            </w:pPr>
          </w:p>
        </w:tc>
        <w:tc>
          <w:tcPr>
            <w:tcW w:w="0" w:type="auto"/>
            <w:shd w:val="clear" w:color="auto" w:fill="auto"/>
            <w:vAlign w:val="center"/>
          </w:tcPr>
          <w:p w14:paraId="64A8ADC5" w14:textId="77777777" w:rsidR="008D6614" w:rsidRDefault="008D6614">
            <w:pPr>
              <w:rPr>
                <w:rFonts w:ascii="宋体"/>
                <w:vanish/>
              </w:rPr>
            </w:pPr>
          </w:p>
        </w:tc>
        <w:tc>
          <w:tcPr>
            <w:tcW w:w="0" w:type="auto"/>
            <w:shd w:val="clear" w:color="auto" w:fill="auto"/>
            <w:vAlign w:val="center"/>
          </w:tcPr>
          <w:p w14:paraId="64A8ADC6" w14:textId="77777777" w:rsidR="008D6614" w:rsidRDefault="008D6614">
            <w:pPr>
              <w:rPr>
                <w:rFonts w:ascii="宋体"/>
                <w:vanish/>
              </w:rPr>
            </w:pPr>
          </w:p>
        </w:tc>
        <w:tc>
          <w:tcPr>
            <w:tcW w:w="0" w:type="auto"/>
            <w:shd w:val="clear" w:color="auto" w:fill="auto"/>
            <w:vAlign w:val="center"/>
          </w:tcPr>
          <w:p w14:paraId="64A8ADC7" w14:textId="77777777" w:rsidR="008D6614" w:rsidRDefault="008D6614">
            <w:pPr>
              <w:rPr>
                <w:rFonts w:ascii="宋体"/>
                <w:vanish/>
              </w:rPr>
            </w:pPr>
          </w:p>
        </w:tc>
        <w:tc>
          <w:tcPr>
            <w:tcW w:w="0" w:type="auto"/>
            <w:shd w:val="clear" w:color="auto" w:fill="auto"/>
            <w:vAlign w:val="center"/>
          </w:tcPr>
          <w:p w14:paraId="64A8ADC8" w14:textId="77777777" w:rsidR="008D6614" w:rsidRDefault="008D6614">
            <w:pPr>
              <w:rPr>
                <w:rFonts w:ascii="宋体"/>
                <w:vanish/>
              </w:rPr>
            </w:pPr>
          </w:p>
        </w:tc>
        <w:tc>
          <w:tcPr>
            <w:tcW w:w="0" w:type="auto"/>
            <w:shd w:val="clear" w:color="auto" w:fill="auto"/>
            <w:vAlign w:val="center"/>
          </w:tcPr>
          <w:p w14:paraId="64A8ADC9" w14:textId="77777777" w:rsidR="008D6614" w:rsidRDefault="008D6614">
            <w:pPr>
              <w:rPr>
                <w:rFonts w:ascii="宋体"/>
                <w:vanish/>
              </w:rPr>
            </w:pPr>
          </w:p>
        </w:tc>
        <w:tc>
          <w:tcPr>
            <w:tcW w:w="0" w:type="auto"/>
            <w:shd w:val="clear" w:color="auto" w:fill="auto"/>
            <w:vAlign w:val="center"/>
          </w:tcPr>
          <w:p w14:paraId="64A8ADCA" w14:textId="77777777" w:rsidR="008D6614" w:rsidRDefault="008D6614">
            <w:pPr>
              <w:rPr>
                <w:rFonts w:ascii="宋体"/>
                <w:vanish/>
              </w:rPr>
            </w:pPr>
          </w:p>
        </w:tc>
        <w:tc>
          <w:tcPr>
            <w:tcW w:w="0" w:type="auto"/>
            <w:shd w:val="clear" w:color="auto" w:fill="auto"/>
            <w:vAlign w:val="center"/>
          </w:tcPr>
          <w:p w14:paraId="64A8ADCB" w14:textId="77777777" w:rsidR="008D6614" w:rsidRDefault="008D6614">
            <w:pPr>
              <w:rPr>
                <w:rFonts w:ascii="宋体"/>
                <w:vanish/>
              </w:rPr>
            </w:pPr>
          </w:p>
        </w:tc>
        <w:tc>
          <w:tcPr>
            <w:tcW w:w="0" w:type="auto"/>
            <w:shd w:val="clear" w:color="auto" w:fill="auto"/>
            <w:vAlign w:val="center"/>
          </w:tcPr>
          <w:p w14:paraId="64A8ADCC" w14:textId="77777777" w:rsidR="008D6614" w:rsidRDefault="008D6614">
            <w:pPr>
              <w:rPr>
                <w:rFonts w:ascii="宋体"/>
              </w:rPr>
            </w:pPr>
          </w:p>
        </w:tc>
        <w:tc>
          <w:tcPr>
            <w:tcW w:w="0" w:type="auto"/>
            <w:shd w:val="clear" w:color="auto" w:fill="auto"/>
            <w:vAlign w:val="center"/>
          </w:tcPr>
          <w:p w14:paraId="64A8ADCD" w14:textId="77777777" w:rsidR="008D6614" w:rsidRDefault="008D6614">
            <w:pPr>
              <w:rPr>
                <w:rFonts w:ascii="宋体"/>
              </w:rPr>
            </w:pPr>
          </w:p>
        </w:tc>
        <w:tc>
          <w:tcPr>
            <w:tcW w:w="0" w:type="auto"/>
            <w:shd w:val="clear" w:color="auto" w:fill="auto"/>
            <w:vAlign w:val="center"/>
          </w:tcPr>
          <w:p w14:paraId="64A8ADCE" w14:textId="77777777" w:rsidR="008D6614" w:rsidRDefault="008D6614">
            <w:pPr>
              <w:rPr>
                <w:rFonts w:ascii="宋体"/>
              </w:rPr>
            </w:pPr>
          </w:p>
        </w:tc>
        <w:tc>
          <w:tcPr>
            <w:tcW w:w="0" w:type="auto"/>
            <w:shd w:val="clear" w:color="auto" w:fill="auto"/>
            <w:vAlign w:val="center"/>
          </w:tcPr>
          <w:p w14:paraId="64A8ADCF" w14:textId="77777777" w:rsidR="008D6614" w:rsidRDefault="008D6614">
            <w:pPr>
              <w:rPr>
                <w:rFonts w:ascii="宋体"/>
              </w:rPr>
            </w:pPr>
          </w:p>
        </w:tc>
        <w:tc>
          <w:tcPr>
            <w:tcW w:w="0" w:type="auto"/>
            <w:shd w:val="clear" w:color="auto" w:fill="auto"/>
            <w:vAlign w:val="center"/>
          </w:tcPr>
          <w:p w14:paraId="64A8ADD0" w14:textId="77777777" w:rsidR="008D6614" w:rsidRDefault="008D6614">
            <w:pPr>
              <w:rPr>
                <w:rFonts w:ascii="宋体"/>
              </w:rPr>
            </w:pPr>
          </w:p>
        </w:tc>
        <w:tc>
          <w:tcPr>
            <w:tcW w:w="0" w:type="auto"/>
            <w:shd w:val="clear" w:color="auto" w:fill="auto"/>
            <w:vAlign w:val="center"/>
          </w:tcPr>
          <w:p w14:paraId="64A8ADD1" w14:textId="77777777" w:rsidR="008D6614" w:rsidRDefault="008D6614">
            <w:pPr>
              <w:rPr>
                <w:rFonts w:ascii="宋体"/>
              </w:rPr>
            </w:pPr>
          </w:p>
        </w:tc>
        <w:tc>
          <w:tcPr>
            <w:tcW w:w="0" w:type="auto"/>
            <w:shd w:val="clear" w:color="auto" w:fill="auto"/>
            <w:vAlign w:val="center"/>
          </w:tcPr>
          <w:p w14:paraId="64A8ADD2" w14:textId="77777777" w:rsidR="008D6614" w:rsidRDefault="008D6614">
            <w:pPr>
              <w:rPr>
                <w:rFonts w:ascii="宋体"/>
              </w:rPr>
            </w:pPr>
          </w:p>
        </w:tc>
        <w:tc>
          <w:tcPr>
            <w:tcW w:w="0" w:type="auto"/>
            <w:shd w:val="clear" w:color="auto" w:fill="auto"/>
            <w:vAlign w:val="center"/>
          </w:tcPr>
          <w:p w14:paraId="64A8ADD3" w14:textId="77777777" w:rsidR="008D6614" w:rsidRDefault="008D6614">
            <w:pPr>
              <w:rPr>
                <w:rFonts w:ascii="宋体"/>
              </w:rPr>
            </w:pPr>
          </w:p>
        </w:tc>
        <w:tc>
          <w:tcPr>
            <w:tcW w:w="0" w:type="auto"/>
            <w:shd w:val="clear" w:color="auto" w:fill="auto"/>
            <w:vAlign w:val="center"/>
          </w:tcPr>
          <w:p w14:paraId="64A8ADD4" w14:textId="77777777" w:rsidR="008D6614" w:rsidRDefault="008D6614">
            <w:pPr>
              <w:rPr>
                <w:rFonts w:ascii="宋体"/>
              </w:rPr>
            </w:pPr>
          </w:p>
        </w:tc>
        <w:tc>
          <w:tcPr>
            <w:tcW w:w="0" w:type="auto"/>
            <w:shd w:val="clear" w:color="auto" w:fill="auto"/>
            <w:vAlign w:val="center"/>
          </w:tcPr>
          <w:p w14:paraId="64A8ADD5" w14:textId="77777777" w:rsidR="008D6614" w:rsidRDefault="008D6614">
            <w:pPr>
              <w:rPr>
                <w:rFonts w:ascii="宋体"/>
              </w:rPr>
            </w:pPr>
          </w:p>
        </w:tc>
        <w:tc>
          <w:tcPr>
            <w:tcW w:w="0" w:type="auto"/>
            <w:shd w:val="clear" w:color="auto" w:fill="auto"/>
            <w:vAlign w:val="center"/>
          </w:tcPr>
          <w:p w14:paraId="64A8ADD6" w14:textId="77777777" w:rsidR="008D6614" w:rsidRDefault="008D6614">
            <w:pPr>
              <w:rPr>
                <w:rFonts w:ascii="宋体"/>
              </w:rPr>
            </w:pPr>
          </w:p>
        </w:tc>
        <w:tc>
          <w:tcPr>
            <w:tcW w:w="0" w:type="auto"/>
            <w:shd w:val="clear" w:color="auto" w:fill="auto"/>
            <w:vAlign w:val="center"/>
          </w:tcPr>
          <w:p w14:paraId="64A8ADD7" w14:textId="77777777" w:rsidR="008D6614" w:rsidRDefault="008D6614">
            <w:pPr>
              <w:rPr>
                <w:rFonts w:ascii="宋体"/>
              </w:rPr>
            </w:pPr>
          </w:p>
        </w:tc>
        <w:tc>
          <w:tcPr>
            <w:tcW w:w="0" w:type="auto"/>
            <w:shd w:val="clear" w:color="auto" w:fill="auto"/>
            <w:vAlign w:val="center"/>
          </w:tcPr>
          <w:p w14:paraId="64A8ADD8" w14:textId="77777777" w:rsidR="008D6614" w:rsidRDefault="008D6614">
            <w:pPr>
              <w:rPr>
                <w:rFonts w:ascii="宋体"/>
              </w:rPr>
            </w:pPr>
          </w:p>
        </w:tc>
        <w:tc>
          <w:tcPr>
            <w:tcW w:w="0" w:type="auto"/>
            <w:shd w:val="clear" w:color="auto" w:fill="auto"/>
            <w:vAlign w:val="center"/>
          </w:tcPr>
          <w:p w14:paraId="64A8ADD9" w14:textId="77777777" w:rsidR="008D6614" w:rsidRDefault="008D6614">
            <w:pPr>
              <w:rPr>
                <w:rFonts w:ascii="宋体"/>
              </w:rPr>
            </w:pPr>
          </w:p>
        </w:tc>
        <w:tc>
          <w:tcPr>
            <w:tcW w:w="0" w:type="auto"/>
            <w:shd w:val="clear" w:color="auto" w:fill="auto"/>
            <w:vAlign w:val="center"/>
          </w:tcPr>
          <w:p w14:paraId="64A8ADDA" w14:textId="77777777" w:rsidR="008D6614" w:rsidRDefault="008D6614">
            <w:pPr>
              <w:rPr>
                <w:rFonts w:ascii="宋体"/>
              </w:rPr>
            </w:pPr>
          </w:p>
        </w:tc>
      </w:tr>
    </w:tbl>
    <w:p w14:paraId="64A8ADDC" w14:textId="77777777" w:rsidR="008D6614" w:rsidRDefault="00866AF2">
      <w:pPr>
        <w:spacing w:before="60"/>
        <w:ind w:hanging="360"/>
        <w:jc w:val="both"/>
      </w:pPr>
      <w:r>
        <w:rPr>
          <w:rFonts w:ascii="Arial" w:eastAsia="宋体" w:hAnsi="Arial" w:cs="Arial"/>
          <w:color w:val="000000"/>
          <w:sz w:val="16"/>
          <w:szCs w:val="16"/>
        </w:rPr>
        <w:t>(1)Marketplace net transaction revenues were net of immaterial hedging activity during the three months ended March 31, 2020 and $20 million of hedging activity during</w:t>
      </w:r>
      <w:r>
        <w:rPr>
          <w:rFonts w:ascii="Arial" w:eastAsia="宋体" w:hAnsi="Arial" w:cs="Arial"/>
          <w:color w:val="000000"/>
          <w:sz w:val="16"/>
          <w:szCs w:val="16"/>
        </w:rPr>
        <w:t xml:space="preserve"> the three months ended March 31, 2019. </w:t>
      </w:r>
    </w:p>
    <w:p w14:paraId="64A8ADDD" w14:textId="77777777" w:rsidR="008D6614" w:rsidRDefault="008D6614">
      <w:pPr>
        <w:jc w:val="center"/>
      </w:pPr>
    </w:p>
    <w:p w14:paraId="64A8ADDE" w14:textId="77777777" w:rsidR="008D6614" w:rsidRDefault="00866AF2">
      <w:pPr>
        <w:jc w:val="center"/>
      </w:pPr>
      <w:r>
        <w:rPr>
          <w:rFonts w:ascii="Arial" w:eastAsia="宋体" w:hAnsi="Arial" w:cs="Arial"/>
          <w:color w:val="000000"/>
          <w:sz w:val="20"/>
          <w:szCs w:val="20"/>
        </w:rPr>
        <w:t>36</w:t>
      </w:r>
    </w:p>
    <w:p w14:paraId="64A8ADDF" w14:textId="77777777" w:rsidR="008D6614" w:rsidRDefault="00866AF2">
      <w:r>
        <w:pict w14:anchorId="64A8BA01">
          <v:rect id="_x0000_i1060" style="width:415.3pt;height:1.5pt" o:hralign="center" o:hrstd="t" o:hr="t" fillcolor="#a0a0a0" stroked="f"/>
        </w:pict>
      </w:r>
    </w:p>
    <w:p w14:paraId="64A8ADE0" w14:textId="77777777" w:rsidR="008D6614" w:rsidRDefault="008D6614"/>
    <w:p w14:paraId="64A8ADE1" w14:textId="77777777" w:rsidR="008D6614" w:rsidRDefault="008D6614">
      <w:pPr>
        <w:spacing w:before="60"/>
        <w:jc w:val="both"/>
      </w:pPr>
    </w:p>
    <w:p w14:paraId="64A8ADE2" w14:textId="77777777" w:rsidR="008D6614" w:rsidRDefault="00866AF2">
      <w:pPr>
        <w:ind w:firstLine="540"/>
        <w:jc w:val="both"/>
      </w:pPr>
      <w:r>
        <w:rPr>
          <w:rFonts w:ascii="Arial" w:eastAsia="宋体" w:hAnsi="Arial" w:cs="Arial"/>
          <w:color w:val="000000"/>
          <w:sz w:val="20"/>
          <w:szCs w:val="20"/>
        </w:rPr>
        <w:t>Marketplace net transaction revenues increased during the three months ended March 31, 2020 compared to the same period in 2019 primarily due to growth in promoted listing fees and higher take rate, partially offset by additional credit provisions recogniz</w:t>
      </w:r>
      <w:r>
        <w:rPr>
          <w:rFonts w:ascii="Arial" w:eastAsia="宋体" w:hAnsi="Arial" w:cs="Arial"/>
          <w:color w:val="000000"/>
          <w:sz w:val="20"/>
          <w:szCs w:val="20"/>
        </w:rPr>
        <w:t xml:space="preserve">ed in light of the current economic environment driven by COVID-19. </w:t>
      </w:r>
    </w:p>
    <w:p w14:paraId="64A8ADE3" w14:textId="77777777" w:rsidR="008D6614" w:rsidRDefault="008D6614">
      <w:pPr>
        <w:ind w:firstLine="540"/>
        <w:jc w:val="both"/>
      </w:pPr>
    </w:p>
    <w:p w14:paraId="64A8ADE4" w14:textId="77777777" w:rsidR="008D6614" w:rsidRDefault="00866AF2">
      <w:pPr>
        <w:ind w:firstLine="540"/>
        <w:jc w:val="both"/>
      </w:pPr>
      <w:r>
        <w:rPr>
          <w:rFonts w:ascii="Arial" w:eastAsia="宋体" w:hAnsi="Arial" w:cs="Arial"/>
          <w:color w:val="000000"/>
          <w:sz w:val="20"/>
          <w:szCs w:val="20"/>
        </w:rPr>
        <w:t>Marketplace transaction take rate was higher during the three months ended March 31, 2020 compared to the same period in 2019, primarily due to growth in promoted listing fees, which alo</w:t>
      </w:r>
      <w:r>
        <w:rPr>
          <w:rFonts w:ascii="Arial" w:eastAsia="宋体" w:hAnsi="Arial" w:cs="Arial"/>
          <w:color w:val="000000"/>
          <w:sz w:val="20"/>
          <w:szCs w:val="20"/>
        </w:rPr>
        <w:t>ng with final value fees are calculated as a percentage of an item’s sale price and category mix, partially offset by additional credit provisions recognized in light of the current economic environment driven by COVID-19.</w:t>
      </w:r>
    </w:p>
    <w:p w14:paraId="64A8ADE5" w14:textId="77777777" w:rsidR="008D6614" w:rsidRDefault="008D6614">
      <w:pPr>
        <w:ind w:firstLine="540"/>
        <w:jc w:val="both"/>
      </w:pPr>
    </w:p>
    <w:p w14:paraId="64A8ADE6" w14:textId="77777777" w:rsidR="008D6614" w:rsidRDefault="00866AF2">
      <w:pPr>
        <w:ind w:firstLine="540"/>
        <w:jc w:val="both"/>
      </w:pPr>
      <w:r>
        <w:rPr>
          <w:rFonts w:ascii="Arial" w:eastAsia="宋体" w:hAnsi="Arial" w:cs="Arial"/>
          <w:color w:val="000000"/>
          <w:sz w:val="20"/>
          <w:szCs w:val="20"/>
        </w:rPr>
        <w:t xml:space="preserve">The increase in Marketplace net </w:t>
      </w:r>
      <w:r>
        <w:rPr>
          <w:rFonts w:ascii="Arial" w:eastAsia="宋体" w:hAnsi="Arial" w:cs="Arial"/>
          <w:color w:val="000000"/>
          <w:sz w:val="20"/>
          <w:szCs w:val="20"/>
        </w:rPr>
        <w:t xml:space="preserve">transaction revenues during the three months ended March 31, 2020 compared to the same period in 2019 was due to take rate considerations discussed above, despite declining Marketplace GMV. We expect that the divergence between Marketplace net transaction </w:t>
      </w:r>
      <w:r>
        <w:rPr>
          <w:rFonts w:ascii="Arial" w:eastAsia="宋体" w:hAnsi="Arial" w:cs="Arial"/>
          <w:color w:val="000000"/>
          <w:sz w:val="20"/>
          <w:szCs w:val="20"/>
        </w:rPr>
        <w:t>revenues and Marketplace GMV to continue throughout 2020. Despite GMV’s divergence from net transaction revenues, we still believe the metric provides a useful measure of overall volume of closed transactions that flow through the platform in a given perio</w:t>
      </w:r>
      <w:r>
        <w:rPr>
          <w:rFonts w:ascii="Arial" w:eastAsia="宋体" w:hAnsi="Arial" w:cs="Arial"/>
          <w:color w:val="000000"/>
          <w:sz w:val="20"/>
          <w:szCs w:val="20"/>
        </w:rPr>
        <w:t xml:space="preserve">d. </w:t>
      </w:r>
    </w:p>
    <w:p w14:paraId="64A8ADE7" w14:textId="77777777" w:rsidR="008D6614" w:rsidRDefault="008D6614"/>
    <w:p w14:paraId="64A8ADE8" w14:textId="77777777" w:rsidR="008D6614" w:rsidRDefault="00866AF2">
      <w:pPr>
        <w:ind w:firstLine="270"/>
        <w:jc w:val="both"/>
      </w:pPr>
      <w:r>
        <w:rPr>
          <w:rFonts w:ascii="Arial" w:eastAsia="宋体" w:hAnsi="Arial" w:cs="Arial"/>
          <w:b/>
          <w:bCs/>
          <w:i/>
          <w:iCs/>
          <w:color w:val="000000"/>
          <w:sz w:val="20"/>
          <w:szCs w:val="20"/>
        </w:rPr>
        <w:t>Marketing Services and Other Revenues</w:t>
      </w:r>
    </w:p>
    <w:p w14:paraId="64A8ADE9" w14:textId="77777777" w:rsidR="008D6614" w:rsidRDefault="008D6614">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38"/>
        <w:gridCol w:w="3137"/>
        <w:gridCol w:w="36"/>
        <w:gridCol w:w="124"/>
        <w:gridCol w:w="710"/>
        <w:gridCol w:w="80"/>
        <w:gridCol w:w="36"/>
        <w:gridCol w:w="36"/>
        <w:gridCol w:w="36"/>
        <w:gridCol w:w="124"/>
        <w:gridCol w:w="675"/>
        <w:gridCol w:w="80"/>
        <w:gridCol w:w="36"/>
        <w:gridCol w:w="36"/>
        <w:gridCol w:w="36"/>
        <w:gridCol w:w="52"/>
        <w:gridCol w:w="652"/>
        <w:gridCol w:w="178"/>
        <w:gridCol w:w="36"/>
        <w:gridCol w:w="36"/>
        <w:gridCol w:w="36"/>
        <w:gridCol w:w="59"/>
        <w:gridCol w:w="647"/>
        <w:gridCol w:w="178"/>
        <w:gridCol w:w="243"/>
        <w:gridCol w:w="24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D6614" w14:paraId="64A8AE0A" w14:textId="77777777">
        <w:trPr>
          <w:gridAfter w:val="15"/>
        </w:trPr>
        <w:tc>
          <w:tcPr>
            <w:tcW w:w="50" w:type="pct"/>
            <w:shd w:val="clear" w:color="auto" w:fill="auto"/>
            <w:vAlign w:val="center"/>
          </w:tcPr>
          <w:p w14:paraId="64A8ADEA" w14:textId="77777777" w:rsidR="008D6614" w:rsidRDefault="008D6614">
            <w:pPr>
              <w:rPr>
                <w:rFonts w:ascii="宋体"/>
              </w:rPr>
            </w:pPr>
          </w:p>
        </w:tc>
        <w:tc>
          <w:tcPr>
            <w:tcW w:w="2246" w:type="pct"/>
            <w:shd w:val="clear" w:color="auto" w:fill="auto"/>
            <w:vAlign w:val="center"/>
          </w:tcPr>
          <w:p w14:paraId="64A8ADEB" w14:textId="77777777" w:rsidR="008D6614" w:rsidRDefault="008D6614">
            <w:pPr>
              <w:rPr>
                <w:rFonts w:ascii="宋体"/>
              </w:rPr>
            </w:pPr>
          </w:p>
        </w:tc>
        <w:tc>
          <w:tcPr>
            <w:tcW w:w="50" w:type="pct"/>
            <w:shd w:val="clear" w:color="auto" w:fill="auto"/>
            <w:vAlign w:val="center"/>
          </w:tcPr>
          <w:p w14:paraId="64A8ADEC" w14:textId="77777777" w:rsidR="008D6614" w:rsidRDefault="008D6614">
            <w:pPr>
              <w:rPr>
                <w:rFonts w:ascii="宋体"/>
              </w:rPr>
            </w:pPr>
          </w:p>
        </w:tc>
        <w:tc>
          <w:tcPr>
            <w:tcW w:w="50" w:type="pct"/>
            <w:shd w:val="clear" w:color="auto" w:fill="auto"/>
            <w:vAlign w:val="center"/>
          </w:tcPr>
          <w:p w14:paraId="64A8ADED" w14:textId="77777777" w:rsidR="008D6614" w:rsidRDefault="008D6614">
            <w:pPr>
              <w:rPr>
                <w:rFonts w:ascii="宋体"/>
              </w:rPr>
            </w:pPr>
          </w:p>
        </w:tc>
        <w:tc>
          <w:tcPr>
            <w:tcW w:w="535" w:type="pct"/>
            <w:shd w:val="clear" w:color="auto" w:fill="auto"/>
            <w:vAlign w:val="center"/>
          </w:tcPr>
          <w:p w14:paraId="64A8ADEE" w14:textId="77777777" w:rsidR="008D6614" w:rsidRDefault="008D6614">
            <w:pPr>
              <w:rPr>
                <w:rFonts w:ascii="宋体"/>
              </w:rPr>
            </w:pPr>
          </w:p>
        </w:tc>
        <w:tc>
          <w:tcPr>
            <w:tcW w:w="50" w:type="pct"/>
            <w:shd w:val="clear" w:color="auto" w:fill="auto"/>
            <w:vAlign w:val="center"/>
          </w:tcPr>
          <w:p w14:paraId="64A8ADEF" w14:textId="77777777" w:rsidR="008D6614" w:rsidRDefault="008D6614">
            <w:pPr>
              <w:rPr>
                <w:rFonts w:ascii="宋体"/>
              </w:rPr>
            </w:pPr>
          </w:p>
        </w:tc>
        <w:tc>
          <w:tcPr>
            <w:tcW w:w="5" w:type="pct"/>
            <w:shd w:val="clear" w:color="auto" w:fill="auto"/>
            <w:vAlign w:val="center"/>
          </w:tcPr>
          <w:p w14:paraId="64A8ADF0" w14:textId="77777777" w:rsidR="008D6614" w:rsidRDefault="008D6614">
            <w:pPr>
              <w:rPr>
                <w:rFonts w:ascii="宋体"/>
              </w:rPr>
            </w:pPr>
          </w:p>
        </w:tc>
        <w:tc>
          <w:tcPr>
            <w:tcW w:w="26" w:type="pct"/>
            <w:shd w:val="clear" w:color="auto" w:fill="auto"/>
            <w:vAlign w:val="center"/>
          </w:tcPr>
          <w:p w14:paraId="64A8ADF1" w14:textId="77777777" w:rsidR="008D6614" w:rsidRDefault="008D6614">
            <w:pPr>
              <w:rPr>
                <w:rFonts w:ascii="宋体"/>
              </w:rPr>
            </w:pPr>
          </w:p>
        </w:tc>
        <w:tc>
          <w:tcPr>
            <w:tcW w:w="5" w:type="pct"/>
            <w:shd w:val="clear" w:color="auto" w:fill="auto"/>
            <w:vAlign w:val="center"/>
          </w:tcPr>
          <w:p w14:paraId="64A8ADF2" w14:textId="77777777" w:rsidR="008D6614" w:rsidRDefault="008D6614">
            <w:pPr>
              <w:rPr>
                <w:rFonts w:ascii="宋体"/>
              </w:rPr>
            </w:pPr>
          </w:p>
        </w:tc>
        <w:tc>
          <w:tcPr>
            <w:tcW w:w="50" w:type="pct"/>
            <w:shd w:val="clear" w:color="auto" w:fill="auto"/>
            <w:vAlign w:val="center"/>
          </w:tcPr>
          <w:p w14:paraId="64A8ADF3" w14:textId="77777777" w:rsidR="008D6614" w:rsidRDefault="008D6614">
            <w:pPr>
              <w:rPr>
                <w:rFonts w:ascii="宋体"/>
              </w:rPr>
            </w:pPr>
          </w:p>
        </w:tc>
        <w:tc>
          <w:tcPr>
            <w:tcW w:w="535" w:type="pct"/>
            <w:shd w:val="clear" w:color="auto" w:fill="auto"/>
            <w:vAlign w:val="center"/>
          </w:tcPr>
          <w:p w14:paraId="64A8ADF4" w14:textId="77777777" w:rsidR="008D6614" w:rsidRDefault="008D6614">
            <w:pPr>
              <w:rPr>
                <w:rFonts w:ascii="宋体"/>
              </w:rPr>
            </w:pPr>
          </w:p>
        </w:tc>
        <w:tc>
          <w:tcPr>
            <w:tcW w:w="50" w:type="pct"/>
            <w:shd w:val="clear" w:color="auto" w:fill="auto"/>
            <w:vAlign w:val="center"/>
          </w:tcPr>
          <w:p w14:paraId="64A8ADF5" w14:textId="77777777" w:rsidR="008D6614" w:rsidRDefault="008D6614">
            <w:pPr>
              <w:rPr>
                <w:rFonts w:ascii="宋体"/>
              </w:rPr>
            </w:pPr>
          </w:p>
        </w:tc>
        <w:tc>
          <w:tcPr>
            <w:tcW w:w="5" w:type="pct"/>
            <w:shd w:val="clear" w:color="auto" w:fill="auto"/>
            <w:vAlign w:val="center"/>
          </w:tcPr>
          <w:p w14:paraId="64A8ADF6" w14:textId="77777777" w:rsidR="008D6614" w:rsidRDefault="008D6614">
            <w:pPr>
              <w:rPr>
                <w:rFonts w:ascii="宋体"/>
              </w:rPr>
            </w:pPr>
          </w:p>
        </w:tc>
        <w:tc>
          <w:tcPr>
            <w:tcW w:w="26" w:type="pct"/>
            <w:shd w:val="clear" w:color="auto" w:fill="auto"/>
            <w:vAlign w:val="center"/>
          </w:tcPr>
          <w:p w14:paraId="64A8ADF7" w14:textId="77777777" w:rsidR="008D6614" w:rsidRDefault="008D6614">
            <w:pPr>
              <w:rPr>
                <w:rFonts w:ascii="宋体"/>
              </w:rPr>
            </w:pPr>
          </w:p>
        </w:tc>
        <w:tc>
          <w:tcPr>
            <w:tcW w:w="5" w:type="pct"/>
            <w:shd w:val="clear" w:color="auto" w:fill="auto"/>
            <w:vAlign w:val="center"/>
          </w:tcPr>
          <w:p w14:paraId="64A8ADF8" w14:textId="77777777" w:rsidR="008D6614" w:rsidRDefault="008D6614">
            <w:pPr>
              <w:rPr>
                <w:rFonts w:ascii="宋体"/>
              </w:rPr>
            </w:pPr>
          </w:p>
        </w:tc>
        <w:tc>
          <w:tcPr>
            <w:tcW w:w="50" w:type="pct"/>
            <w:shd w:val="clear" w:color="auto" w:fill="auto"/>
            <w:vAlign w:val="center"/>
          </w:tcPr>
          <w:p w14:paraId="64A8ADF9" w14:textId="77777777" w:rsidR="008D6614" w:rsidRDefault="008D6614">
            <w:pPr>
              <w:rPr>
                <w:rFonts w:ascii="宋体"/>
              </w:rPr>
            </w:pPr>
          </w:p>
        </w:tc>
        <w:tc>
          <w:tcPr>
            <w:tcW w:w="535" w:type="pct"/>
            <w:shd w:val="clear" w:color="auto" w:fill="auto"/>
            <w:vAlign w:val="center"/>
          </w:tcPr>
          <w:p w14:paraId="64A8ADFA" w14:textId="77777777" w:rsidR="008D6614" w:rsidRDefault="008D6614">
            <w:pPr>
              <w:rPr>
                <w:rFonts w:ascii="宋体"/>
              </w:rPr>
            </w:pPr>
          </w:p>
        </w:tc>
        <w:tc>
          <w:tcPr>
            <w:tcW w:w="50" w:type="pct"/>
            <w:shd w:val="clear" w:color="auto" w:fill="auto"/>
            <w:vAlign w:val="center"/>
          </w:tcPr>
          <w:p w14:paraId="64A8ADFB" w14:textId="77777777" w:rsidR="008D6614" w:rsidRDefault="008D6614">
            <w:pPr>
              <w:rPr>
                <w:rFonts w:ascii="宋体"/>
              </w:rPr>
            </w:pPr>
          </w:p>
        </w:tc>
        <w:tc>
          <w:tcPr>
            <w:tcW w:w="5" w:type="pct"/>
            <w:shd w:val="clear" w:color="auto" w:fill="auto"/>
            <w:vAlign w:val="center"/>
          </w:tcPr>
          <w:p w14:paraId="64A8ADFC" w14:textId="77777777" w:rsidR="008D6614" w:rsidRDefault="008D6614">
            <w:pPr>
              <w:rPr>
                <w:rFonts w:ascii="宋体"/>
              </w:rPr>
            </w:pPr>
          </w:p>
        </w:tc>
        <w:tc>
          <w:tcPr>
            <w:tcW w:w="26" w:type="pct"/>
            <w:shd w:val="clear" w:color="auto" w:fill="auto"/>
            <w:vAlign w:val="center"/>
          </w:tcPr>
          <w:p w14:paraId="64A8ADFD" w14:textId="77777777" w:rsidR="008D6614" w:rsidRDefault="008D6614">
            <w:pPr>
              <w:rPr>
                <w:rFonts w:ascii="宋体"/>
              </w:rPr>
            </w:pPr>
          </w:p>
        </w:tc>
        <w:tc>
          <w:tcPr>
            <w:tcW w:w="5" w:type="pct"/>
            <w:shd w:val="clear" w:color="auto" w:fill="auto"/>
            <w:vAlign w:val="center"/>
          </w:tcPr>
          <w:p w14:paraId="64A8ADFE" w14:textId="77777777" w:rsidR="008D6614" w:rsidRDefault="008D6614">
            <w:pPr>
              <w:rPr>
                <w:rFonts w:ascii="宋体"/>
              </w:rPr>
            </w:pPr>
          </w:p>
        </w:tc>
        <w:tc>
          <w:tcPr>
            <w:tcW w:w="50" w:type="pct"/>
            <w:shd w:val="clear" w:color="auto" w:fill="auto"/>
            <w:vAlign w:val="center"/>
          </w:tcPr>
          <w:p w14:paraId="64A8ADFF" w14:textId="77777777" w:rsidR="008D6614" w:rsidRDefault="008D6614">
            <w:pPr>
              <w:rPr>
                <w:rFonts w:ascii="宋体"/>
              </w:rPr>
            </w:pPr>
          </w:p>
        </w:tc>
        <w:tc>
          <w:tcPr>
            <w:tcW w:w="536" w:type="pct"/>
            <w:shd w:val="clear" w:color="auto" w:fill="auto"/>
            <w:vAlign w:val="center"/>
          </w:tcPr>
          <w:p w14:paraId="64A8AE00" w14:textId="77777777" w:rsidR="008D6614" w:rsidRDefault="008D6614">
            <w:pPr>
              <w:rPr>
                <w:rFonts w:ascii="宋体"/>
              </w:rPr>
            </w:pPr>
          </w:p>
        </w:tc>
        <w:tc>
          <w:tcPr>
            <w:tcW w:w="50" w:type="pct"/>
            <w:shd w:val="clear" w:color="auto" w:fill="auto"/>
            <w:vAlign w:val="center"/>
          </w:tcPr>
          <w:p w14:paraId="64A8AE01" w14:textId="77777777" w:rsidR="008D6614" w:rsidRDefault="008D6614">
            <w:pPr>
              <w:rPr>
                <w:rFonts w:ascii="宋体"/>
              </w:rPr>
            </w:pPr>
          </w:p>
        </w:tc>
        <w:tc>
          <w:tcPr>
            <w:tcW w:w="0" w:type="auto"/>
            <w:shd w:val="clear" w:color="auto" w:fill="auto"/>
            <w:vAlign w:val="center"/>
          </w:tcPr>
          <w:p w14:paraId="64A8AE02" w14:textId="77777777" w:rsidR="008D6614" w:rsidRDefault="008D6614">
            <w:pPr>
              <w:rPr>
                <w:rFonts w:ascii="宋体"/>
                <w:vanish/>
              </w:rPr>
            </w:pPr>
          </w:p>
        </w:tc>
        <w:tc>
          <w:tcPr>
            <w:tcW w:w="0" w:type="auto"/>
            <w:shd w:val="clear" w:color="auto" w:fill="auto"/>
            <w:vAlign w:val="center"/>
          </w:tcPr>
          <w:p w14:paraId="64A8AE03" w14:textId="77777777" w:rsidR="008D6614" w:rsidRDefault="008D6614">
            <w:pPr>
              <w:rPr>
                <w:rFonts w:ascii="宋体"/>
                <w:vanish/>
              </w:rPr>
            </w:pPr>
          </w:p>
        </w:tc>
        <w:tc>
          <w:tcPr>
            <w:tcW w:w="0" w:type="auto"/>
            <w:shd w:val="clear" w:color="auto" w:fill="auto"/>
            <w:vAlign w:val="center"/>
          </w:tcPr>
          <w:p w14:paraId="64A8AE04" w14:textId="77777777" w:rsidR="008D6614" w:rsidRDefault="008D6614">
            <w:pPr>
              <w:rPr>
                <w:rFonts w:ascii="宋体"/>
                <w:vanish/>
              </w:rPr>
            </w:pPr>
          </w:p>
        </w:tc>
        <w:tc>
          <w:tcPr>
            <w:tcW w:w="0" w:type="auto"/>
            <w:shd w:val="clear" w:color="auto" w:fill="auto"/>
            <w:vAlign w:val="center"/>
          </w:tcPr>
          <w:p w14:paraId="64A8AE05" w14:textId="77777777" w:rsidR="008D6614" w:rsidRDefault="008D6614">
            <w:pPr>
              <w:rPr>
                <w:rFonts w:ascii="宋体"/>
                <w:vanish/>
              </w:rPr>
            </w:pPr>
          </w:p>
        </w:tc>
        <w:tc>
          <w:tcPr>
            <w:tcW w:w="0" w:type="auto"/>
            <w:shd w:val="clear" w:color="auto" w:fill="auto"/>
            <w:vAlign w:val="center"/>
          </w:tcPr>
          <w:p w14:paraId="64A8AE06" w14:textId="77777777" w:rsidR="008D6614" w:rsidRDefault="008D6614">
            <w:pPr>
              <w:rPr>
                <w:rFonts w:ascii="宋体"/>
                <w:vanish/>
              </w:rPr>
            </w:pPr>
          </w:p>
        </w:tc>
        <w:tc>
          <w:tcPr>
            <w:tcW w:w="0" w:type="auto"/>
            <w:shd w:val="clear" w:color="auto" w:fill="auto"/>
            <w:vAlign w:val="center"/>
          </w:tcPr>
          <w:p w14:paraId="64A8AE07" w14:textId="77777777" w:rsidR="008D6614" w:rsidRDefault="008D6614">
            <w:pPr>
              <w:rPr>
                <w:rFonts w:ascii="宋体"/>
                <w:vanish/>
              </w:rPr>
            </w:pPr>
          </w:p>
        </w:tc>
        <w:tc>
          <w:tcPr>
            <w:tcW w:w="0" w:type="auto"/>
            <w:shd w:val="clear" w:color="auto" w:fill="auto"/>
            <w:vAlign w:val="center"/>
          </w:tcPr>
          <w:p w14:paraId="64A8AE08" w14:textId="77777777" w:rsidR="008D6614" w:rsidRDefault="008D6614">
            <w:pPr>
              <w:rPr>
                <w:rFonts w:ascii="宋体"/>
                <w:vanish/>
              </w:rPr>
            </w:pPr>
          </w:p>
        </w:tc>
        <w:tc>
          <w:tcPr>
            <w:tcW w:w="0" w:type="auto"/>
            <w:shd w:val="clear" w:color="auto" w:fill="auto"/>
            <w:vAlign w:val="center"/>
          </w:tcPr>
          <w:p w14:paraId="64A8AE09" w14:textId="77777777" w:rsidR="008D6614" w:rsidRDefault="008D6614">
            <w:pPr>
              <w:rPr>
                <w:rFonts w:ascii="宋体"/>
                <w:vanish/>
              </w:rPr>
            </w:pPr>
          </w:p>
        </w:tc>
      </w:tr>
      <w:tr w:rsidR="008D6614" w14:paraId="64A8AE1B" w14:textId="77777777">
        <w:trPr>
          <w:gridAfter w:val="3"/>
        </w:trPr>
        <w:tc>
          <w:tcPr>
            <w:tcW w:w="0" w:type="auto"/>
            <w:gridSpan w:val="3"/>
            <w:shd w:val="clear" w:color="auto" w:fill="auto"/>
            <w:tcMar>
              <w:left w:w="20" w:type="dxa"/>
              <w:right w:w="20" w:type="dxa"/>
            </w:tcMar>
            <w:vAlign w:val="bottom"/>
          </w:tcPr>
          <w:p w14:paraId="64A8AE0B" w14:textId="77777777" w:rsidR="008D6614" w:rsidRDefault="008D6614">
            <w:pPr>
              <w:rPr>
                <w:rFonts w:ascii="宋体"/>
              </w:rPr>
            </w:pPr>
          </w:p>
        </w:tc>
        <w:tc>
          <w:tcPr>
            <w:tcW w:w="0" w:type="auto"/>
            <w:gridSpan w:val="9"/>
            <w:shd w:val="clear" w:color="auto" w:fill="auto"/>
            <w:tcMar>
              <w:top w:w="40" w:type="dxa"/>
              <w:left w:w="20" w:type="dxa"/>
              <w:bottom w:w="40" w:type="dxa"/>
              <w:right w:w="20" w:type="dxa"/>
            </w:tcMar>
            <w:vAlign w:val="bottom"/>
          </w:tcPr>
          <w:p w14:paraId="64A8AE0C"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vAlign w:val="center"/>
          </w:tcPr>
          <w:p w14:paraId="64A8AE0D" w14:textId="77777777" w:rsidR="008D6614" w:rsidRDefault="008D6614">
            <w:pPr>
              <w:rPr>
                <w:rFonts w:ascii="宋体"/>
                <w:vanish/>
              </w:rPr>
            </w:pPr>
          </w:p>
        </w:tc>
        <w:tc>
          <w:tcPr>
            <w:tcW w:w="0" w:type="auto"/>
            <w:gridSpan w:val="3"/>
            <w:shd w:val="clear" w:color="auto" w:fill="auto"/>
            <w:vAlign w:val="center"/>
          </w:tcPr>
          <w:p w14:paraId="64A8AE0E"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AE0F" w14:textId="77777777" w:rsidR="008D6614" w:rsidRDefault="008D6614">
            <w:pPr>
              <w:rPr>
                <w:rFonts w:ascii="宋体"/>
              </w:rPr>
            </w:pPr>
          </w:p>
        </w:tc>
        <w:tc>
          <w:tcPr>
            <w:tcW w:w="0" w:type="auto"/>
            <w:gridSpan w:val="5"/>
            <w:shd w:val="clear" w:color="auto" w:fill="auto"/>
            <w:tcMar>
              <w:top w:w="40" w:type="dxa"/>
              <w:left w:w="20" w:type="dxa"/>
              <w:bottom w:w="40" w:type="dxa"/>
              <w:right w:w="20" w:type="dxa"/>
            </w:tcMar>
            <w:vAlign w:val="bottom"/>
          </w:tcPr>
          <w:p w14:paraId="64A8AE10" w14:textId="77777777" w:rsidR="008D6614" w:rsidRDefault="00866AF2">
            <w:pPr>
              <w:jc w:val="center"/>
              <w:textAlignment w:val="bottom"/>
            </w:pPr>
            <w:r>
              <w:rPr>
                <w:rFonts w:ascii="Arial" w:eastAsia="宋体" w:hAnsi="Arial" w:cs="Arial"/>
                <w:b/>
                <w:bCs/>
                <w:color w:val="000000"/>
                <w:sz w:val="14"/>
                <w:szCs w:val="14"/>
              </w:rPr>
              <w:t>% Change</w:t>
            </w:r>
          </w:p>
        </w:tc>
        <w:tc>
          <w:tcPr>
            <w:tcW w:w="0" w:type="auto"/>
            <w:shd w:val="clear" w:color="auto" w:fill="auto"/>
            <w:vAlign w:val="center"/>
          </w:tcPr>
          <w:p w14:paraId="64A8AE11" w14:textId="77777777" w:rsidR="008D6614" w:rsidRDefault="008D6614">
            <w:pPr>
              <w:rPr>
                <w:rFonts w:ascii="宋体"/>
                <w:vanish/>
              </w:rPr>
            </w:pPr>
          </w:p>
        </w:tc>
        <w:tc>
          <w:tcPr>
            <w:tcW w:w="0" w:type="auto"/>
            <w:shd w:val="clear" w:color="auto" w:fill="auto"/>
            <w:vAlign w:val="center"/>
          </w:tcPr>
          <w:p w14:paraId="64A8AE12" w14:textId="77777777" w:rsidR="008D6614" w:rsidRDefault="008D6614">
            <w:pPr>
              <w:rPr>
                <w:rFonts w:ascii="宋体"/>
                <w:vanish/>
              </w:rPr>
            </w:pPr>
          </w:p>
        </w:tc>
        <w:tc>
          <w:tcPr>
            <w:tcW w:w="0" w:type="auto"/>
            <w:shd w:val="clear" w:color="auto" w:fill="auto"/>
            <w:vAlign w:val="center"/>
          </w:tcPr>
          <w:p w14:paraId="64A8AE13" w14:textId="77777777" w:rsidR="008D6614" w:rsidRDefault="008D6614">
            <w:pPr>
              <w:rPr>
                <w:rFonts w:ascii="宋体"/>
                <w:vanish/>
              </w:rPr>
            </w:pPr>
          </w:p>
        </w:tc>
        <w:tc>
          <w:tcPr>
            <w:tcW w:w="0" w:type="auto"/>
            <w:shd w:val="clear" w:color="auto" w:fill="auto"/>
            <w:vAlign w:val="center"/>
          </w:tcPr>
          <w:p w14:paraId="64A8AE14" w14:textId="77777777" w:rsidR="008D6614" w:rsidRDefault="008D6614">
            <w:pPr>
              <w:rPr>
                <w:rFonts w:ascii="宋体"/>
                <w:vanish/>
              </w:rPr>
            </w:pPr>
          </w:p>
        </w:tc>
        <w:tc>
          <w:tcPr>
            <w:tcW w:w="0" w:type="auto"/>
            <w:shd w:val="clear" w:color="auto" w:fill="auto"/>
            <w:vAlign w:val="center"/>
          </w:tcPr>
          <w:p w14:paraId="64A8AE15" w14:textId="77777777" w:rsidR="008D6614" w:rsidRDefault="008D6614">
            <w:pPr>
              <w:rPr>
                <w:rFonts w:ascii="宋体"/>
                <w:vanish/>
              </w:rPr>
            </w:pPr>
          </w:p>
        </w:tc>
        <w:tc>
          <w:tcPr>
            <w:tcW w:w="0" w:type="auto"/>
            <w:shd w:val="clear" w:color="auto" w:fill="auto"/>
            <w:vAlign w:val="center"/>
          </w:tcPr>
          <w:p w14:paraId="64A8AE16" w14:textId="77777777" w:rsidR="008D6614" w:rsidRDefault="008D6614">
            <w:pPr>
              <w:rPr>
                <w:rFonts w:ascii="宋体"/>
                <w:vanish/>
              </w:rPr>
            </w:pPr>
          </w:p>
        </w:tc>
        <w:tc>
          <w:tcPr>
            <w:tcW w:w="0" w:type="auto"/>
            <w:gridSpan w:val="3"/>
            <w:shd w:val="clear" w:color="auto" w:fill="auto"/>
            <w:vAlign w:val="center"/>
          </w:tcPr>
          <w:p w14:paraId="64A8AE17" w14:textId="77777777" w:rsidR="008D6614" w:rsidRDefault="008D6614">
            <w:pPr>
              <w:rPr>
                <w:rFonts w:ascii="宋体"/>
                <w:vanish/>
              </w:rPr>
            </w:pPr>
          </w:p>
        </w:tc>
        <w:tc>
          <w:tcPr>
            <w:tcW w:w="0" w:type="auto"/>
            <w:gridSpan w:val="3"/>
            <w:shd w:val="clear" w:color="auto" w:fill="auto"/>
            <w:vAlign w:val="center"/>
          </w:tcPr>
          <w:p w14:paraId="64A8AE18" w14:textId="77777777" w:rsidR="008D6614" w:rsidRDefault="008D6614">
            <w:pPr>
              <w:rPr>
                <w:rFonts w:ascii="宋体"/>
                <w:vanish/>
              </w:rPr>
            </w:pPr>
          </w:p>
        </w:tc>
        <w:tc>
          <w:tcPr>
            <w:tcW w:w="0" w:type="auto"/>
            <w:gridSpan w:val="3"/>
            <w:shd w:val="clear" w:color="auto" w:fill="auto"/>
            <w:vAlign w:val="center"/>
          </w:tcPr>
          <w:p w14:paraId="64A8AE19" w14:textId="77777777" w:rsidR="008D6614" w:rsidRDefault="008D6614">
            <w:pPr>
              <w:rPr>
                <w:rFonts w:ascii="宋体"/>
                <w:vanish/>
              </w:rPr>
            </w:pPr>
          </w:p>
        </w:tc>
        <w:tc>
          <w:tcPr>
            <w:tcW w:w="0" w:type="auto"/>
            <w:gridSpan w:val="3"/>
            <w:shd w:val="clear" w:color="auto" w:fill="auto"/>
            <w:vAlign w:val="center"/>
          </w:tcPr>
          <w:p w14:paraId="64A8AE1A" w14:textId="77777777" w:rsidR="008D6614" w:rsidRDefault="008D6614">
            <w:pPr>
              <w:rPr>
                <w:rFonts w:ascii="宋体"/>
                <w:vanish/>
              </w:rPr>
            </w:pPr>
          </w:p>
        </w:tc>
      </w:tr>
      <w:tr w:rsidR="008D6614" w14:paraId="64A8AE38" w14:textId="77777777">
        <w:trPr>
          <w:gridAfter w:val="3"/>
        </w:trPr>
        <w:tc>
          <w:tcPr>
            <w:tcW w:w="0" w:type="auto"/>
            <w:gridSpan w:val="3"/>
            <w:shd w:val="clear" w:color="auto" w:fill="auto"/>
            <w:tcMar>
              <w:top w:w="40" w:type="dxa"/>
              <w:left w:w="20" w:type="dxa"/>
              <w:bottom w:w="40" w:type="dxa"/>
              <w:right w:w="20" w:type="dxa"/>
            </w:tcMar>
            <w:vAlign w:val="center"/>
          </w:tcPr>
          <w:p w14:paraId="64A8AE1C" w14:textId="77777777" w:rsidR="008D6614" w:rsidRDefault="00866AF2">
            <w:pPr>
              <w:textAlignment w:val="center"/>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E1D" w14:textId="77777777" w:rsidR="008D6614" w:rsidRDefault="00866AF2">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64A8AE1E"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AE1F" w14:textId="77777777" w:rsidR="008D6614" w:rsidRDefault="00866AF2">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64A8AE20"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AE21" w14:textId="77777777" w:rsidR="008D6614" w:rsidRDefault="00866AF2">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64A8AE22"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AE23" w14:textId="77777777" w:rsidR="008D6614" w:rsidRDefault="00866AF2">
            <w:pPr>
              <w:jc w:val="center"/>
              <w:textAlignment w:val="bottom"/>
            </w:pPr>
            <w:r>
              <w:rPr>
                <w:rFonts w:ascii="Arial" w:eastAsia="宋体" w:hAnsi="Arial" w:cs="Arial"/>
                <w:b/>
                <w:bCs/>
                <w:color w:val="000000"/>
                <w:sz w:val="14"/>
                <w:szCs w:val="14"/>
              </w:rPr>
              <w:t>FX-Neutral</w:t>
            </w:r>
          </w:p>
        </w:tc>
        <w:tc>
          <w:tcPr>
            <w:tcW w:w="0" w:type="auto"/>
            <w:shd w:val="clear" w:color="auto" w:fill="auto"/>
            <w:vAlign w:val="center"/>
          </w:tcPr>
          <w:p w14:paraId="64A8AE24" w14:textId="77777777" w:rsidR="008D6614" w:rsidRDefault="008D6614">
            <w:pPr>
              <w:rPr>
                <w:rFonts w:ascii="宋体"/>
                <w:vanish/>
              </w:rPr>
            </w:pPr>
          </w:p>
        </w:tc>
        <w:tc>
          <w:tcPr>
            <w:tcW w:w="0" w:type="auto"/>
            <w:shd w:val="clear" w:color="auto" w:fill="auto"/>
            <w:vAlign w:val="center"/>
          </w:tcPr>
          <w:p w14:paraId="64A8AE25" w14:textId="77777777" w:rsidR="008D6614" w:rsidRDefault="008D6614">
            <w:pPr>
              <w:rPr>
                <w:rFonts w:ascii="宋体"/>
                <w:vanish/>
              </w:rPr>
            </w:pPr>
          </w:p>
        </w:tc>
        <w:tc>
          <w:tcPr>
            <w:tcW w:w="0" w:type="auto"/>
            <w:shd w:val="clear" w:color="auto" w:fill="auto"/>
            <w:vAlign w:val="center"/>
          </w:tcPr>
          <w:p w14:paraId="64A8AE26" w14:textId="77777777" w:rsidR="008D6614" w:rsidRDefault="008D6614">
            <w:pPr>
              <w:rPr>
                <w:rFonts w:ascii="宋体"/>
                <w:vanish/>
              </w:rPr>
            </w:pPr>
          </w:p>
        </w:tc>
        <w:tc>
          <w:tcPr>
            <w:tcW w:w="0" w:type="auto"/>
            <w:shd w:val="clear" w:color="auto" w:fill="auto"/>
            <w:vAlign w:val="center"/>
          </w:tcPr>
          <w:p w14:paraId="64A8AE27" w14:textId="77777777" w:rsidR="008D6614" w:rsidRDefault="008D6614">
            <w:pPr>
              <w:rPr>
                <w:rFonts w:ascii="宋体"/>
                <w:vanish/>
              </w:rPr>
            </w:pPr>
          </w:p>
        </w:tc>
        <w:tc>
          <w:tcPr>
            <w:tcW w:w="0" w:type="auto"/>
            <w:shd w:val="clear" w:color="auto" w:fill="auto"/>
            <w:vAlign w:val="center"/>
          </w:tcPr>
          <w:p w14:paraId="64A8AE28" w14:textId="77777777" w:rsidR="008D6614" w:rsidRDefault="008D6614">
            <w:pPr>
              <w:rPr>
                <w:rFonts w:ascii="宋体"/>
                <w:vanish/>
              </w:rPr>
            </w:pPr>
          </w:p>
        </w:tc>
        <w:tc>
          <w:tcPr>
            <w:tcW w:w="0" w:type="auto"/>
            <w:shd w:val="clear" w:color="auto" w:fill="auto"/>
            <w:vAlign w:val="center"/>
          </w:tcPr>
          <w:p w14:paraId="64A8AE29" w14:textId="77777777" w:rsidR="008D6614" w:rsidRDefault="008D6614">
            <w:pPr>
              <w:rPr>
                <w:rFonts w:ascii="宋体"/>
                <w:vanish/>
              </w:rPr>
            </w:pPr>
          </w:p>
        </w:tc>
        <w:tc>
          <w:tcPr>
            <w:tcW w:w="0" w:type="auto"/>
            <w:shd w:val="clear" w:color="auto" w:fill="auto"/>
            <w:vAlign w:val="center"/>
          </w:tcPr>
          <w:p w14:paraId="64A8AE2A" w14:textId="77777777" w:rsidR="008D6614" w:rsidRDefault="008D6614">
            <w:pPr>
              <w:rPr>
                <w:rFonts w:ascii="宋体"/>
                <w:vanish/>
              </w:rPr>
            </w:pPr>
          </w:p>
        </w:tc>
        <w:tc>
          <w:tcPr>
            <w:tcW w:w="0" w:type="auto"/>
            <w:shd w:val="clear" w:color="auto" w:fill="auto"/>
            <w:vAlign w:val="center"/>
          </w:tcPr>
          <w:p w14:paraId="64A8AE2B" w14:textId="77777777" w:rsidR="008D6614" w:rsidRDefault="008D6614">
            <w:pPr>
              <w:rPr>
                <w:rFonts w:ascii="宋体"/>
                <w:vanish/>
              </w:rPr>
            </w:pPr>
          </w:p>
        </w:tc>
        <w:tc>
          <w:tcPr>
            <w:tcW w:w="0" w:type="auto"/>
            <w:shd w:val="clear" w:color="auto" w:fill="auto"/>
            <w:vAlign w:val="center"/>
          </w:tcPr>
          <w:p w14:paraId="64A8AE2C" w14:textId="77777777" w:rsidR="008D6614" w:rsidRDefault="008D6614">
            <w:pPr>
              <w:rPr>
                <w:rFonts w:ascii="宋体"/>
              </w:rPr>
            </w:pPr>
          </w:p>
        </w:tc>
        <w:tc>
          <w:tcPr>
            <w:tcW w:w="0" w:type="auto"/>
            <w:shd w:val="clear" w:color="auto" w:fill="auto"/>
            <w:vAlign w:val="center"/>
          </w:tcPr>
          <w:p w14:paraId="64A8AE2D" w14:textId="77777777" w:rsidR="008D6614" w:rsidRDefault="008D6614">
            <w:pPr>
              <w:rPr>
                <w:rFonts w:ascii="宋体"/>
              </w:rPr>
            </w:pPr>
          </w:p>
        </w:tc>
        <w:tc>
          <w:tcPr>
            <w:tcW w:w="0" w:type="auto"/>
            <w:shd w:val="clear" w:color="auto" w:fill="auto"/>
            <w:vAlign w:val="center"/>
          </w:tcPr>
          <w:p w14:paraId="64A8AE2E" w14:textId="77777777" w:rsidR="008D6614" w:rsidRDefault="008D6614">
            <w:pPr>
              <w:rPr>
                <w:rFonts w:ascii="宋体"/>
              </w:rPr>
            </w:pPr>
          </w:p>
        </w:tc>
        <w:tc>
          <w:tcPr>
            <w:tcW w:w="0" w:type="auto"/>
            <w:shd w:val="clear" w:color="auto" w:fill="auto"/>
            <w:vAlign w:val="center"/>
          </w:tcPr>
          <w:p w14:paraId="64A8AE2F" w14:textId="77777777" w:rsidR="008D6614" w:rsidRDefault="008D6614">
            <w:pPr>
              <w:rPr>
                <w:rFonts w:ascii="宋体"/>
              </w:rPr>
            </w:pPr>
          </w:p>
        </w:tc>
        <w:tc>
          <w:tcPr>
            <w:tcW w:w="0" w:type="auto"/>
            <w:shd w:val="clear" w:color="auto" w:fill="auto"/>
            <w:vAlign w:val="center"/>
          </w:tcPr>
          <w:p w14:paraId="64A8AE30" w14:textId="77777777" w:rsidR="008D6614" w:rsidRDefault="008D6614">
            <w:pPr>
              <w:rPr>
                <w:rFonts w:ascii="宋体"/>
              </w:rPr>
            </w:pPr>
          </w:p>
        </w:tc>
        <w:tc>
          <w:tcPr>
            <w:tcW w:w="0" w:type="auto"/>
            <w:shd w:val="clear" w:color="auto" w:fill="auto"/>
            <w:vAlign w:val="center"/>
          </w:tcPr>
          <w:p w14:paraId="64A8AE31" w14:textId="77777777" w:rsidR="008D6614" w:rsidRDefault="008D6614">
            <w:pPr>
              <w:rPr>
                <w:rFonts w:ascii="宋体"/>
              </w:rPr>
            </w:pPr>
          </w:p>
        </w:tc>
        <w:tc>
          <w:tcPr>
            <w:tcW w:w="0" w:type="auto"/>
            <w:shd w:val="clear" w:color="auto" w:fill="auto"/>
            <w:vAlign w:val="center"/>
          </w:tcPr>
          <w:p w14:paraId="64A8AE32" w14:textId="77777777" w:rsidR="008D6614" w:rsidRDefault="008D6614">
            <w:pPr>
              <w:rPr>
                <w:rFonts w:ascii="宋体"/>
              </w:rPr>
            </w:pPr>
          </w:p>
        </w:tc>
        <w:tc>
          <w:tcPr>
            <w:tcW w:w="0" w:type="auto"/>
            <w:shd w:val="clear" w:color="auto" w:fill="auto"/>
            <w:vAlign w:val="center"/>
          </w:tcPr>
          <w:p w14:paraId="64A8AE33" w14:textId="77777777" w:rsidR="008D6614" w:rsidRDefault="008D6614">
            <w:pPr>
              <w:rPr>
                <w:rFonts w:ascii="宋体"/>
              </w:rPr>
            </w:pPr>
          </w:p>
        </w:tc>
        <w:tc>
          <w:tcPr>
            <w:tcW w:w="0" w:type="auto"/>
            <w:shd w:val="clear" w:color="auto" w:fill="auto"/>
            <w:vAlign w:val="center"/>
          </w:tcPr>
          <w:p w14:paraId="64A8AE34" w14:textId="77777777" w:rsidR="008D6614" w:rsidRDefault="008D6614">
            <w:pPr>
              <w:rPr>
                <w:rFonts w:ascii="宋体"/>
              </w:rPr>
            </w:pPr>
          </w:p>
        </w:tc>
        <w:tc>
          <w:tcPr>
            <w:tcW w:w="0" w:type="auto"/>
            <w:shd w:val="clear" w:color="auto" w:fill="auto"/>
            <w:vAlign w:val="center"/>
          </w:tcPr>
          <w:p w14:paraId="64A8AE35" w14:textId="77777777" w:rsidR="008D6614" w:rsidRDefault="008D6614">
            <w:pPr>
              <w:rPr>
                <w:rFonts w:ascii="宋体"/>
              </w:rPr>
            </w:pPr>
          </w:p>
        </w:tc>
        <w:tc>
          <w:tcPr>
            <w:tcW w:w="0" w:type="auto"/>
            <w:shd w:val="clear" w:color="auto" w:fill="auto"/>
            <w:vAlign w:val="center"/>
          </w:tcPr>
          <w:p w14:paraId="64A8AE36" w14:textId="77777777" w:rsidR="008D6614" w:rsidRDefault="008D6614">
            <w:pPr>
              <w:rPr>
                <w:rFonts w:ascii="宋体"/>
              </w:rPr>
            </w:pPr>
          </w:p>
        </w:tc>
        <w:tc>
          <w:tcPr>
            <w:tcW w:w="0" w:type="auto"/>
            <w:shd w:val="clear" w:color="auto" w:fill="auto"/>
            <w:vAlign w:val="center"/>
          </w:tcPr>
          <w:p w14:paraId="64A8AE37" w14:textId="77777777" w:rsidR="008D6614" w:rsidRDefault="008D6614">
            <w:pPr>
              <w:rPr>
                <w:rFonts w:ascii="宋体"/>
              </w:rPr>
            </w:pPr>
          </w:p>
        </w:tc>
      </w:tr>
      <w:tr w:rsidR="008D6614" w14:paraId="64A8AE49" w14:textId="77777777">
        <w:tc>
          <w:tcPr>
            <w:tcW w:w="0" w:type="auto"/>
            <w:gridSpan w:val="3"/>
            <w:shd w:val="clear" w:color="auto" w:fill="FFFFFF"/>
            <w:tcMar>
              <w:left w:w="20" w:type="dxa"/>
              <w:right w:w="20" w:type="dxa"/>
            </w:tcMar>
            <w:vAlign w:val="bottom"/>
          </w:tcPr>
          <w:p w14:paraId="64A8AE39" w14:textId="77777777" w:rsidR="008D6614" w:rsidRDefault="008D6614">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4A8AE3A" w14:textId="77777777" w:rsidR="008D6614" w:rsidRDefault="00866AF2">
            <w:pPr>
              <w:jc w:val="center"/>
              <w:textAlignment w:val="bottom"/>
            </w:pPr>
            <w:r>
              <w:rPr>
                <w:rFonts w:ascii="Arial" w:eastAsia="宋体" w:hAnsi="Arial" w:cs="Arial"/>
                <w:color w:val="000000"/>
                <w:sz w:val="16"/>
                <w:szCs w:val="16"/>
              </w:rPr>
              <w:t>(In millions, except percentages)</w:t>
            </w:r>
          </w:p>
        </w:tc>
        <w:tc>
          <w:tcPr>
            <w:tcW w:w="0" w:type="auto"/>
            <w:shd w:val="clear" w:color="auto" w:fill="auto"/>
            <w:vAlign w:val="center"/>
          </w:tcPr>
          <w:p w14:paraId="64A8AE3B" w14:textId="77777777" w:rsidR="008D6614" w:rsidRDefault="008D6614">
            <w:pPr>
              <w:rPr>
                <w:rFonts w:ascii="宋体"/>
                <w:vanish/>
              </w:rPr>
            </w:pPr>
          </w:p>
        </w:tc>
        <w:tc>
          <w:tcPr>
            <w:tcW w:w="0" w:type="auto"/>
            <w:shd w:val="clear" w:color="auto" w:fill="auto"/>
            <w:vAlign w:val="center"/>
          </w:tcPr>
          <w:p w14:paraId="64A8AE3C" w14:textId="77777777" w:rsidR="008D6614" w:rsidRDefault="008D6614">
            <w:pPr>
              <w:rPr>
                <w:rFonts w:ascii="宋体"/>
                <w:vanish/>
              </w:rPr>
            </w:pPr>
          </w:p>
        </w:tc>
        <w:tc>
          <w:tcPr>
            <w:tcW w:w="0" w:type="auto"/>
            <w:shd w:val="clear" w:color="auto" w:fill="auto"/>
            <w:vAlign w:val="center"/>
          </w:tcPr>
          <w:p w14:paraId="64A8AE3D" w14:textId="77777777" w:rsidR="008D6614" w:rsidRDefault="008D6614">
            <w:pPr>
              <w:rPr>
                <w:rFonts w:ascii="宋体"/>
                <w:vanish/>
              </w:rPr>
            </w:pPr>
          </w:p>
        </w:tc>
        <w:tc>
          <w:tcPr>
            <w:tcW w:w="0" w:type="auto"/>
            <w:shd w:val="clear" w:color="auto" w:fill="auto"/>
            <w:vAlign w:val="center"/>
          </w:tcPr>
          <w:p w14:paraId="64A8AE3E" w14:textId="77777777" w:rsidR="008D6614" w:rsidRDefault="008D6614">
            <w:pPr>
              <w:rPr>
                <w:rFonts w:ascii="宋体"/>
                <w:vanish/>
              </w:rPr>
            </w:pPr>
          </w:p>
        </w:tc>
        <w:tc>
          <w:tcPr>
            <w:tcW w:w="0" w:type="auto"/>
            <w:shd w:val="clear" w:color="auto" w:fill="auto"/>
            <w:vAlign w:val="center"/>
          </w:tcPr>
          <w:p w14:paraId="64A8AE3F" w14:textId="77777777" w:rsidR="008D6614" w:rsidRDefault="008D6614">
            <w:pPr>
              <w:rPr>
                <w:rFonts w:ascii="宋体"/>
                <w:vanish/>
              </w:rPr>
            </w:pPr>
          </w:p>
        </w:tc>
        <w:tc>
          <w:tcPr>
            <w:tcW w:w="0" w:type="auto"/>
            <w:shd w:val="clear" w:color="auto" w:fill="auto"/>
            <w:vAlign w:val="center"/>
          </w:tcPr>
          <w:p w14:paraId="64A8AE40" w14:textId="77777777" w:rsidR="008D6614" w:rsidRDefault="008D6614">
            <w:pPr>
              <w:rPr>
                <w:rFonts w:ascii="宋体"/>
                <w:vanish/>
              </w:rPr>
            </w:pPr>
          </w:p>
        </w:tc>
        <w:tc>
          <w:tcPr>
            <w:tcW w:w="0" w:type="auto"/>
            <w:shd w:val="clear" w:color="auto" w:fill="auto"/>
            <w:vAlign w:val="center"/>
          </w:tcPr>
          <w:p w14:paraId="64A8AE41" w14:textId="77777777" w:rsidR="008D6614" w:rsidRDefault="008D6614">
            <w:pPr>
              <w:rPr>
                <w:rFonts w:ascii="宋体"/>
                <w:vanish/>
              </w:rPr>
            </w:pPr>
          </w:p>
        </w:tc>
        <w:tc>
          <w:tcPr>
            <w:tcW w:w="0" w:type="auto"/>
            <w:shd w:val="clear" w:color="auto" w:fill="auto"/>
            <w:vAlign w:val="center"/>
          </w:tcPr>
          <w:p w14:paraId="64A8AE42" w14:textId="77777777" w:rsidR="008D6614" w:rsidRDefault="008D6614">
            <w:pPr>
              <w:rPr>
                <w:rFonts w:ascii="宋体"/>
                <w:vanish/>
              </w:rPr>
            </w:pPr>
          </w:p>
        </w:tc>
        <w:tc>
          <w:tcPr>
            <w:tcW w:w="0" w:type="auto"/>
            <w:gridSpan w:val="3"/>
            <w:shd w:val="clear" w:color="auto" w:fill="auto"/>
            <w:vAlign w:val="center"/>
          </w:tcPr>
          <w:p w14:paraId="64A8AE43" w14:textId="77777777" w:rsidR="008D6614" w:rsidRDefault="008D6614">
            <w:pPr>
              <w:rPr>
                <w:rFonts w:ascii="宋体"/>
                <w:vanish/>
              </w:rPr>
            </w:pPr>
          </w:p>
        </w:tc>
        <w:tc>
          <w:tcPr>
            <w:tcW w:w="0" w:type="auto"/>
            <w:gridSpan w:val="3"/>
            <w:shd w:val="clear" w:color="auto" w:fill="auto"/>
            <w:vAlign w:val="center"/>
          </w:tcPr>
          <w:p w14:paraId="64A8AE44" w14:textId="77777777" w:rsidR="008D6614" w:rsidRDefault="008D6614">
            <w:pPr>
              <w:rPr>
                <w:rFonts w:ascii="宋体"/>
                <w:vanish/>
              </w:rPr>
            </w:pPr>
          </w:p>
        </w:tc>
        <w:tc>
          <w:tcPr>
            <w:tcW w:w="0" w:type="auto"/>
            <w:gridSpan w:val="3"/>
            <w:shd w:val="clear" w:color="auto" w:fill="auto"/>
            <w:vAlign w:val="center"/>
          </w:tcPr>
          <w:p w14:paraId="64A8AE45" w14:textId="77777777" w:rsidR="008D6614" w:rsidRDefault="008D6614">
            <w:pPr>
              <w:rPr>
                <w:rFonts w:ascii="宋体"/>
                <w:vanish/>
              </w:rPr>
            </w:pPr>
          </w:p>
        </w:tc>
        <w:tc>
          <w:tcPr>
            <w:tcW w:w="0" w:type="auto"/>
            <w:gridSpan w:val="3"/>
            <w:shd w:val="clear" w:color="auto" w:fill="auto"/>
            <w:vAlign w:val="center"/>
          </w:tcPr>
          <w:p w14:paraId="64A8AE46" w14:textId="77777777" w:rsidR="008D6614" w:rsidRDefault="008D6614">
            <w:pPr>
              <w:rPr>
                <w:rFonts w:ascii="宋体"/>
                <w:vanish/>
              </w:rPr>
            </w:pPr>
          </w:p>
        </w:tc>
        <w:tc>
          <w:tcPr>
            <w:tcW w:w="0" w:type="auto"/>
            <w:gridSpan w:val="2"/>
            <w:shd w:val="clear" w:color="auto" w:fill="auto"/>
            <w:vAlign w:val="center"/>
          </w:tcPr>
          <w:p w14:paraId="64A8AE47" w14:textId="77777777" w:rsidR="008D6614" w:rsidRDefault="008D6614">
            <w:pPr>
              <w:rPr>
                <w:rFonts w:ascii="宋体"/>
                <w:vanish/>
              </w:rPr>
            </w:pPr>
          </w:p>
        </w:tc>
        <w:tc>
          <w:tcPr>
            <w:tcW w:w="0" w:type="auto"/>
            <w:shd w:val="clear" w:color="auto" w:fill="auto"/>
            <w:vAlign w:val="center"/>
          </w:tcPr>
          <w:p w14:paraId="64A8AE48" w14:textId="77777777" w:rsidR="008D6614" w:rsidRDefault="008D6614">
            <w:pPr>
              <w:rPr>
                <w:rFonts w:ascii="宋体"/>
                <w:vanish/>
              </w:rPr>
            </w:pPr>
          </w:p>
        </w:tc>
      </w:tr>
      <w:tr w:rsidR="008D6614" w14:paraId="64A8AE6F" w14:textId="77777777">
        <w:tc>
          <w:tcPr>
            <w:tcW w:w="0" w:type="auto"/>
            <w:gridSpan w:val="3"/>
            <w:shd w:val="clear" w:color="auto" w:fill="E2E2E2"/>
            <w:tcMar>
              <w:top w:w="40" w:type="dxa"/>
              <w:left w:w="20" w:type="dxa"/>
              <w:bottom w:w="40" w:type="dxa"/>
              <w:right w:w="20" w:type="dxa"/>
            </w:tcMar>
            <w:vAlign w:val="bottom"/>
          </w:tcPr>
          <w:p w14:paraId="64A8AE4A" w14:textId="77777777" w:rsidR="008D6614" w:rsidRDefault="00866AF2">
            <w:pPr>
              <w:textAlignment w:val="bottom"/>
            </w:pPr>
            <w:r>
              <w:rPr>
                <w:rFonts w:ascii="Arial" w:eastAsia="宋体" w:hAnsi="Arial" w:cs="Arial"/>
                <w:color w:val="000000"/>
                <w:sz w:val="16"/>
                <w:szCs w:val="16"/>
              </w:rPr>
              <w:t>Marketplace</w:t>
            </w:r>
          </w:p>
        </w:tc>
        <w:tc>
          <w:tcPr>
            <w:tcW w:w="0" w:type="auto"/>
            <w:shd w:val="clear" w:color="auto" w:fill="E2E2E2"/>
            <w:tcMar>
              <w:top w:w="40" w:type="dxa"/>
              <w:left w:w="20" w:type="dxa"/>
              <w:bottom w:w="40" w:type="dxa"/>
            </w:tcMar>
            <w:vAlign w:val="bottom"/>
          </w:tcPr>
          <w:p w14:paraId="64A8AE4B" w14:textId="77777777" w:rsidR="008D6614" w:rsidRDefault="00866AF2">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64A8AE4C" w14:textId="77777777" w:rsidR="008D6614" w:rsidRDefault="00866AF2">
            <w:pPr>
              <w:jc w:val="right"/>
              <w:textAlignment w:val="bottom"/>
            </w:pPr>
            <w:r>
              <w:rPr>
                <w:rFonts w:ascii="Arial" w:eastAsia="宋体" w:hAnsi="Arial" w:cs="Arial"/>
                <w:color w:val="000000"/>
                <w:sz w:val="16"/>
                <w:szCs w:val="16"/>
              </w:rPr>
              <w:t>230 </w:t>
            </w:r>
          </w:p>
        </w:tc>
        <w:tc>
          <w:tcPr>
            <w:tcW w:w="0" w:type="auto"/>
            <w:shd w:val="clear" w:color="auto" w:fill="E2E2E2"/>
            <w:tcMar>
              <w:top w:w="40" w:type="dxa"/>
              <w:bottom w:w="40" w:type="dxa"/>
              <w:right w:w="20" w:type="dxa"/>
            </w:tcMar>
            <w:vAlign w:val="bottom"/>
          </w:tcPr>
          <w:p w14:paraId="64A8AE4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E4E"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AE4F" w14:textId="77777777" w:rsidR="008D6614" w:rsidRDefault="00866AF2">
            <w:pPr>
              <w:textAlignment w:val="bottom"/>
            </w:pPr>
            <w:r>
              <w:rPr>
                <w:rFonts w:ascii="Arial" w:eastAsia="宋体" w:hAnsi="Arial" w:cs="Arial"/>
                <w:color w:val="000000"/>
                <w:sz w:val="16"/>
                <w:szCs w:val="16"/>
              </w:rPr>
              <w:t>$</w:t>
            </w:r>
          </w:p>
        </w:tc>
        <w:tc>
          <w:tcPr>
            <w:tcW w:w="0" w:type="auto"/>
            <w:shd w:val="clear" w:color="auto" w:fill="E2E2E2"/>
            <w:tcMar>
              <w:top w:w="40" w:type="dxa"/>
              <w:bottom w:w="40" w:type="dxa"/>
              <w:right w:w="0" w:type="dxa"/>
            </w:tcMar>
            <w:vAlign w:val="bottom"/>
          </w:tcPr>
          <w:p w14:paraId="64A8AE50" w14:textId="77777777" w:rsidR="008D6614" w:rsidRDefault="00866AF2">
            <w:pPr>
              <w:jc w:val="right"/>
              <w:textAlignment w:val="bottom"/>
            </w:pPr>
            <w:r>
              <w:rPr>
                <w:rFonts w:ascii="Arial" w:eastAsia="宋体" w:hAnsi="Arial" w:cs="Arial"/>
                <w:color w:val="000000"/>
                <w:sz w:val="16"/>
                <w:szCs w:val="16"/>
              </w:rPr>
              <w:t>277 </w:t>
            </w:r>
          </w:p>
        </w:tc>
        <w:tc>
          <w:tcPr>
            <w:tcW w:w="0" w:type="auto"/>
            <w:shd w:val="clear" w:color="auto" w:fill="E2E2E2"/>
            <w:tcMar>
              <w:top w:w="40" w:type="dxa"/>
              <w:bottom w:w="40" w:type="dxa"/>
              <w:right w:w="20" w:type="dxa"/>
            </w:tcMar>
            <w:vAlign w:val="bottom"/>
          </w:tcPr>
          <w:p w14:paraId="64A8AE5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E5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E53" w14:textId="77777777" w:rsidR="008D6614" w:rsidRDefault="00866AF2">
            <w:pPr>
              <w:jc w:val="right"/>
              <w:textAlignment w:val="bottom"/>
            </w:pPr>
            <w:r>
              <w:rPr>
                <w:rFonts w:ascii="Arial" w:eastAsia="宋体" w:hAnsi="Arial" w:cs="Arial"/>
                <w:color w:val="000000"/>
                <w:sz w:val="16"/>
                <w:szCs w:val="16"/>
              </w:rPr>
              <w:t>(17)</w:t>
            </w:r>
          </w:p>
        </w:tc>
        <w:tc>
          <w:tcPr>
            <w:tcW w:w="0" w:type="auto"/>
            <w:shd w:val="clear" w:color="auto" w:fill="E2E2E2"/>
            <w:tcMar>
              <w:top w:w="40" w:type="dxa"/>
              <w:bottom w:w="40" w:type="dxa"/>
              <w:right w:w="20" w:type="dxa"/>
            </w:tcMar>
            <w:vAlign w:val="bottom"/>
          </w:tcPr>
          <w:p w14:paraId="64A8AE54"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E5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E56" w14:textId="77777777" w:rsidR="008D6614" w:rsidRDefault="00866AF2">
            <w:pPr>
              <w:jc w:val="right"/>
              <w:textAlignment w:val="bottom"/>
            </w:pPr>
            <w:r>
              <w:rPr>
                <w:rFonts w:ascii="Arial" w:eastAsia="宋体" w:hAnsi="Arial" w:cs="Arial"/>
                <w:color w:val="000000"/>
                <w:sz w:val="16"/>
                <w:szCs w:val="16"/>
              </w:rPr>
              <w:t>(15)</w:t>
            </w:r>
          </w:p>
        </w:tc>
        <w:tc>
          <w:tcPr>
            <w:tcW w:w="0" w:type="auto"/>
            <w:shd w:val="clear" w:color="auto" w:fill="E2E2E2"/>
            <w:tcMar>
              <w:top w:w="40" w:type="dxa"/>
              <w:bottom w:w="40" w:type="dxa"/>
              <w:right w:w="20" w:type="dxa"/>
            </w:tcMar>
            <w:vAlign w:val="bottom"/>
          </w:tcPr>
          <w:p w14:paraId="64A8AE57"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E58" w14:textId="77777777" w:rsidR="008D6614" w:rsidRDefault="008D6614">
            <w:pPr>
              <w:rPr>
                <w:rFonts w:ascii="宋体"/>
                <w:vanish/>
              </w:rPr>
            </w:pPr>
          </w:p>
        </w:tc>
        <w:tc>
          <w:tcPr>
            <w:tcW w:w="0" w:type="auto"/>
            <w:shd w:val="clear" w:color="auto" w:fill="auto"/>
            <w:vAlign w:val="center"/>
          </w:tcPr>
          <w:p w14:paraId="64A8AE59" w14:textId="77777777" w:rsidR="008D6614" w:rsidRDefault="008D6614">
            <w:pPr>
              <w:rPr>
                <w:rFonts w:ascii="宋体"/>
                <w:vanish/>
              </w:rPr>
            </w:pPr>
          </w:p>
        </w:tc>
        <w:tc>
          <w:tcPr>
            <w:tcW w:w="0" w:type="auto"/>
            <w:shd w:val="clear" w:color="auto" w:fill="auto"/>
            <w:vAlign w:val="center"/>
          </w:tcPr>
          <w:p w14:paraId="64A8AE5A" w14:textId="77777777" w:rsidR="008D6614" w:rsidRDefault="008D6614">
            <w:pPr>
              <w:rPr>
                <w:rFonts w:ascii="宋体"/>
                <w:vanish/>
              </w:rPr>
            </w:pPr>
          </w:p>
        </w:tc>
        <w:tc>
          <w:tcPr>
            <w:tcW w:w="0" w:type="auto"/>
            <w:shd w:val="clear" w:color="auto" w:fill="auto"/>
            <w:vAlign w:val="center"/>
          </w:tcPr>
          <w:p w14:paraId="64A8AE5B" w14:textId="77777777" w:rsidR="008D6614" w:rsidRDefault="008D6614">
            <w:pPr>
              <w:rPr>
                <w:rFonts w:ascii="宋体"/>
                <w:vanish/>
              </w:rPr>
            </w:pPr>
          </w:p>
        </w:tc>
        <w:tc>
          <w:tcPr>
            <w:tcW w:w="0" w:type="auto"/>
            <w:shd w:val="clear" w:color="auto" w:fill="auto"/>
            <w:vAlign w:val="center"/>
          </w:tcPr>
          <w:p w14:paraId="64A8AE5C" w14:textId="77777777" w:rsidR="008D6614" w:rsidRDefault="008D6614">
            <w:pPr>
              <w:rPr>
                <w:rFonts w:ascii="宋体"/>
                <w:vanish/>
              </w:rPr>
            </w:pPr>
          </w:p>
        </w:tc>
        <w:tc>
          <w:tcPr>
            <w:tcW w:w="0" w:type="auto"/>
            <w:shd w:val="clear" w:color="auto" w:fill="auto"/>
            <w:vAlign w:val="center"/>
          </w:tcPr>
          <w:p w14:paraId="64A8AE5D" w14:textId="77777777" w:rsidR="008D6614" w:rsidRDefault="008D6614">
            <w:pPr>
              <w:rPr>
                <w:rFonts w:ascii="宋体"/>
                <w:vanish/>
              </w:rPr>
            </w:pPr>
          </w:p>
        </w:tc>
        <w:tc>
          <w:tcPr>
            <w:tcW w:w="0" w:type="auto"/>
            <w:shd w:val="clear" w:color="auto" w:fill="auto"/>
            <w:vAlign w:val="center"/>
          </w:tcPr>
          <w:p w14:paraId="64A8AE5E" w14:textId="77777777" w:rsidR="008D6614" w:rsidRDefault="008D6614">
            <w:pPr>
              <w:rPr>
                <w:rFonts w:ascii="宋体"/>
                <w:vanish/>
              </w:rPr>
            </w:pPr>
          </w:p>
        </w:tc>
        <w:tc>
          <w:tcPr>
            <w:tcW w:w="0" w:type="auto"/>
            <w:shd w:val="clear" w:color="auto" w:fill="auto"/>
            <w:vAlign w:val="center"/>
          </w:tcPr>
          <w:p w14:paraId="64A8AE5F" w14:textId="77777777" w:rsidR="008D6614" w:rsidRDefault="008D6614">
            <w:pPr>
              <w:rPr>
                <w:rFonts w:ascii="宋体"/>
                <w:vanish/>
              </w:rPr>
            </w:pPr>
          </w:p>
        </w:tc>
        <w:tc>
          <w:tcPr>
            <w:tcW w:w="0" w:type="auto"/>
            <w:shd w:val="clear" w:color="auto" w:fill="auto"/>
            <w:vAlign w:val="center"/>
          </w:tcPr>
          <w:p w14:paraId="64A8AE60" w14:textId="77777777" w:rsidR="008D6614" w:rsidRDefault="008D6614">
            <w:pPr>
              <w:rPr>
                <w:rFonts w:ascii="宋体"/>
              </w:rPr>
            </w:pPr>
          </w:p>
        </w:tc>
        <w:tc>
          <w:tcPr>
            <w:tcW w:w="0" w:type="auto"/>
            <w:shd w:val="clear" w:color="auto" w:fill="auto"/>
            <w:vAlign w:val="center"/>
          </w:tcPr>
          <w:p w14:paraId="64A8AE61" w14:textId="77777777" w:rsidR="008D6614" w:rsidRDefault="008D6614">
            <w:pPr>
              <w:rPr>
                <w:rFonts w:ascii="宋体"/>
              </w:rPr>
            </w:pPr>
          </w:p>
        </w:tc>
        <w:tc>
          <w:tcPr>
            <w:tcW w:w="0" w:type="auto"/>
            <w:shd w:val="clear" w:color="auto" w:fill="auto"/>
            <w:vAlign w:val="center"/>
          </w:tcPr>
          <w:p w14:paraId="64A8AE62" w14:textId="77777777" w:rsidR="008D6614" w:rsidRDefault="008D6614">
            <w:pPr>
              <w:rPr>
                <w:rFonts w:ascii="宋体"/>
              </w:rPr>
            </w:pPr>
          </w:p>
        </w:tc>
        <w:tc>
          <w:tcPr>
            <w:tcW w:w="0" w:type="auto"/>
            <w:shd w:val="clear" w:color="auto" w:fill="auto"/>
            <w:vAlign w:val="center"/>
          </w:tcPr>
          <w:p w14:paraId="64A8AE63" w14:textId="77777777" w:rsidR="008D6614" w:rsidRDefault="008D6614">
            <w:pPr>
              <w:rPr>
                <w:rFonts w:ascii="宋体"/>
              </w:rPr>
            </w:pPr>
          </w:p>
        </w:tc>
        <w:tc>
          <w:tcPr>
            <w:tcW w:w="0" w:type="auto"/>
            <w:shd w:val="clear" w:color="auto" w:fill="auto"/>
            <w:vAlign w:val="center"/>
          </w:tcPr>
          <w:p w14:paraId="64A8AE64" w14:textId="77777777" w:rsidR="008D6614" w:rsidRDefault="008D6614">
            <w:pPr>
              <w:rPr>
                <w:rFonts w:ascii="宋体"/>
              </w:rPr>
            </w:pPr>
          </w:p>
        </w:tc>
        <w:tc>
          <w:tcPr>
            <w:tcW w:w="0" w:type="auto"/>
            <w:shd w:val="clear" w:color="auto" w:fill="auto"/>
            <w:vAlign w:val="center"/>
          </w:tcPr>
          <w:p w14:paraId="64A8AE65" w14:textId="77777777" w:rsidR="008D6614" w:rsidRDefault="008D6614">
            <w:pPr>
              <w:rPr>
                <w:rFonts w:ascii="宋体"/>
              </w:rPr>
            </w:pPr>
          </w:p>
        </w:tc>
        <w:tc>
          <w:tcPr>
            <w:tcW w:w="0" w:type="auto"/>
            <w:shd w:val="clear" w:color="auto" w:fill="auto"/>
            <w:vAlign w:val="center"/>
          </w:tcPr>
          <w:p w14:paraId="64A8AE66" w14:textId="77777777" w:rsidR="008D6614" w:rsidRDefault="008D6614">
            <w:pPr>
              <w:rPr>
                <w:rFonts w:ascii="宋体"/>
              </w:rPr>
            </w:pPr>
          </w:p>
        </w:tc>
        <w:tc>
          <w:tcPr>
            <w:tcW w:w="0" w:type="auto"/>
            <w:shd w:val="clear" w:color="auto" w:fill="auto"/>
            <w:vAlign w:val="center"/>
          </w:tcPr>
          <w:p w14:paraId="64A8AE67" w14:textId="77777777" w:rsidR="008D6614" w:rsidRDefault="008D6614">
            <w:pPr>
              <w:rPr>
                <w:rFonts w:ascii="宋体"/>
              </w:rPr>
            </w:pPr>
          </w:p>
        </w:tc>
        <w:tc>
          <w:tcPr>
            <w:tcW w:w="0" w:type="auto"/>
            <w:shd w:val="clear" w:color="auto" w:fill="auto"/>
            <w:vAlign w:val="center"/>
          </w:tcPr>
          <w:p w14:paraId="64A8AE68" w14:textId="77777777" w:rsidR="008D6614" w:rsidRDefault="008D6614">
            <w:pPr>
              <w:rPr>
                <w:rFonts w:ascii="宋体"/>
              </w:rPr>
            </w:pPr>
          </w:p>
        </w:tc>
        <w:tc>
          <w:tcPr>
            <w:tcW w:w="0" w:type="auto"/>
            <w:shd w:val="clear" w:color="auto" w:fill="auto"/>
            <w:vAlign w:val="center"/>
          </w:tcPr>
          <w:p w14:paraId="64A8AE69" w14:textId="77777777" w:rsidR="008D6614" w:rsidRDefault="008D6614">
            <w:pPr>
              <w:rPr>
                <w:rFonts w:ascii="宋体"/>
              </w:rPr>
            </w:pPr>
          </w:p>
        </w:tc>
        <w:tc>
          <w:tcPr>
            <w:tcW w:w="0" w:type="auto"/>
            <w:shd w:val="clear" w:color="auto" w:fill="auto"/>
            <w:vAlign w:val="center"/>
          </w:tcPr>
          <w:p w14:paraId="64A8AE6A" w14:textId="77777777" w:rsidR="008D6614" w:rsidRDefault="008D6614">
            <w:pPr>
              <w:rPr>
                <w:rFonts w:ascii="宋体"/>
              </w:rPr>
            </w:pPr>
          </w:p>
        </w:tc>
        <w:tc>
          <w:tcPr>
            <w:tcW w:w="0" w:type="auto"/>
            <w:shd w:val="clear" w:color="auto" w:fill="auto"/>
            <w:vAlign w:val="center"/>
          </w:tcPr>
          <w:p w14:paraId="64A8AE6B" w14:textId="77777777" w:rsidR="008D6614" w:rsidRDefault="008D6614">
            <w:pPr>
              <w:rPr>
                <w:rFonts w:ascii="宋体"/>
              </w:rPr>
            </w:pPr>
          </w:p>
        </w:tc>
        <w:tc>
          <w:tcPr>
            <w:tcW w:w="0" w:type="auto"/>
            <w:shd w:val="clear" w:color="auto" w:fill="auto"/>
            <w:vAlign w:val="center"/>
          </w:tcPr>
          <w:p w14:paraId="64A8AE6C" w14:textId="77777777" w:rsidR="008D6614" w:rsidRDefault="008D6614">
            <w:pPr>
              <w:rPr>
                <w:rFonts w:ascii="宋体"/>
              </w:rPr>
            </w:pPr>
          </w:p>
        </w:tc>
        <w:tc>
          <w:tcPr>
            <w:tcW w:w="0" w:type="auto"/>
            <w:shd w:val="clear" w:color="auto" w:fill="auto"/>
            <w:vAlign w:val="center"/>
          </w:tcPr>
          <w:p w14:paraId="64A8AE6D" w14:textId="77777777" w:rsidR="008D6614" w:rsidRDefault="008D6614">
            <w:pPr>
              <w:rPr>
                <w:rFonts w:ascii="宋体"/>
              </w:rPr>
            </w:pPr>
          </w:p>
        </w:tc>
        <w:tc>
          <w:tcPr>
            <w:tcW w:w="0" w:type="auto"/>
            <w:shd w:val="clear" w:color="auto" w:fill="auto"/>
            <w:vAlign w:val="center"/>
          </w:tcPr>
          <w:p w14:paraId="64A8AE6E" w14:textId="77777777" w:rsidR="008D6614" w:rsidRDefault="008D6614">
            <w:pPr>
              <w:rPr>
                <w:rFonts w:ascii="宋体"/>
              </w:rPr>
            </w:pPr>
          </w:p>
        </w:tc>
      </w:tr>
      <w:tr w:rsidR="008D6614" w14:paraId="64A8AE93" w14:textId="77777777">
        <w:tc>
          <w:tcPr>
            <w:tcW w:w="0" w:type="auto"/>
            <w:gridSpan w:val="3"/>
            <w:shd w:val="clear" w:color="auto" w:fill="FFFFFF"/>
            <w:tcMar>
              <w:top w:w="40" w:type="dxa"/>
              <w:left w:w="20" w:type="dxa"/>
              <w:bottom w:w="40" w:type="dxa"/>
              <w:right w:w="20" w:type="dxa"/>
            </w:tcMar>
            <w:vAlign w:val="bottom"/>
          </w:tcPr>
          <w:p w14:paraId="64A8AE70" w14:textId="77777777" w:rsidR="008D6614" w:rsidRDefault="00866AF2">
            <w:pPr>
              <w:textAlignment w:val="bottom"/>
            </w:pPr>
            <w:r>
              <w:rPr>
                <w:rFonts w:ascii="Arial" w:eastAsia="宋体" w:hAnsi="Arial" w:cs="Arial"/>
                <w:color w:val="000000"/>
                <w:sz w:val="16"/>
                <w:szCs w:val="16"/>
              </w:rPr>
              <w:t>Classifieds</w:t>
            </w:r>
          </w:p>
        </w:tc>
        <w:tc>
          <w:tcPr>
            <w:tcW w:w="0" w:type="auto"/>
            <w:gridSpan w:val="2"/>
            <w:shd w:val="clear" w:color="auto" w:fill="FFFFFF"/>
            <w:tcMar>
              <w:top w:w="40" w:type="dxa"/>
              <w:left w:w="20" w:type="dxa"/>
              <w:bottom w:w="40" w:type="dxa"/>
              <w:right w:w="0" w:type="dxa"/>
            </w:tcMar>
            <w:vAlign w:val="bottom"/>
          </w:tcPr>
          <w:p w14:paraId="64A8AE71" w14:textId="77777777" w:rsidR="008D6614" w:rsidRDefault="00866AF2">
            <w:pPr>
              <w:jc w:val="right"/>
              <w:textAlignment w:val="bottom"/>
            </w:pPr>
            <w:r>
              <w:rPr>
                <w:rFonts w:ascii="Arial" w:eastAsia="宋体" w:hAnsi="Arial" w:cs="Arial"/>
                <w:color w:val="000000"/>
                <w:sz w:val="16"/>
                <w:szCs w:val="16"/>
              </w:rPr>
              <w:t>248 </w:t>
            </w:r>
          </w:p>
        </w:tc>
        <w:tc>
          <w:tcPr>
            <w:tcW w:w="0" w:type="auto"/>
            <w:shd w:val="clear" w:color="auto" w:fill="FFFFFF"/>
            <w:tcMar>
              <w:top w:w="40" w:type="dxa"/>
              <w:bottom w:w="40" w:type="dxa"/>
              <w:right w:w="20" w:type="dxa"/>
            </w:tcMar>
            <w:vAlign w:val="bottom"/>
          </w:tcPr>
          <w:p w14:paraId="64A8AE72"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E7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E74" w14:textId="77777777" w:rsidR="008D6614" w:rsidRDefault="00866AF2">
            <w:pPr>
              <w:jc w:val="right"/>
              <w:textAlignment w:val="bottom"/>
            </w:pPr>
            <w:r>
              <w:rPr>
                <w:rFonts w:ascii="Arial" w:eastAsia="宋体" w:hAnsi="Arial" w:cs="Arial"/>
                <w:color w:val="000000"/>
                <w:sz w:val="16"/>
                <w:szCs w:val="16"/>
              </w:rPr>
              <w:t>256 </w:t>
            </w:r>
          </w:p>
        </w:tc>
        <w:tc>
          <w:tcPr>
            <w:tcW w:w="0" w:type="auto"/>
            <w:shd w:val="clear" w:color="auto" w:fill="FFFFFF"/>
            <w:tcMar>
              <w:top w:w="40" w:type="dxa"/>
              <w:bottom w:w="40" w:type="dxa"/>
              <w:right w:w="20" w:type="dxa"/>
            </w:tcMar>
            <w:vAlign w:val="bottom"/>
          </w:tcPr>
          <w:p w14:paraId="64A8AE7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E7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E77" w14:textId="77777777" w:rsidR="008D6614" w:rsidRDefault="00866AF2">
            <w:pPr>
              <w:jc w:val="right"/>
              <w:textAlignment w:val="bottom"/>
            </w:pPr>
            <w:r>
              <w:rPr>
                <w:rFonts w:ascii="Arial" w:eastAsia="宋体" w:hAnsi="Arial" w:cs="Arial"/>
                <w:color w:val="000000"/>
                <w:sz w:val="16"/>
                <w:szCs w:val="16"/>
              </w:rPr>
              <w:t>(3)</w:t>
            </w:r>
          </w:p>
        </w:tc>
        <w:tc>
          <w:tcPr>
            <w:tcW w:w="0" w:type="auto"/>
            <w:shd w:val="clear" w:color="auto" w:fill="FFFFFF"/>
            <w:tcMar>
              <w:top w:w="40" w:type="dxa"/>
              <w:bottom w:w="40" w:type="dxa"/>
              <w:right w:w="20" w:type="dxa"/>
            </w:tcMar>
            <w:vAlign w:val="bottom"/>
          </w:tcPr>
          <w:p w14:paraId="64A8AE78"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AE7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E7A"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64A8AE7B"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E7C" w14:textId="77777777" w:rsidR="008D6614" w:rsidRDefault="008D6614">
            <w:pPr>
              <w:rPr>
                <w:rFonts w:ascii="宋体"/>
                <w:vanish/>
              </w:rPr>
            </w:pPr>
          </w:p>
        </w:tc>
        <w:tc>
          <w:tcPr>
            <w:tcW w:w="0" w:type="auto"/>
            <w:shd w:val="clear" w:color="auto" w:fill="auto"/>
            <w:vAlign w:val="center"/>
          </w:tcPr>
          <w:p w14:paraId="64A8AE7D" w14:textId="77777777" w:rsidR="008D6614" w:rsidRDefault="008D6614">
            <w:pPr>
              <w:rPr>
                <w:rFonts w:ascii="宋体"/>
                <w:vanish/>
              </w:rPr>
            </w:pPr>
          </w:p>
        </w:tc>
        <w:tc>
          <w:tcPr>
            <w:tcW w:w="0" w:type="auto"/>
            <w:shd w:val="clear" w:color="auto" w:fill="auto"/>
            <w:vAlign w:val="center"/>
          </w:tcPr>
          <w:p w14:paraId="64A8AE7E" w14:textId="77777777" w:rsidR="008D6614" w:rsidRDefault="008D6614">
            <w:pPr>
              <w:rPr>
                <w:rFonts w:ascii="宋体"/>
                <w:vanish/>
              </w:rPr>
            </w:pPr>
          </w:p>
        </w:tc>
        <w:tc>
          <w:tcPr>
            <w:tcW w:w="0" w:type="auto"/>
            <w:shd w:val="clear" w:color="auto" w:fill="auto"/>
            <w:vAlign w:val="center"/>
          </w:tcPr>
          <w:p w14:paraId="64A8AE7F" w14:textId="77777777" w:rsidR="008D6614" w:rsidRDefault="008D6614">
            <w:pPr>
              <w:rPr>
                <w:rFonts w:ascii="宋体"/>
                <w:vanish/>
              </w:rPr>
            </w:pPr>
          </w:p>
        </w:tc>
        <w:tc>
          <w:tcPr>
            <w:tcW w:w="0" w:type="auto"/>
            <w:shd w:val="clear" w:color="auto" w:fill="auto"/>
            <w:vAlign w:val="center"/>
          </w:tcPr>
          <w:p w14:paraId="64A8AE80" w14:textId="77777777" w:rsidR="008D6614" w:rsidRDefault="008D6614">
            <w:pPr>
              <w:rPr>
                <w:rFonts w:ascii="宋体"/>
                <w:vanish/>
              </w:rPr>
            </w:pPr>
          </w:p>
        </w:tc>
        <w:tc>
          <w:tcPr>
            <w:tcW w:w="0" w:type="auto"/>
            <w:shd w:val="clear" w:color="auto" w:fill="auto"/>
            <w:vAlign w:val="center"/>
          </w:tcPr>
          <w:p w14:paraId="64A8AE81" w14:textId="77777777" w:rsidR="008D6614" w:rsidRDefault="008D6614">
            <w:pPr>
              <w:rPr>
                <w:rFonts w:ascii="宋体"/>
                <w:vanish/>
              </w:rPr>
            </w:pPr>
          </w:p>
        </w:tc>
        <w:tc>
          <w:tcPr>
            <w:tcW w:w="0" w:type="auto"/>
            <w:shd w:val="clear" w:color="auto" w:fill="auto"/>
            <w:vAlign w:val="center"/>
          </w:tcPr>
          <w:p w14:paraId="64A8AE82" w14:textId="77777777" w:rsidR="008D6614" w:rsidRDefault="008D6614">
            <w:pPr>
              <w:rPr>
                <w:rFonts w:ascii="宋体"/>
                <w:vanish/>
              </w:rPr>
            </w:pPr>
          </w:p>
        </w:tc>
        <w:tc>
          <w:tcPr>
            <w:tcW w:w="0" w:type="auto"/>
            <w:shd w:val="clear" w:color="auto" w:fill="auto"/>
            <w:vAlign w:val="center"/>
          </w:tcPr>
          <w:p w14:paraId="64A8AE83" w14:textId="77777777" w:rsidR="008D6614" w:rsidRDefault="008D6614">
            <w:pPr>
              <w:rPr>
                <w:rFonts w:ascii="宋体"/>
                <w:vanish/>
              </w:rPr>
            </w:pPr>
          </w:p>
        </w:tc>
        <w:tc>
          <w:tcPr>
            <w:tcW w:w="0" w:type="auto"/>
            <w:shd w:val="clear" w:color="auto" w:fill="auto"/>
            <w:vAlign w:val="center"/>
          </w:tcPr>
          <w:p w14:paraId="64A8AE84" w14:textId="77777777" w:rsidR="008D6614" w:rsidRDefault="008D6614">
            <w:pPr>
              <w:rPr>
                <w:rFonts w:ascii="宋体"/>
              </w:rPr>
            </w:pPr>
          </w:p>
        </w:tc>
        <w:tc>
          <w:tcPr>
            <w:tcW w:w="0" w:type="auto"/>
            <w:shd w:val="clear" w:color="auto" w:fill="auto"/>
            <w:vAlign w:val="center"/>
          </w:tcPr>
          <w:p w14:paraId="64A8AE85" w14:textId="77777777" w:rsidR="008D6614" w:rsidRDefault="008D6614">
            <w:pPr>
              <w:rPr>
                <w:rFonts w:ascii="宋体"/>
              </w:rPr>
            </w:pPr>
          </w:p>
        </w:tc>
        <w:tc>
          <w:tcPr>
            <w:tcW w:w="0" w:type="auto"/>
            <w:shd w:val="clear" w:color="auto" w:fill="auto"/>
            <w:vAlign w:val="center"/>
          </w:tcPr>
          <w:p w14:paraId="64A8AE86" w14:textId="77777777" w:rsidR="008D6614" w:rsidRDefault="008D6614">
            <w:pPr>
              <w:rPr>
                <w:rFonts w:ascii="宋体"/>
              </w:rPr>
            </w:pPr>
          </w:p>
        </w:tc>
        <w:tc>
          <w:tcPr>
            <w:tcW w:w="0" w:type="auto"/>
            <w:shd w:val="clear" w:color="auto" w:fill="auto"/>
            <w:vAlign w:val="center"/>
          </w:tcPr>
          <w:p w14:paraId="64A8AE87" w14:textId="77777777" w:rsidR="008D6614" w:rsidRDefault="008D6614">
            <w:pPr>
              <w:rPr>
                <w:rFonts w:ascii="宋体"/>
              </w:rPr>
            </w:pPr>
          </w:p>
        </w:tc>
        <w:tc>
          <w:tcPr>
            <w:tcW w:w="0" w:type="auto"/>
            <w:shd w:val="clear" w:color="auto" w:fill="auto"/>
            <w:vAlign w:val="center"/>
          </w:tcPr>
          <w:p w14:paraId="64A8AE88" w14:textId="77777777" w:rsidR="008D6614" w:rsidRDefault="008D6614">
            <w:pPr>
              <w:rPr>
                <w:rFonts w:ascii="宋体"/>
              </w:rPr>
            </w:pPr>
          </w:p>
        </w:tc>
        <w:tc>
          <w:tcPr>
            <w:tcW w:w="0" w:type="auto"/>
            <w:shd w:val="clear" w:color="auto" w:fill="auto"/>
            <w:vAlign w:val="center"/>
          </w:tcPr>
          <w:p w14:paraId="64A8AE89" w14:textId="77777777" w:rsidR="008D6614" w:rsidRDefault="008D6614">
            <w:pPr>
              <w:rPr>
                <w:rFonts w:ascii="宋体"/>
              </w:rPr>
            </w:pPr>
          </w:p>
        </w:tc>
        <w:tc>
          <w:tcPr>
            <w:tcW w:w="0" w:type="auto"/>
            <w:shd w:val="clear" w:color="auto" w:fill="auto"/>
            <w:vAlign w:val="center"/>
          </w:tcPr>
          <w:p w14:paraId="64A8AE8A" w14:textId="77777777" w:rsidR="008D6614" w:rsidRDefault="008D6614">
            <w:pPr>
              <w:rPr>
                <w:rFonts w:ascii="宋体"/>
              </w:rPr>
            </w:pPr>
          </w:p>
        </w:tc>
        <w:tc>
          <w:tcPr>
            <w:tcW w:w="0" w:type="auto"/>
            <w:shd w:val="clear" w:color="auto" w:fill="auto"/>
            <w:vAlign w:val="center"/>
          </w:tcPr>
          <w:p w14:paraId="64A8AE8B" w14:textId="77777777" w:rsidR="008D6614" w:rsidRDefault="008D6614">
            <w:pPr>
              <w:rPr>
                <w:rFonts w:ascii="宋体"/>
              </w:rPr>
            </w:pPr>
          </w:p>
        </w:tc>
        <w:tc>
          <w:tcPr>
            <w:tcW w:w="0" w:type="auto"/>
            <w:shd w:val="clear" w:color="auto" w:fill="auto"/>
            <w:vAlign w:val="center"/>
          </w:tcPr>
          <w:p w14:paraId="64A8AE8C" w14:textId="77777777" w:rsidR="008D6614" w:rsidRDefault="008D6614">
            <w:pPr>
              <w:rPr>
                <w:rFonts w:ascii="宋体"/>
              </w:rPr>
            </w:pPr>
          </w:p>
        </w:tc>
        <w:tc>
          <w:tcPr>
            <w:tcW w:w="0" w:type="auto"/>
            <w:shd w:val="clear" w:color="auto" w:fill="auto"/>
            <w:vAlign w:val="center"/>
          </w:tcPr>
          <w:p w14:paraId="64A8AE8D" w14:textId="77777777" w:rsidR="008D6614" w:rsidRDefault="008D6614">
            <w:pPr>
              <w:rPr>
                <w:rFonts w:ascii="宋体"/>
              </w:rPr>
            </w:pPr>
          </w:p>
        </w:tc>
        <w:tc>
          <w:tcPr>
            <w:tcW w:w="0" w:type="auto"/>
            <w:shd w:val="clear" w:color="auto" w:fill="auto"/>
            <w:vAlign w:val="center"/>
          </w:tcPr>
          <w:p w14:paraId="64A8AE8E" w14:textId="77777777" w:rsidR="008D6614" w:rsidRDefault="008D6614">
            <w:pPr>
              <w:rPr>
                <w:rFonts w:ascii="宋体"/>
              </w:rPr>
            </w:pPr>
          </w:p>
        </w:tc>
        <w:tc>
          <w:tcPr>
            <w:tcW w:w="0" w:type="auto"/>
            <w:shd w:val="clear" w:color="auto" w:fill="auto"/>
            <w:vAlign w:val="center"/>
          </w:tcPr>
          <w:p w14:paraId="64A8AE8F" w14:textId="77777777" w:rsidR="008D6614" w:rsidRDefault="008D6614">
            <w:pPr>
              <w:rPr>
                <w:rFonts w:ascii="宋体"/>
              </w:rPr>
            </w:pPr>
          </w:p>
        </w:tc>
        <w:tc>
          <w:tcPr>
            <w:tcW w:w="0" w:type="auto"/>
            <w:shd w:val="clear" w:color="auto" w:fill="auto"/>
            <w:vAlign w:val="center"/>
          </w:tcPr>
          <w:p w14:paraId="64A8AE90" w14:textId="77777777" w:rsidR="008D6614" w:rsidRDefault="008D6614">
            <w:pPr>
              <w:rPr>
                <w:rFonts w:ascii="宋体"/>
              </w:rPr>
            </w:pPr>
          </w:p>
        </w:tc>
        <w:tc>
          <w:tcPr>
            <w:tcW w:w="0" w:type="auto"/>
            <w:shd w:val="clear" w:color="auto" w:fill="auto"/>
            <w:vAlign w:val="center"/>
          </w:tcPr>
          <w:p w14:paraId="64A8AE91" w14:textId="77777777" w:rsidR="008D6614" w:rsidRDefault="008D6614">
            <w:pPr>
              <w:rPr>
                <w:rFonts w:ascii="宋体"/>
              </w:rPr>
            </w:pPr>
          </w:p>
        </w:tc>
        <w:tc>
          <w:tcPr>
            <w:tcW w:w="0" w:type="auto"/>
            <w:shd w:val="clear" w:color="auto" w:fill="auto"/>
            <w:vAlign w:val="center"/>
          </w:tcPr>
          <w:p w14:paraId="64A8AE92" w14:textId="77777777" w:rsidR="008D6614" w:rsidRDefault="008D6614">
            <w:pPr>
              <w:rPr>
                <w:rFonts w:ascii="宋体"/>
              </w:rPr>
            </w:pPr>
          </w:p>
        </w:tc>
      </w:tr>
      <w:tr w:rsidR="008D6614" w14:paraId="64A8AEB3" w14:textId="77777777">
        <w:trPr>
          <w:hidden/>
        </w:trPr>
        <w:tc>
          <w:tcPr>
            <w:tcW w:w="0" w:type="auto"/>
            <w:gridSpan w:val="3"/>
            <w:shd w:val="clear" w:color="auto" w:fill="auto"/>
            <w:vAlign w:val="center"/>
          </w:tcPr>
          <w:p w14:paraId="64A8AE94" w14:textId="77777777" w:rsidR="008D6614" w:rsidRDefault="008D6614">
            <w:pPr>
              <w:rPr>
                <w:rFonts w:ascii="宋体"/>
                <w:vanish/>
              </w:rPr>
            </w:pPr>
          </w:p>
        </w:tc>
        <w:tc>
          <w:tcPr>
            <w:tcW w:w="0" w:type="auto"/>
            <w:gridSpan w:val="3"/>
            <w:shd w:val="clear" w:color="auto" w:fill="auto"/>
            <w:vAlign w:val="center"/>
          </w:tcPr>
          <w:p w14:paraId="64A8AE95" w14:textId="77777777" w:rsidR="008D6614" w:rsidRDefault="008D6614">
            <w:pPr>
              <w:rPr>
                <w:rFonts w:ascii="宋体"/>
                <w:vanish/>
              </w:rPr>
            </w:pPr>
          </w:p>
        </w:tc>
        <w:tc>
          <w:tcPr>
            <w:tcW w:w="0" w:type="auto"/>
            <w:gridSpan w:val="3"/>
            <w:shd w:val="clear" w:color="auto" w:fill="auto"/>
            <w:vAlign w:val="center"/>
          </w:tcPr>
          <w:p w14:paraId="64A8AE96" w14:textId="77777777" w:rsidR="008D6614" w:rsidRDefault="008D6614">
            <w:pPr>
              <w:rPr>
                <w:rFonts w:ascii="宋体"/>
                <w:vanish/>
              </w:rPr>
            </w:pPr>
          </w:p>
        </w:tc>
        <w:tc>
          <w:tcPr>
            <w:tcW w:w="0" w:type="auto"/>
            <w:gridSpan w:val="3"/>
            <w:shd w:val="clear" w:color="auto" w:fill="auto"/>
            <w:vAlign w:val="center"/>
          </w:tcPr>
          <w:p w14:paraId="64A8AE97" w14:textId="77777777" w:rsidR="008D6614" w:rsidRDefault="008D6614">
            <w:pPr>
              <w:rPr>
                <w:rFonts w:ascii="宋体"/>
                <w:vanish/>
              </w:rPr>
            </w:pPr>
          </w:p>
        </w:tc>
        <w:tc>
          <w:tcPr>
            <w:tcW w:w="0" w:type="auto"/>
            <w:gridSpan w:val="3"/>
            <w:shd w:val="clear" w:color="auto" w:fill="auto"/>
            <w:vAlign w:val="center"/>
          </w:tcPr>
          <w:p w14:paraId="64A8AE98" w14:textId="77777777" w:rsidR="008D6614" w:rsidRDefault="008D6614">
            <w:pPr>
              <w:rPr>
                <w:rFonts w:ascii="宋体"/>
                <w:vanish/>
              </w:rPr>
            </w:pPr>
          </w:p>
        </w:tc>
        <w:tc>
          <w:tcPr>
            <w:tcW w:w="0" w:type="auto"/>
            <w:gridSpan w:val="3"/>
            <w:shd w:val="clear" w:color="auto" w:fill="auto"/>
            <w:vAlign w:val="center"/>
          </w:tcPr>
          <w:p w14:paraId="64A8AE99" w14:textId="77777777" w:rsidR="008D6614" w:rsidRDefault="008D6614">
            <w:pPr>
              <w:rPr>
                <w:rFonts w:ascii="宋体"/>
                <w:vanish/>
              </w:rPr>
            </w:pPr>
          </w:p>
        </w:tc>
        <w:tc>
          <w:tcPr>
            <w:tcW w:w="0" w:type="auto"/>
            <w:gridSpan w:val="3"/>
            <w:shd w:val="clear" w:color="auto" w:fill="auto"/>
            <w:vAlign w:val="center"/>
          </w:tcPr>
          <w:p w14:paraId="64A8AE9A" w14:textId="77777777" w:rsidR="008D6614" w:rsidRDefault="008D6614">
            <w:pPr>
              <w:rPr>
                <w:rFonts w:ascii="宋体"/>
                <w:vanish/>
              </w:rPr>
            </w:pPr>
          </w:p>
        </w:tc>
        <w:tc>
          <w:tcPr>
            <w:tcW w:w="0" w:type="auto"/>
            <w:gridSpan w:val="3"/>
            <w:shd w:val="clear" w:color="auto" w:fill="auto"/>
            <w:vAlign w:val="center"/>
          </w:tcPr>
          <w:p w14:paraId="64A8AE9B" w14:textId="77777777" w:rsidR="008D6614" w:rsidRDefault="008D6614">
            <w:pPr>
              <w:rPr>
                <w:rFonts w:ascii="宋体"/>
                <w:vanish/>
              </w:rPr>
            </w:pPr>
          </w:p>
        </w:tc>
        <w:tc>
          <w:tcPr>
            <w:tcW w:w="0" w:type="auto"/>
            <w:shd w:val="clear" w:color="auto" w:fill="auto"/>
            <w:vAlign w:val="center"/>
          </w:tcPr>
          <w:p w14:paraId="64A8AE9C" w14:textId="77777777" w:rsidR="008D6614" w:rsidRDefault="008D6614">
            <w:pPr>
              <w:rPr>
                <w:rFonts w:ascii="宋体"/>
                <w:vanish/>
              </w:rPr>
            </w:pPr>
          </w:p>
        </w:tc>
        <w:tc>
          <w:tcPr>
            <w:tcW w:w="0" w:type="auto"/>
            <w:shd w:val="clear" w:color="auto" w:fill="auto"/>
            <w:vAlign w:val="center"/>
          </w:tcPr>
          <w:p w14:paraId="64A8AE9D" w14:textId="77777777" w:rsidR="008D6614" w:rsidRDefault="008D6614">
            <w:pPr>
              <w:rPr>
                <w:rFonts w:ascii="宋体"/>
                <w:vanish/>
              </w:rPr>
            </w:pPr>
          </w:p>
        </w:tc>
        <w:tc>
          <w:tcPr>
            <w:tcW w:w="0" w:type="auto"/>
            <w:shd w:val="clear" w:color="auto" w:fill="auto"/>
            <w:vAlign w:val="center"/>
          </w:tcPr>
          <w:p w14:paraId="64A8AE9E" w14:textId="77777777" w:rsidR="008D6614" w:rsidRDefault="008D6614">
            <w:pPr>
              <w:rPr>
                <w:rFonts w:ascii="宋体"/>
                <w:vanish/>
              </w:rPr>
            </w:pPr>
          </w:p>
        </w:tc>
        <w:tc>
          <w:tcPr>
            <w:tcW w:w="0" w:type="auto"/>
            <w:shd w:val="clear" w:color="auto" w:fill="auto"/>
            <w:vAlign w:val="center"/>
          </w:tcPr>
          <w:p w14:paraId="64A8AE9F" w14:textId="77777777" w:rsidR="008D6614" w:rsidRDefault="008D6614">
            <w:pPr>
              <w:rPr>
                <w:rFonts w:ascii="宋体"/>
                <w:vanish/>
              </w:rPr>
            </w:pPr>
          </w:p>
        </w:tc>
        <w:tc>
          <w:tcPr>
            <w:tcW w:w="0" w:type="auto"/>
            <w:shd w:val="clear" w:color="auto" w:fill="auto"/>
            <w:vAlign w:val="center"/>
          </w:tcPr>
          <w:p w14:paraId="64A8AEA0" w14:textId="77777777" w:rsidR="008D6614" w:rsidRDefault="008D6614">
            <w:pPr>
              <w:rPr>
                <w:rFonts w:ascii="宋体"/>
                <w:vanish/>
              </w:rPr>
            </w:pPr>
          </w:p>
        </w:tc>
        <w:tc>
          <w:tcPr>
            <w:tcW w:w="0" w:type="auto"/>
            <w:shd w:val="clear" w:color="auto" w:fill="auto"/>
            <w:vAlign w:val="center"/>
          </w:tcPr>
          <w:p w14:paraId="64A8AEA1" w14:textId="77777777" w:rsidR="008D6614" w:rsidRDefault="008D6614">
            <w:pPr>
              <w:rPr>
                <w:rFonts w:ascii="宋体"/>
                <w:vanish/>
              </w:rPr>
            </w:pPr>
          </w:p>
        </w:tc>
        <w:tc>
          <w:tcPr>
            <w:tcW w:w="0" w:type="auto"/>
            <w:shd w:val="clear" w:color="auto" w:fill="auto"/>
            <w:vAlign w:val="center"/>
          </w:tcPr>
          <w:p w14:paraId="64A8AEA2" w14:textId="77777777" w:rsidR="008D6614" w:rsidRDefault="008D6614">
            <w:pPr>
              <w:rPr>
                <w:rFonts w:ascii="宋体"/>
                <w:vanish/>
              </w:rPr>
            </w:pPr>
          </w:p>
        </w:tc>
        <w:tc>
          <w:tcPr>
            <w:tcW w:w="0" w:type="auto"/>
            <w:shd w:val="clear" w:color="auto" w:fill="auto"/>
            <w:vAlign w:val="center"/>
          </w:tcPr>
          <w:p w14:paraId="64A8AEA3" w14:textId="77777777" w:rsidR="008D6614" w:rsidRDefault="008D6614">
            <w:pPr>
              <w:rPr>
                <w:rFonts w:ascii="宋体"/>
                <w:vanish/>
              </w:rPr>
            </w:pPr>
          </w:p>
        </w:tc>
        <w:tc>
          <w:tcPr>
            <w:tcW w:w="0" w:type="auto"/>
            <w:shd w:val="clear" w:color="auto" w:fill="auto"/>
            <w:vAlign w:val="center"/>
          </w:tcPr>
          <w:p w14:paraId="64A8AEA4" w14:textId="77777777" w:rsidR="008D6614" w:rsidRDefault="008D6614">
            <w:pPr>
              <w:rPr>
                <w:rFonts w:ascii="宋体"/>
              </w:rPr>
            </w:pPr>
          </w:p>
        </w:tc>
        <w:tc>
          <w:tcPr>
            <w:tcW w:w="0" w:type="auto"/>
            <w:shd w:val="clear" w:color="auto" w:fill="auto"/>
            <w:vAlign w:val="center"/>
          </w:tcPr>
          <w:p w14:paraId="64A8AEA5" w14:textId="77777777" w:rsidR="008D6614" w:rsidRDefault="008D6614">
            <w:pPr>
              <w:rPr>
                <w:rFonts w:ascii="宋体"/>
              </w:rPr>
            </w:pPr>
          </w:p>
        </w:tc>
        <w:tc>
          <w:tcPr>
            <w:tcW w:w="0" w:type="auto"/>
            <w:shd w:val="clear" w:color="auto" w:fill="auto"/>
            <w:vAlign w:val="center"/>
          </w:tcPr>
          <w:p w14:paraId="64A8AEA6" w14:textId="77777777" w:rsidR="008D6614" w:rsidRDefault="008D6614">
            <w:pPr>
              <w:rPr>
                <w:rFonts w:ascii="宋体"/>
              </w:rPr>
            </w:pPr>
          </w:p>
        </w:tc>
        <w:tc>
          <w:tcPr>
            <w:tcW w:w="0" w:type="auto"/>
            <w:shd w:val="clear" w:color="auto" w:fill="auto"/>
            <w:vAlign w:val="center"/>
          </w:tcPr>
          <w:p w14:paraId="64A8AEA7" w14:textId="77777777" w:rsidR="008D6614" w:rsidRDefault="008D6614">
            <w:pPr>
              <w:rPr>
                <w:rFonts w:ascii="宋体"/>
              </w:rPr>
            </w:pPr>
          </w:p>
        </w:tc>
        <w:tc>
          <w:tcPr>
            <w:tcW w:w="0" w:type="auto"/>
            <w:shd w:val="clear" w:color="auto" w:fill="auto"/>
            <w:vAlign w:val="center"/>
          </w:tcPr>
          <w:p w14:paraId="64A8AEA8" w14:textId="77777777" w:rsidR="008D6614" w:rsidRDefault="008D6614">
            <w:pPr>
              <w:rPr>
                <w:rFonts w:ascii="宋体"/>
              </w:rPr>
            </w:pPr>
          </w:p>
        </w:tc>
        <w:tc>
          <w:tcPr>
            <w:tcW w:w="0" w:type="auto"/>
            <w:shd w:val="clear" w:color="auto" w:fill="auto"/>
            <w:vAlign w:val="center"/>
          </w:tcPr>
          <w:p w14:paraId="64A8AEA9" w14:textId="77777777" w:rsidR="008D6614" w:rsidRDefault="008D6614">
            <w:pPr>
              <w:rPr>
                <w:rFonts w:ascii="宋体"/>
              </w:rPr>
            </w:pPr>
          </w:p>
        </w:tc>
        <w:tc>
          <w:tcPr>
            <w:tcW w:w="0" w:type="auto"/>
            <w:shd w:val="clear" w:color="auto" w:fill="auto"/>
            <w:vAlign w:val="center"/>
          </w:tcPr>
          <w:p w14:paraId="64A8AEAA" w14:textId="77777777" w:rsidR="008D6614" w:rsidRDefault="008D6614">
            <w:pPr>
              <w:rPr>
                <w:rFonts w:ascii="宋体"/>
              </w:rPr>
            </w:pPr>
          </w:p>
        </w:tc>
        <w:tc>
          <w:tcPr>
            <w:tcW w:w="0" w:type="auto"/>
            <w:shd w:val="clear" w:color="auto" w:fill="auto"/>
            <w:vAlign w:val="center"/>
          </w:tcPr>
          <w:p w14:paraId="64A8AEAB" w14:textId="77777777" w:rsidR="008D6614" w:rsidRDefault="008D6614">
            <w:pPr>
              <w:rPr>
                <w:rFonts w:ascii="宋体"/>
              </w:rPr>
            </w:pPr>
          </w:p>
        </w:tc>
        <w:tc>
          <w:tcPr>
            <w:tcW w:w="0" w:type="auto"/>
            <w:shd w:val="clear" w:color="auto" w:fill="auto"/>
            <w:vAlign w:val="center"/>
          </w:tcPr>
          <w:p w14:paraId="64A8AEAC" w14:textId="77777777" w:rsidR="008D6614" w:rsidRDefault="008D6614">
            <w:pPr>
              <w:rPr>
                <w:rFonts w:ascii="宋体"/>
              </w:rPr>
            </w:pPr>
          </w:p>
        </w:tc>
        <w:tc>
          <w:tcPr>
            <w:tcW w:w="0" w:type="auto"/>
            <w:shd w:val="clear" w:color="auto" w:fill="auto"/>
            <w:vAlign w:val="center"/>
          </w:tcPr>
          <w:p w14:paraId="64A8AEAD" w14:textId="77777777" w:rsidR="008D6614" w:rsidRDefault="008D6614">
            <w:pPr>
              <w:rPr>
                <w:rFonts w:ascii="宋体"/>
              </w:rPr>
            </w:pPr>
          </w:p>
        </w:tc>
        <w:tc>
          <w:tcPr>
            <w:tcW w:w="0" w:type="auto"/>
            <w:shd w:val="clear" w:color="auto" w:fill="auto"/>
            <w:vAlign w:val="center"/>
          </w:tcPr>
          <w:p w14:paraId="64A8AEAE" w14:textId="77777777" w:rsidR="008D6614" w:rsidRDefault="008D6614">
            <w:pPr>
              <w:rPr>
                <w:rFonts w:ascii="宋体"/>
              </w:rPr>
            </w:pPr>
          </w:p>
        </w:tc>
        <w:tc>
          <w:tcPr>
            <w:tcW w:w="0" w:type="auto"/>
            <w:shd w:val="clear" w:color="auto" w:fill="auto"/>
            <w:vAlign w:val="center"/>
          </w:tcPr>
          <w:p w14:paraId="64A8AEAF" w14:textId="77777777" w:rsidR="008D6614" w:rsidRDefault="008D6614">
            <w:pPr>
              <w:rPr>
                <w:rFonts w:ascii="宋体"/>
              </w:rPr>
            </w:pPr>
          </w:p>
        </w:tc>
        <w:tc>
          <w:tcPr>
            <w:tcW w:w="0" w:type="auto"/>
            <w:shd w:val="clear" w:color="auto" w:fill="auto"/>
            <w:vAlign w:val="center"/>
          </w:tcPr>
          <w:p w14:paraId="64A8AEB0" w14:textId="77777777" w:rsidR="008D6614" w:rsidRDefault="008D6614">
            <w:pPr>
              <w:rPr>
                <w:rFonts w:ascii="宋体"/>
              </w:rPr>
            </w:pPr>
          </w:p>
        </w:tc>
        <w:tc>
          <w:tcPr>
            <w:tcW w:w="0" w:type="auto"/>
            <w:shd w:val="clear" w:color="auto" w:fill="auto"/>
            <w:vAlign w:val="center"/>
          </w:tcPr>
          <w:p w14:paraId="64A8AEB1" w14:textId="77777777" w:rsidR="008D6614" w:rsidRDefault="008D6614">
            <w:pPr>
              <w:rPr>
                <w:rFonts w:ascii="宋体"/>
              </w:rPr>
            </w:pPr>
          </w:p>
        </w:tc>
        <w:tc>
          <w:tcPr>
            <w:tcW w:w="0" w:type="auto"/>
            <w:shd w:val="clear" w:color="auto" w:fill="auto"/>
            <w:vAlign w:val="center"/>
          </w:tcPr>
          <w:p w14:paraId="64A8AEB2" w14:textId="77777777" w:rsidR="008D6614" w:rsidRDefault="008D6614">
            <w:pPr>
              <w:rPr>
                <w:rFonts w:ascii="宋体"/>
              </w:rPr>
            </w:pPr>
          </w:p>
        </w:tc>
      </w:tr>
      <w:tr w:rsidR="008D6614" w14:paraId="64A8AED7" w14:textId="77777777">
        <w:tc>
          <w:tcPr>
            <w:tcW w:w="0" w:type="auto"/>
            <w:gridSpan w:val="3"/>
            <w:shd w:val="clear" w:color="auto" w:fill="E2E2E2"/>
            <w:tcMar>
              <w:top w:w="40" w:type="dxa"/>
              <w:left w:w="20" w:type="dxa"/>
              <w:bottom w:w="40" w:type="dxa"/>
              <w:right w:w="20" w:type="dxa"/>
            </w:tcMar>
            <w:vAlign w:val="bottom"/>
          </w:tcPr>
          <w:p w14:paraId="64A8AEB4" w14:textId="77777777" w:rsidR="008D6614" w:rsidRDefault="00866AF2">
            <w:pPr>
              <w:textAlignment w:val="bottom"/>
            </w:pPr>
            <w:r>
              <w:rPr>
                <w:rFonts w:ascii="Arial" w:eastAsia="宋体" w:hAnsi="Arial" w:cs="Arial"/>
                <w:color w:val="000000"/>
                <w:sz w:val="16"/>
                <w:szCs w:val="16"/>
              </w:rPr>
              <w:t>Elimination of inter-segment net revenues</w:t>
            </w:r>
          </w:p>
        </w:tc>
        <w:tc>
          <w:tcPr>
            <w:tcW w:w="0" w:type="auto"/>
            <w:gridSpan w:val="2"/>
            <w:shd w:val="clear" w:color="auto" w:fill="E2E2E2"/>
            <w:tcMar>
              <w:top w:w="40" w:type="dxa"/>
              <w:left w:w="20" w:type="dxa"/>
              <w:bottom w:w="40" w:type="dxa"/>
              <w:right w:w="0" w:type="dxa"/>
            </w:tcMar>
            <w:vAlign w:val="bottom"/>
          </w:tcPr>
          <w:p w14:paraId="64A8AEB5" w14:textId="77777777" w:rsidR="008D6614" w:rsidRDefault="00866AF2">
            <w:pPr>
              <w:jc w:val="right"/>
              <w:textAlignment w:val="bottom"/>
            </w:pPr>
            <w:r>
              <w:rPr>
                <w:rFonts w:ascii="Arial" w:eastAsia="宋体" w:hAnsi="Arial" w:cs="Arial"/>
                <w:color w:val="000000"/>
                <w:sz w:val="16"/>
                <w:szCs w:val="16"/>
              </w:rPr>
              <w:t>(4)</w:t>
            </w:r>
          </w:p>
        </w:tc>
        <w:tc>
          <w:tcPr>
            <w:tcW w:w="0" w:type="auto"/>
            <w:shd w:val="clear" w:color="auto" w:fill="E2E2E2"/>
            <w:tcMar>
              <w:top w:w="40" w:type="dxa"/>
              <w:bottom w:w="40" w:type="dxa"/>
              <w:right w:w="20" w:type="dxa"/>
            </w:tcMar>
            <w:vAlign w:val="bottom"/>
          </w:tcPr>
          <w:p w14:paraId="64A8AEB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EB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EB8" w14:textId="77777777" w:rsidR="008D6614" w:rsidRDefault="00866AF2">
            <w:pPr>
              <w:jc w:val="right"/>
              <w:textAlignment w:val="bottom"/>
            </w:pPr>
            <w:r>
              <w:rPr>
                <w:rFonts w:ascii="Arial" w:eastAsia="宋体" w:hAnsi="Arial" w:cs="Arial"/>
                <w:color w:val="000000"/>
                <w:sz w:val="16"/>
                <w:szCs w:val="16"/>
              </w:rPr>
              <w:t>(5)</w:t>
            </w:r>
          </w:p>
        </w:tc>
        <w:tc>
          <w:tcPr>
            <w:tcW w:w="0" w:type="auto"/>
            <w:shd w:val="clear" w:color="auto" w:fill="E2E2E2"/>
            <w:tcMar>
              <w:top w:w="40" w:type="dxa"/>
              <w:bottom w:w="40" w:type="dxa"/>
              <w:right w:w="20" w:type="dxa"/>
            </w:tcMar>
            <w:vAlign w:val="bottom"/>
          </w:tcPr>
          <w:p w14:paraId="64A8AEB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EB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EBB" w14:textId="77777777" w:rsidR="008D6614" w:rsidRDefault="00866AF2">
            <w:pPr>
              <w:jc w:val="right"/>
              <w:textAlignment w:val="bottom"/>
            </w:pPr>
            <w:r>
              <w:rPr>
                <w:rFonts w:ascii="Arial" w:eastAsia="宋体" w:hAnsi="Arial" w:cs="Arial"/>
                <w:color w:val="000000"/>
                <w:sz w:val="16"/>
                <w:szCs w:val="16"/>
              </w:rPr>
              <w:t>(20)</w:t>
            </w:r>
          </w:p>
        </w:tc>
        <w:tc>
          <w:tcPr>
            <w:tcW w:w="0" w:type="auto"/>
            <w:shd w:val="clear" w:color="auto" w:fill="E2E2E2"/>
            <w:tcMar>
              <w:top w:w="40" w:type="dxa"/>
              <w:bottom w:w="40" w:type="dxa"/>
              <w:right w:w="20" w:type="dxa"/>
            </w:tcMar>
            <w:vAlign w:val="bottom"/>
          </w:tcPr>
          <w:p w14:paraId="64A8AEBC"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AEBD"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EBE" w14:textId="77777777" w:rsidR="008D6614" w:rsidRDefault="00866AF2">
            <w:pPr>
              <w:jc w:val="right"/>
              <w:textAlignment w:val="bottom"/>
            </w:pPr>
            <w:r>
              <w:rPr>
                <w:rFonts w:ascii="Arial" w:eastAsia="宋体" w:hAnsi="Arial" w:cs="Arial"/>
                <w:color w:val="000000"/>
                <w:sz w:val="16"/>
                <w:szCs w:val="16"/>
              </w:rPr>
              <w:t>(20)</w:t>
            </w:r>
          </w:p>
        </w:tc>
        <w:tc>
          <w:tcPr>
            <w:tcW w:w="0" w:type="auto"/>
            <w:shd w:val="clear" w:color="auto" w:fill="E2E2E2"/>
            <w:tcMar>
              <w:top w:w="40" w:type="dxa"/>
              <w:bottom w:w="40" w:type="dxa"/>
              <w:right w:w="20" w:type="dxa"/>
            </w:tcMar>
            <w:vAlign w:val="bottom"/>
          </w:tcPr>
          <w:p w14:paraId="64A8AEBF"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EC0" w14:textId="77777777" w:rsidR="008D6614" w:rsidRDefault="008D6614">
            <w:pPr>
              <w:rPr>
                <w:rFonts w:ascii="宋体"/>
                <w:vanish/>
              </w:rPr>
            </w:pPr>
          </w:p>
        </w:tc>
        <w:tc>
          <w:tcPr>
            <w:tcW w:w="0" w:type="auto"/>
            <w:shd w:val="clear" w:color="auto" w:fill="auto"/>
            <w:vAlign w:val="center"/>
          </w:tcPr>
          <w:p w14:paraId="64A8AEC1" w14:textId="77777777" w:rsidR="008D6614" w:rsidRDefault="008D6614">
            <w:pPr>
              <w:rPr>
                <w:rFonts w:ascii="宋体"/>
                <w:vanish/>
              </w:rPr>
            </w:pPr>
          </w:p>
        </w:tc>
        <w:tc>
          <w:tcPr>
            <w:tcW w:w="0" w:type="auto"/>
            <w:shd w:val="clear" w:color="auto" w:fill="auto"/>
            <w:vAlign w:val="center"/>
          </w:tcPr>
          <w:p w14:paraId="64A8AEC2" w14:textId="77777777" w:rsidR="008D6614" w:rsidRDefault="008D6614">
            <w:pPr>
              <w:rPr>
                <w:rFonts w:ascii="宋体"/>
                <w:vanish/>
              </w:rPr>
            </w:pPr>
          </w:p>
        </w:tc>
        <w:tc>
          <w:tcPr>
            <w:tcW w:w="0" w:type="auto"/>
            <w:shd w:val="clear" w:color="auto" w:fill="auto"/>
            <w:vAlign w:val="center"/>
          </w:tcPr>
          <w:p w14:paraId="64A8AEC3" w14:textId="77777777" w:rsidR="008D6614" w:rsidRDefault="008D6614">
            <w:pPr>
              <w:rPr>
                <w:rFonts w:ascii="宋体"/>
                <w:vanish/>
              </w:rPr>
            </w:pPr>
          </w:p>
        </w:tc>
        <w:tc>
          <w:tcPr>
            <w:tcW w:w="0" w:type="auto"/>
            <w:shd w:val="clear" w:color="auto" w:fill="auto"/>
            <w:vAlign w:val="center"/>
          </w:tcPr>
          <w:p w14:paraId="64A8AEC4" w14:textId="77777777" w:rsidR="008D6614" w:rsidRDefault="008D6614">
            <w:pPr>
              <w:rPr>
                <w:rFonts w:ascii="宋体"/>
                <w:vanish/>
              </w:rPr>
            </w:pPr>
          </w:p>
        </w:tc>
        <w:tc>
          <w:tcPr>
            <w:tcW w:w="0" w:type="auto"/>
            <w:shd w:val="clear" w:color="auto" w:fill="auto"/>
            <w:vAlign w:val="center"/>
          </w:tcPr>
          <w:p w14:paraId="64A8AEC5" w14:textId="77777777" w:rsidR="008D6614" w:rsidRDefault="008D6614">
            <w:pPr>
              <w:rPr>
                <w:rFonts w:ascii="宋体"/>
                <w:vanish/>
              </w:rPr>
            </w:pPr>
          </w:p>
        </w:tc>
        <w:tc>
          <w:tcPr>
            <w:tcW w:w="0" w:type="auto"/>
            <w:shd w:val="clear" w:color="auto" w:fill="auto"/>
            <w:vAlign w:val="center"/>
          </w:tcPr>
          <w:p w14:paraId="64A8AEC6" w14:textId="77777777" w:rsidR="008D6614" w:rsidRDefault="008D6614">
            <w:pPr>
              <w:rPr>
                <w:rFonts w:ascii="宋体"/>
                <w:vanish/>
              </w:rPr>
            </w:pPr>
          </w:p>
        </w:tc>
        <w:tc>
          <w:tcPr>
            <w:tcW w:w="0" w:type="auto"/>
            <w:shd w:val="clear" w:color="auto" w:fill="auto"/>
            <w:vAlign w:val="center"/>
          </w:tcPr>
          <w:p w14:paraId="64A8AEC7" w14:textId="77777777" w:rsidR="008D6614" w:rsidRDefault="008D6614">
            <w:pPr>
              <w:rPr>
                <w:rFonts w:ascii="宋体"/>
                <w:vanish/>
              </w:rPr>
            </w:pPr>
          </w:p>
        </w:tc>
        <w:tc>
          <w:tcPr>
            <w:tcW w:w="0" w:type="auto"/>
            <w:shd w:val="clear" w:color="auto" w:fill="auto"/>
            <w:vAlign w:val="center"/>
          </w:tcPr>
          <w:p w14:paraId="64A8AEC8" w14:textId="77777777" w:rsidR="008D6614" w:rsidRDefault="008D6614">
            <w:pPr>
              <w:rPr>
                <w:rFonts w:ascii="宋体"/>
              </w:rPr>
            </w:pPr>
          </w:p>
        </w:tc>
        <w:tc>
          <w:tcPr>
            <w:tcW w:w="0" w:type="auto"/>
            <w:shd w:val="clear" w:color="auto" w:fill="auto"/>
            <w:vAlign w:val="center"/>
          </w:tcPr>
          <w:p w14:paraId="64A8AEC9" w14:textId="77777777" w:rsidR="008D6614" w:rsidRDefault="008D6614">
            <w:pPr>
              <w:rPr>
                <w:rFonts w:ascii="宋体"/>
              </w:rPr>
            </w:pPr>
          </w:p>
        </w:tc>
        <w:tc>
          <w:tcPr>
            <w:tcW w:w="0" w:type="auto"/>
            <w:shd w:val="clear" w:color="auto" w:fill="auto"/>
            <w:vAlign w:val="center"/>
          </w:tcPr>
          <w:p w14:paraId="64A8AECA" w14:textId="77777777" w:rsidR="008D6614" w:rsidRDefault="008D6614">
            <w:pPr>
              <w:rPr>
                <w:rFonts w:ascii="宋体"/>
              </w:rPr>
            </w:pPr>
          </w:p>
        </w:tc>
        <w:tc>
          <w:tcPr>
            <w:tcW w:w="0" w:type="auto"/>
            <w:shd w:val="clear" w:color="auto" w:fill="auto"/>
            <w:vAlign w:val="center"/>
          </w:tcPr>
          <w:p w14:paraId="64A8AECB" w14:textId="77777777" w:rsidR="008D6614" w:rsidRDefault="008D6614">
            <w:pPr>
              <w:rPr>
                <w:rFonts w:ascii="宋体"/>
              </w:rPr>
            </w:pPr>
          </w:p>
        </w:tc>
        <w:tc>
          <w:tcPr>
            <w:tcW w:w="0" w:type="auto"/>
            <w:shd w:val="clear" w:color="auto" w:fill="auto"/>
            <w:vAlign w:val="center"/>
          </w:tcPr>
          <w:p w14:paraId="64A8AECC" w14:textId="77777777" w:rsidR="008D6614" w:rsidRDefault="008D6614">
            <w:pPr>
              <w:rPr>
                <w:rFonts w:ascii="宋体"/>
              </w:rPr>
            </w:pPr>
          </w:p>
        </w:tc>
        <w:tc>
          <w:tcPr>
            <w:tcW w:w="0" w:type="auto"/>
            <w:shd w:val="clear" w:color="auto" w:fill="auto"/>
            <w:vAlign w:val="center"/>
          </w:tcPr>
          <w:p w14:paraId="64A8AECD" w14:textId="77777777" w:rsidR="008D6614" w:rsidRDefault="008D6614">
            <w:pPr>
              <w:rPr>
                <w:rFonts w:ascii="宋体"/>
              </w:rPr>
            </w:pPr>
          </w:p>
        </w:tc>
        <w:tc>
          <w:tcPr>
            <w:tcW w:w="0" w:type="auto"/>
            <w:shd w:val="clear" w:color="auto" w:fill="auto"/>
            <w:vAlign w:val="center"/>
          </w:tcPr>
          <w:p w14:paraId="64A8AECE" w14:textId="77777777" w:rsidR="008D6614" w:rsidRDefault="008D6614">
            <w:pPr>
              <w:rPr>
                <w:rFonts w:ascii="宋体"/>
              </w:rPr>
            </w:pPr>
          </w:p>
        </w:tc>
        <w:tc>
          <w:tcPr>
            <w:tcW w:w="0" w:type="auto"/>
            <w:shd w:val="clear" w:color="auto" w:fill="auto"/>
            <w:vAlign w:val="center"/>
          </w:tcPr>
          <w:p w14:paraId="64A8AECF" w14:textId="77777777" w:rsidR="008D6614" w:rsidRDefault="008D6614">
            <w:pPr>
              <w:rPr>
                <w:rFonts w:ascii="宋体"/>
              </w:rPr>
            </w:pPr>
          </w:p>
        </w:tc>
        <w:tc>
          <w:tcPr>
            <w:tcW w:w="0" w:type="auto"/>
            <w:shd w:val="clear" w:color="auto" w:fill="auto"/>
            <w:vAlign w:val="center"/>
          </w:tcPr>
          <w:p w14:paraId="64A8AED0" w14:textId="77777777" w:rsidR="008D6614" w:rsidRDefault="008D6614">
            <w:pPr>
              <w:rPr>
                <w:rFonts w:ascii="宋体"/>
              </w:rPr>
            </w:pPr>
          </w:p>
        </w:tc>
        <w:tc>
          <w:tcPr>
            <w:tcW w:w="0" w:type="auto"/>
            <w:shd w:val="clear" w:color="auto" w:fill="auto"/>
            <w:vAlign w:val="center"/>
          </w:tcPr>
          <w:p w14:paraId="64A8AED1" w14:textId="77777777" w:rsidR="008D6614" w:rsidRDefault="008D6614">
            <w:pPr>
              <w:rPr>
                <w:rFonts w:ascii="宋体"/>
              </w:rPr>
            </w:pPr>
          </w:p>
        </w:tc>
        <w:tc>
          <w:tcPr>
            <w:tcW w:w="0" w:type="auto"/>
            <w:shd w:val="clear" w:color="auto" w:fill="auto"/>
            <w:vAlign w:val="center"/>
          </w:tcPr>
          <w:p w14:paraId="64A8AED2" w14:textId="77777777" w:rsidR="008D6614" w:rsidRDefault="008D6614">
            <w:pPr>
              <w:rPr>
                <w:rFonts w:ascii="宋体"/>
              </w:rPr>
            </w:pPr>
          </w:p>
        </w:tc>
        <w:tc>
          <w:tcPr>
            <w:tcW w:w="0" w:type="auto"/>
            <w:shd w:val="clear" w:color="auto" w:fill="auto"/>
            <w:vAlign w:val="center"/>
          </w:tcPr>
          <w:p w14:paraId="64A8AED3" w14:textId="77777777" w:rsidR="008D6614" w:rsidRDefault="008D6614">
            <w:pPr>
              <w:rPr>
                <w:rFonts w:ascii="宋体"/>
              </w:rPr>
            </w:pPr>
          </w:p>
        </w:tc>
        <w:tc>
          <w:tcPr>
            <w:tcW w:w="0" w:type="auto"/>
            <w:shd w:val="clear" w:color="auto" w:fill="auto"/>
            <w:vAlign w:val="center"/>
          </w:tcPr>
          <w:p w14:paraId="64A8AED4" w14:textId="77777777" w:rsidR="008D6614" w:rsidRDefault="008D6614">
            <w:pPr>
              <w:rPr>
                <w:rFonts w:ascii="宋体"/>
              </w:rPr>
            </w:pPr>
          </w:p>
        </w:tc>
        <w:tc>
          <w:tcPr>
            <w:tcW w:w="0" w:type="auto"/>
            <w:shd w:val="clear" w:color="auto" w:fill="auto"/>
            <w:vAlign w:val="center"/>
          </w:tcPr>
          <w:p w14:paraId="64A8AED5" w14:textId="77777777" w:rsidR="008D6614" w:rsidRDefault="008D6614">
            <w:pPr>
              <w:rPr>
                <w:rFonts w:ascii="宋体"/>
              </w:rPr>
            </w:pPr>
          </w:p>
        </w:tc>
        <w:tc>
          <w:tcPr>
            <w:tcW w:w="0" w:type="auto"/>
            <w:shd w:val="clear" w:color="auto" w:fill="auto"/>
            <w:vAlign w:val="center"/>
          </w:tcPr>
          <w:p w14:paraId="64A8AED6" w14:textId="77777777" w:rsidR="008D6614" w:rsidRDefault="008D6614">
            <w:pPr>
              <w:rPr>
                <w:rFonts w:ascii="宋体"/>
              </w:rPr>
            </w:pPr>
          </w:p>
        </w:tc>
      </w:tr>
      <w:tr w:rsidR="008D6614" w14:paraId="64A8AEFD" w14:textId="77777777">
        <w:tc>
          <w:tcPr>
            <w:tcW w:w="0" w:type="auto"/>
            <w:gridSpan w:val="3"/>
            <w:shd w:val="clear" w:color="auto" w:fill="FFFFFF"/>
            <w:tcMar>
              <w:top w:w="40" w:type="dxa"/>
              <w:left w:w="135" w:type="dxa"/>
              <w:bottom w:w="40" w:type="dxa"/>
              <w:right w:w="20" w:type="dxa"/>
            </w:tcMar>
            <w:vAlign w:val="bottom"/>
          </w:tcPr>
          <w:p w14:paraId="64A8AED8" w14:textId="77777777" w:rsidR="008D6614" w:rsidRDefault="00866AF2">
            <w:pPr>
              <w:textAlignment w:val="bottom"/>
            </w:pPr>
            <w:r>
              <w:rPr>
                <w:rFonts w:ascii="Arial" w:eastAsia="宋体" w:hAnsi="Arial" w:cs="Arial"/>
                <w:color w:val="000000"/>
                <w:sz w:val="16"/>
                <w:szCs w:val="16"/>
              </w:rPr>
              <w:t>Total MS&amp;O revenues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AED9"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AEDA" w14:textId="77777777" w:rsidR="008D6614" w:rsidRDefault="00866AF2">
            <w:pPr>
              <w:jc w:val="right"/>
              <w:textAlignment w:val="bottom"/>
            </w:pPr>
            <w:r>
              <w:rPr>
                <w:rFonts w:ascii="Arial" w:eastAsia="宋体" w:hAnsi="Arial" w:cs="Arial"/>
                <w:color w:val="000000"/>
                <w:sz w:val="16"/>
                <w:szCs w:val="16"/>
              </w:rPr>
              <w:t>474 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AED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EDC"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AEDD"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AEDE" w14:textId="77777777" w:rsidR="008D6614" w:rsidRDefault="00866AF2">
            <w:pPr>
              <w:jc w:val="right"/>
              <w:textAlignment w:val="bottom"/>
            </w:pPr>
            <w:r>
              <w:rPr>
                <w:rFonts w:ascii="Arial" w:eastAsia="宋体" w:hAnsi="Arial" w:cs="Arial"/>
                <w:color w:val="000000"/>
                <w:sz w:val="16"/>
                <w:szCs w:val="16"/>
              </w:rPr>
              <w:t>528 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AED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AEE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EE1" w14:textId="77777777" w:rsidR="008D6614" w:rsidRDefault="00866AF2">
            <w:pPr>
              <w:jc w:val="right"/>
              <w:textAlignment w:val="bottom"/>
            </w:pPr>
            <w:r>
              <w:rPr>
                <w:rFonts w:ascii="Arial" w:eastAsia="宋体" w:hAnsi="Arial" w:cs="Arial"/>
                <w:color w:val="000000"/>
                <w:sz w:val="16"/>
                <w:szCs w:val="16"/>
              </w:rPr>
              <w:t>(10)</w:t>
            </w:r>
          </w:p>
        </w:tc>
        <w:tc>
          <w:tcPr>
            <w:tcW w:w="0" w:type="auto"/>
            <w:shd w:val="clear" w:color="auto" w:fill="FFFFFF"/>
            <w:tcMar>
              <w:top w:w="40" w:type="dxa"/>
              <w:bottom w:w="40" w:type="dxa"/>
              <w:right w:w="20" w:type="dxa"/>
            </w:tcMar>
            <w:vAlign w:val="bottom"/>
          </w:tcPr>
          <w:p w14:paraId="64A8AEE2"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AEE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EE4" w14:textId="77777777" w:rsidR="008D6614" w:rsidRDefault="00866AF2">
            <w:pPr>
              <w:jc w:val="right"/>
              <w:textAlignment w:val="bottom"/>
            </w:pPr>
            <w:r>
              <w:rPr>
                <w:rFonts w:ascii="Arial" w:eastAsia="宋体" w:hAnsi="Arial" w:cs="Arial"/>
                <w:color w:val="000000"/>
                <w:sz w:val="16"/>
                <w:szCs w:val="16"/>
              </w:rPr>
              <w:t>(8)</w:t>
            </w:r>
          </w:p>
        </w:tc>
        <w:tc>
          <w:tcPr>
            <w:tcW w:w="0" w:type="auto"/>
            <w:shd w:val="clear" w:color="auto" w:fill="FFFFFF"/>
            <w:tcMar>
              <w:top w:w="40" w:type="dxa"/>
              <w:bottom w:w="40" w:type="dxa"/>
              <w:right w:w="20" w:type="dxa"/>
            </w:tcMar>
            <w:vAlign w:val="bottom"/>
          </w:tcPr>
          <w:p w14:paraId="64A8AEE5"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EE6" w14:textId="77777777" w:rsidR="008D6614" w:rsidRDefault="008D6614">
            <w:pPr>
              <w:rPr>
                <w:rFonts w:ascii="宋体"/>
                <w:vanish/>
              </w:rPr>
            </w:pPr>
          </w:p>
        </w:tc>
        <w:tc>
          <w:tcPr>
            <w:tcW w:w="0" w:type="auto"/>
            <w:shd w:val="clear" w:color="auto" w:fill="auto"/>
            <w:vAlign w:val="center"/>
          </w:tcPr>
          <w:p w14:paraId="64A8AEE7" w14:textId="77777777" w:rsidR="008D6614" w:rsidRDefault="008D6614">
            <w:pPr>
              <w:rPr>
                <w:rFonts w:ascii="宋体"/>
                <w:vanish/>
              </w:rPr>
            </w:pPr>
          </w:p>
        </w:tc>
        <w:tc>
          <w:tcPr>
            <w:tcW w:w="0" w:type="auto"/>
            <w:shd w:val="clear" w:color="auto" w:fill="auto"/>
            <w:vAlign w:val="center"/>
          </w:tcPr>
          <w:p w14:paraId="64A8AEE8" w14:textId="77777777" w:rsidR="008D6614" w:rsidRDefault="008D6614">
            <w:pPr>
              <w:rPr>
                <w:rFonts w:ascii="宋体"/>
                <w:vanish/>
              </w:rPr>
            </w:pPr>
          </w:p>
        </w:tc>
        <w:tc>
          <w:tcPr>
            <w:tcW w:w="0" w:type="auto"/>
            <w:shd w:val="clear" w:color="auto" w:fill="auto"/>
            <w:vAlign w:val="center"/>
          </w:tcPr>
          <w:p w14:paraId="64A8AEE9" w14:textId="77777777" w:rsidR="008D6614" w:rsidRDefault="008D6614">
            <w:pPr>
              <w:rPr>
                <w:rFonts w:ascii="宋体"/>
                <w:vanish/>
              </w:rPr>
            </w:pPr>
          </w:p>
        </w:tc>
        <w:tc>
          <w:tcPr>
            <w:tcW w:w="0" w:type="auto"/>
            <w:shd w:val="clear" w:color="auto" w:fill="auto"/>
            <w:vAlign w:val="center"/>
          </w:tcPr>
          <w:p w14:paraId="64A8AEEA" w14:textId="77777777" w:rsidR="008D6614" w:rsidRDefault="008D6614">
            <w:pPr>
              <w:rPr>
                <w:rFonts w:ascii="宋体"/>
                <w:vanish/>
              </w:rPr>
            </w:pPr>
          </w:p>
        </w:tc>
        <w:tc>
          <w:tcPr>
            <w:tcW w:w="0" w:type="auto"/>
            <w:shd w:val="clear" w:color="auto" w:fill="auto"/>
            <w:vAlign w:val="center"/>
          </w:tcPr>
          <w:p w14:paraId="64A8AEEB" w14:textId="77777777" w:rsidR="008D6614" w:rsidRDefault="008D6614">
            <w:pPr>
              <w:rPr>
                <w:rFonts w:ascii="宋体"/>
                <w:vanish/>
              </w:rPr>
            </w:pPr>
          </w:p>
        </w:tc>
        <w:tc>
          <w:tcPr>
            <w:tcW w:w="0" w:type="auto"/>
            <w:shd w:val="clear" w:color="auto" w:fill="auto"/>
            <w:vAlign w:val="center"/>
          </w:tcPr>
          <w:p w14:paraId="64A8AEEC" w14:textId="77777777" w:rsidR="008D6614" w:rsidRDefault="008D6614">
            <w:pPr>
              <w:rPr>
                <w:rFonts w:ascii="宋体"/>
                <w:vanish/>
              </w:rPr>
            </w:pPr>
          </w:p>
        </w:tc>
        <w:tc>
          <w:tcPr>
            <w:tcW w:w="0" w:type="auto"/>
            <w:shd w:val="clear" w:color="auto" w:fill="auto"/>
            <w:vAlign w:val="center"/>
          </w:tcPr>
          <w:p w14:paraId="64A8AEED" w14:textId="77777777" w:rsidR="008D6614" w:rsidRDefault="008D6614">
            <w:pPr>
              <w:rPr>
                <w:rFonts w:ascii="宋体"/>
                <w:vanish/>
              </w:rPr>
            </w:pPr>
          </w:p>
        </w:tc>
        <w:tc>
          <w:tcPr>
            <w:tcW w:w="0" w:type="auto"/>
            <w:shd w:val="clear" w:color="auto" w:fill="auto"/>
            <w:vAlign w:val="center"/>
          </w:tcPr>
          <w:p w14:paraId="64A8AEEE" w14:textId="77777777" w:rsidR="008D6614" w:rsidRDefault="008D6614">
            <w:pPr>
              <w:rPr>
                <w:rFonts w:ascii="宋体"/>
              </w:rPr>
            </w:pPr>
          </w:p>
        </w:tc>
        <w:tc>
          <w:tcPr>
            <w:tcW w:w="0" w:type="auto"/>
            <w:shd w:val="clear" w:color="auto" w:fill="auto"/>
            <w:vAlign w:val="center"/>
          </w:tcPr>
          <w:p w14:paraId="64A8AEEF" w14:textId="77777777" w:rsidR="008D6614" w:rsidRDefault="008D6614">
            <w:pPr>
              <w:rPr>
                <w:rFonts w:ascii="宋体"/>
              </w:rPr>
            </w:pPr>
          </w:p>
        </w:tc>
        <w:tc>
          <w:tcPr>
            <w:tcW w:w="0" w:type="auto"/>
            <w:shd w:val="clear" w:color="auto" w:fill="auto"/>
            <w:vAlign w:val="center"/>
          </w:tcPr>
          <w:p w14:paraId="64A8AEF0" w14:textId="77777777" w:rsidR="008D6614" w:rsidRDefault="008D6614">
            <w:pPr>
              <w:rPr>
                <w:rFonts w:ascii="宋体"/>
              </w:rPr>
            </w:pPr>
          </w:p>
        </w:tc>
        <w:tc>
          <w:tcPr>
            <w:tcW w:w="0" w:type="auto"/>
            <w:shd w:val="clear" w:color="auto" w:fill="auto"/>
            <w:vAlign w:val="center"/>
          </w:tcPr>
          <w:p w14:paraId="64A8AEF1" w14:textId="77777777" w:rsidR="008D6614" w:rsidRDefault="008D6614">
            <w:pPr>
              <w:rPr>
                <w:rFonts w:ascii="宋体"/>
              </w:rPr>
            </w:pPr>
          </w:p>
        </w:tc>
        <w:tc>
          <w:tcPr>
            <w:tcW w:w="0" w:type="auto"/>
            <w:shd w:val="clear" w:color="auto" w:fill="auto"/>
            <w:vAlign w:val="center"/>
          </w:tcPr>
          <w:p w14:paraId="64A8AEF2" w14:textId="77777777" w:rsidR="008D6614" w:rsidRDefault="008D6614">
            <w:pPr>
              <w:rPr>
                <w:rFonts w:ascii="宋体"/>
              </w:rPr>
            </w:pPr>
          </w:p>
        </w:tc>
        <w:tc>
          <w:tcPr>
            <w:tcW w:w="0" w:type="auto"/>
            <w:shd w:val="clear" w:color="auto" w:fill="auto"/>
            <w:vAlign w:val="center"/>
          </w:tcPr>
          <w:p w14:paraId="64A8AEF3" w14:textId="77777777" w:rsidR="008D6614" w:rsidRDefault="008D6614">
            <w:pPr>
              <w:rPr>
                <w:rFonts w:ascii="宋体"/>
              </w:rPr>
            </w:pPr>
          </w:p>
        </w:tc>
        <w:tc>
          <w:tcPr>
            <w:tcW w:w="0" w:type="auto"/>
            <w:shd w:val="clear" w:color="auto" w:fill="auto"/>
            <w:vAlign w:val="center"/>
          </w:tcPr>
          <w:p w14:paraId="64A8AEF4" w14:textId="77777777" w:rsidR="008D6614" w:rsidRDefault="008D6614">
            <w:pPr>
              <w:rPr>
                <w:rFonts w:ascii="宋体"/>
              </w:rPr>
            </w:pPr>
          </w:p>
        </w:tc>
        <w:tc>
          <w:tcPr>
            <w:tcW w:w="0" w:type="auto"/>
            <w:shd w:val="clear" w:color="auto" w:fill="auto"/>
            <w:vAlign w:val="center"/>
          </w:tcPr>
          <w:p w14:paraId="64A8AEF5" w14:textId="77777777" w:rsidR="008D6614" w:rsidRDefault="008D6614">
            <w:pPr>
              <w:rPr>
                <w:rFonts w:ascii="宋体"/>
              </w:rPr>
            </w:pPr>
          </w:p>
        </w:tc>
        <w:tc>
          <w:tcPr>
            <w:tcW w:w="0" w:type="auto"/>
            <w:shd w:val="clear" w:color="auto" w:fill="auto"/>
            <w:vAlign w:val="center"/>
          </w:tcPr>
          <w:p w14:paraId="64A8AEF6" w14:textId="77777777" w:rsidR="008D6614" w:rsidRDefault="008D6614">
            <w:pPr>
              <w:rPr>
                <w:rFonts w:ascii="宋体"/>
              </w:rPr>
            </w:pPr>
          </w:p>
        </w:tc>
        <w:tc>
          <w:tcPr>
            <w:tcW w:w="0" w:type="auto"/>
            <w:shd w:val="clear" w:color="auto" w:fill="auto"/>
            <w:vAlign w:val="center"/>
          </w:tcPr>
          <w:p w14:paraId="64A8AEF7" w14:textId="77777777" w:rsidR="008D6614" w:rsidRDefault="008D6614">
            <w:pPr>
              <w:rPr>
                <w:rFonts w:ascii="宋体"/>
              </w:rPr>
            </w:pPr>
          </w:p>
        </w:tc>
        <w:tc>
          <w:tcPr>
            <w:tcW w:w="0" w:type="auto"/>
            <w:shd w:val="clear" w:color="auto" w:fill="auto"/>
            <w:vAlign w:val="center"/>
          </w:tcPr>
          <w:p w14:paraId="64A8AEF8" w14:textId="77777777" w:rsidR="008D6614" w:rsidRDefault="008D6614">
            <w:pPr>
              <w:rPr>
                <w:rFonts w:ascii="宋体"/>
              </w:rPr>
            </w:pPr>
          </w:p>
        </w:tc>
        <w:tc>
          <w:tcPr>
            <w:tcW w:w="0" w:type="auto"/>
            <w:shd w:val="clear" w:color="auto" w:fill="auto"/>
            <w:vAlign w:val="center"/>
          </w:tcPr>
          <w:p w14:paraId="64A8AEF9" w14:textId="77777777" w:rsidR="008D6614" w:rsidRDefault="008D6614">
            <w:pPr>
              <w:rPr>
                <w:rFonts w:ascii="宋体"/>
              </w:rPr>
            </w:pPr>
          </w:p>
        </w:tc>
        <w:tc>
          <w:tcPr>
            <w:tcW w:w="0" w:type="auto"/>
            <w:shd w:val="clear" w:color="auto" w:fill="auto"/>
            <w:vAlign w:val="center"/>
          </w:tcPr>
          <w:p w14:paraId="64A8AEFA" w14:textId="77777777" w:rsidR="008D6614" w:rsidRDefault="008D6614">
            <w:pPr>
              <w:rPr>
                <w:rFonts w:ascii="宋体"/>
              </w:rPr>
            </w:pPr>
          </w:p>
        </w:tc>
        <w:tc>
          <w:tcPr>
            <w:tcW w:w="0" w:type="auto"/>
            <w:shd w:val="clear" w:color="auto" w:fill="auto"/>
            <w:vAlign w:val="center"/>
          </w:tcPr>
          <w:p w14:paraId="64A8AEFB" w14:textId="77777777" w:rsidR="008D6614" w:rsidRDefault="008D6614">
            <w:pPr>
              <w:rPr>
                <w:rFonts w:ascii="宋体"/>
              </w:rPr>
            </w:pPr>
          </w:p>
        </w:tc>
        <w:tc>
          <w:tcPr>
            <w:tcW w:w="0" w:type="auto"/>
            <w:shd w:val="clear" w:color="auto" w:fill="auto"/>
            <w:vAlign w:val="center"/>
          </w:tcPr>
          <w:p w14:paraId="64A8AEFC" w14:textId="77777777" w:rsidR="008D6614" w:rsidRDefault="008D6614">
            <w:pPr>
              <w:rPr>
                <w:rFonts w:ascii="宋体"/>
              </w:rPr>
            </w:pPr>
          </w:p>
        </w:tc>
      </w:tr>
    </w:tbl>
    <w:p w14:paraId="64A8AEFE" w14:textId="77777777" w:rsidR="008D6614" w:rsidRDefault="008D6614">
      <w:pPr>
        <w:ind w:firstLine="540"/>
        <w:jc w:val="both"/>
      </w:pPr>
    </w:p>
    <w:p w14:paraId="64A8AEFF" w14:textId="77777777" w:rsidR="008D6614" w:rsidRDefault="00866AF2">
      <w:pPr>
        <w:ind w:firstLine="270"/>
        <w:jc w:val="both"/>
      </w:pPr>
      <w:r>
        <w:rPr>
          <w:rFonts w:ascii="Arial" w:eastAsia="宋体" w:hAnsi="Arial" w:cs="Arial"/>
          <w:i/>
          <w:iCs/>
          <w:color w:val="000000"/>
          <w:sz w:val="20"/>
          <w:szCs w:val="20"/>
        </w:rPr>
        <w:t>Marketplace MS&amp;O Revenues</w:t>
      </w:r>
    </w:p>
    <w:p w14:paraId="64A8AF00" w14:textId="77777777" w:rsidR="008D6614" w:rsidRDefault="008D6614">
      <w:pPr>
        <w:ind w:firstLine="540"/>
        <w:jc w:val="both"/>
      </w:pPr>
    </w:p>
    <w:p w14:paraId="64A8AF01" w14:textId="77777777" w:rsidR="008D6614" w:rsidRDefault="00866AF2">
      <w:pPr>
        <w:ind w:firstLine="540"/>
        <w:jc w:val="both"/>
      </w:pPr>
      <w:r>
        <w:rPr>
          <w:rFonts w:ascii="Arial" w:eastAsia="宋体" w:hAnsi="Arial" w:cs="Arial"/>
          <w:color w:val="000000"/>
          <w:sz w:val="20"/>
          <w:szCs w:val="20"/>
        </w:rPr>
        <w:t xml:space="preserve">The decrease in Marketplace MS&amp;O revenues </w:t>
      </w:r>
      <w:r>
        <w:rPr>
          <w:rFonts w:ascii="Arial" w:eastAsia="宋体" w:hAnsi="Arial" w:cs="Arial"/>
          <w:color w:val="000000"/>
          <w:sz w:val="20"/>
          <w:szCs w:val="20"/>
        </w:rPr>
        <w:t xml:space="preserve">during the three months ended March 31, 2020 compared to the same period in 2019 was primarily due to the sale of brands4friends in the third quarter of 2019, lower advertising revenues that were driven by our ongoing shift to promoted listing fees, which </w:t>
      </w:r>
      <w:r>
        <w:rPr>
          <w:rFonts w:ascii="Arial" w:eastAsia="宋体" w:hAnsi="Arial" w:cs="Arial"/>
          <w:color w:val="000000"/>
          <w:sz w:val="20"/>
          <w:szCs w:val="20"/>
        </w:rPr>
        <w:t>are recognized in net transaction revenues, partially offset by increases attributable to our first-party inventory program in Korea.</w:t>
      </w:r>
    </w:p>
    <w:p w14:paraId="64A8AF02" w14:textId="77777777" w:rsidR="008D6614" w:rsidRDefault="008D6614">
      <w:pPr>
        <w:ind w:firstLine="540"/>
        <w:jc w:val="both"/>
      </w:pPr>
    </w:p>
    <w:p w14:paraId="64A8AF03" w14:textId="77777777" w:rsidR="008D6614" w:rsidRDefault="00866AF2">
      <w:pPr>
        <w:ind w:firstLine="270"/>
        <w:jc w:val="both"/>
      </w:pPr>
      <w:r>
        <w:rPr>
          <w:rFonts w:ascii="Arial" w:eastAsia="宋体" w:hAnsi="Arial" w:cs="Arial"/>
          <w:i/>
          <w:iCs/>
          <w:color w:val="000000"/>
          <w:sz w:val="20"/>
          <w:szCs w:val="20"/>
        </w:rPr>
        <w:t>Classifieds MS&amp;O Revenues</w:t>
      </w:r>
    </w:p>
    <w:p w14:paraId="64A8AF04" w14:textId="77777777" w:rsidR="008D6614" w:rsidRDefault="008D6614">
      <w:pPr>
        <w:ind w:firstLine="540"/>
        <w:jc w:val="both"/>
      </w:pPr>
    </w:p>
    <w:p w14:paraId="64A8AF05" w14:textId="77777777" w:rsidR="008D6614" w:rsidRDefault="00866AF2">
      <w:pPr>
        <w:ind w:firstLine="540"/>
        <w:jc w:val="both"/>
      </w:pPr>
      <w:r>
        <w:rPr>
          <w:rFonts w:ascii="Arial" w:eastAsia="宋体" w:hAnsi="Arial" w:cs="Arial"/>
          <w:color w:val="000000"/>
          <w:sz w:val="20"/>
          <w:szCs w:val="20"/>
        </w:rPr>
        <w:t>The decrease in Classifieds MS&amp;O revenues during the three months ended March 31, 2020 compare</w:t>
      </w:r>
      <w:r>
        <w:rPr>
          <w:rFonts w:ascii="Arial" w:eastAsia="宋体" w:hAnsi="Arial" w:cs="Arial"/>
          <w:color w:val="000000"/>
          <w:sz w:val="20"/>
          <w:szCs w:val="20"/>
        </w:rPr>
        <w:t xml:space="preserve">d to the same period in 2019 was primarily driven by the impact of COVID-19 on advertising revenues. </w:t>
      </w:r>
    </w:p>
    <w:p w14:paraId="64A8AF06" w14:textId="77777777" w:rsidR="008D6614" w:rsidRDefault="008D6614">
      <w:pPr>
        <w:ind w:firstLine="540"/>
      </w:pPr>
    </w:p>
    <w:p w14:paraId="64A8AF07" w14:textId="77777777" w:rsidR="008D6614" w:rsidRDefault="00866AF2">
      <w:pPr>
        <w:jc w:val="both"/>
      </w:pPr>
      <w:r>
        <w:rPr>
          <w:rFonts w:ascii="Arial" w:eastAsia="宋体" w:hAnsi="Arial" w:cs="Arial"/>
          <w:b/>
          <w:bCs/>
          <w:i/>
          <w:iCs/>
          <w:color w:val="000000"/>
          <w:sz w:val="20"/>
          <w:szCs w:val="20"/>
        </w:rPr>
        <w:t>Cost of Net Revenues</w:t>
      </w:r>
    </w:p>
    <w:p w14:paraId="64A8AF08" w14:textId="77777777" w:rsidR="008D6614" w:rsidRDefault="008D6614"/>
    <w:p w14:paraId="64A8AF09" w14:textId="77777777" w:rsidR="008D6614" w:rsidRDefault="00866AF2">
      <w:pPr>
        <w:ind w:firstLine="540"/>
        <w:jc w:val="both"/>
      </w:pPr>
      <w:r>
        <w:rPr>
          <w:rFonts w:ascii="Arial" w:eastAsia="宋体" w:hAnsi="Arial" w:cs="Arial"/>
          <w:color w:val="000000"/>
          <w:sz w:val="20"/>
          <w:szCs w:val="20"/>
        </w:rPr>
        <w:t>Cost of net revenues primarily consists of costs associated with customer support, site operations, costs of goods sold and payment</w:t>
      </w:r>
      <w:r>
        <w:rPr>
          <w:rFonts w:ascii="Arial" w:eastAsia="宋体" w:hAnsi="Arial" w:cs="Arial"/>
          <w:color w:val="000000"/>
          <w:sz w:val="20"/>
          <w:szCs w:val="20"/>
        </w:rPr>
        <w:t xml:space="preserve"> processing. Significant components of these costs include employee compensation, contractor costs, facilities costs, depreciation of equipment and amortization expense, first-party inventory program costs, bank transaction fees, and credit card interchang</w:t>
      </w:r>
      <w:r>
        <w:rPr>
          <w:rFonts w:ascii="Arial" w:eastAsia="宋体" w:hAnsi="Arial" w:cs="Arial"/>
          <w:color w:val="000000"/>
          <w:sz w:val="20"/>
          <w:szCs w:val="20"/>
        </w:rPr>
        <w:t>e and assessment fees. The following table presents cost of net revenues (in millions, except percentages):</w:t>
      </w:r>
    </w:p>
    <w:tbl>
      <w:tblPr>
        <w:tblW w:w="4993" w:type="pct"/>
        <w:tblCellMar>
          <w:top w:w="15" w:type="dxa"/>
          <w:left w:w="15" w:type="dxa"/>
          <w:bottom w:w="15" w:type="dxa"/>
          <w:right w:w="15" w:type="dxa"/>
        </w:tblCellMar>
        <w:tblLook w:val="04A0" w:firstRow="1" w:lastRow="0" w:firstColumn="1" w:lastColumn="0" w:noHBand="0" w:noVBand="1"/>
      </w:tblPr>
      <w:tblGrid>
        <w:gridCol w:w="38"/>
        <w:gridCol w:w="4521"/>
        <w:gridCol w:w="37"/>
        <w:gridCol w:w="124"/>
        <w:gridCol w:w="773"/>
        <w:gridCol w:w="178"/>
        <w:gridCol w:w="36"/>
        <w:gridCol w:w="36"/>
        <w:gridCol w:w="36"/>
        <w:gridCol w:w="124"/>
        <w:gridCol w:w="740"/>
        <w:gridCol w:w="178"/>
        <w:gridCol w:w="36"/>
        <w:gridCol w:w="36"/>
        <w:gridCol w:w="36"/>
        <w:gridCol w:w="44"/>
        <w:gridCol w:w="721"/>
        <w:gridCol w:w="178"/>
        <w:gridCol w:w="46"/>
        <w:gridCol w:w="46"/>
        <w:gridCol w:w="36"/>
        <w:gridCol w:w="36"/>
        <w:gridCol w:w="36"/>
        <w:gridCol w:w="36"/>
        <w:gridCol w:w="36"/>
        <w:gridCol w:w="36"/>
        <w:gridCol w:w="36"/>
        <w:gridCol w:w="36"/>
        <w:gridCol w:w="36"/>
        <w:gridCol w:w="36"/>
      </w:tblGrid>
      <w:tr w:rsidR="008D6614" w14:paraId="64A8AF22" w14:textId="77777777">
        <w:trPr>
          <w:gridAfter w:val="6"/>
        </w:trPr>
        <w:tc>
          <w:tcPr>
            <w:tcW w:w="50" w:type="pct"/>
            <w:shd w:val="clear" w:color="auto" w:fill="auto"/>
            <w:vAlign w:val="center"/>
          </w:tcPr>
          <w:p w14:paraId="64A8AF0A" w14:textId="77777777" w:rsidR="008D6614" w:rsidRDefault="008D6614">
            <w:pPr>
              <w:rPr>
                <w:rFonts w:ascii="宋体"/>
              </w:rPr>
            </w:pPr>
          </w:p>
        </w:tc>
        <w:tc>
          <w:tcPr>
            <w:tcW w:w="2916" w:type="pct"/>
            <w:shd w:val="clear" w:color="auto" w:fill="auto"/>
            <w:vAlign w:val="center"/>
          </w:tcPr>
          <w:p w14:paraId="64A8AF0B" w14:textId="77777777" w:rsidR="008D6614" w:rsidRDefault="008D6614">
            <w:pPr>
              <w:rPr>
                <w:rFonts w:ascii="宋体"/>
              </w:rPr>
            </w:pPr>
          </w:p>
        </w:tc>
        <w:tc>
          <w:tcPr>
            <w:tcW w:w="50" w:type="pct"/>
            <w:shd w:val="clear" w:color="auto" w:fill="auto"/>
            <w:vAlign w:val="center"/>
          </w:tcPr>
          <w:p w14:paraId="64A8AF0C" w14:textId="77777777" w:rsidR="008D6614" w:rsidRDefault="008D6614">
            <w:pPr>
              <w:rPr>
                <w:rFonts w:ascii="宋体"/>
              </w:rPr>
            </w:pPr>
          </w:p>
        </w:tc>
        <w:tc>
          <w:tcPr>
            <w:tcW w:w="50" w:type="pct"/>
            <w:shd w:val="clear" w:color="auto" w:fill="auto"/>
            <w:vAlign w:val="center"/>
          </w:tcPr>
          <w:p w14:paraId="64A8AF0D" w14:textId="77777777" w:rsidR="008D6614" w:rsidRDefault="008D6614">
            <w:pPr>
              <w:rPr>
                <w:rFonts w:ascii="宋体"/>
              </w:rPr>
            </w:pPr>
          </w:p>
        </w:tc>
        <w:tc>
          <w:tcPr>
            <w:tcW w:w="536" w:type="pct"/>
            <w:shd w:val="clear" w:color="auto" w:fill="auto"/>
            <w:vAlign w:val="center"/>
          </w:tcPr>
          <w:p w14:paraId="64A8AF0E" w14:textId="77777777" w:rsidR="008D6614" w:rsidRDefault="008D6614">
            <w:pPr>
              <w:rPr>
                <w:rFonts w:ascii="宋体"/>
              </w:rPr>
            </w:pPr>
          </w:p>
        </w:tc>
        <w:tc>
          <w:tcPr>
            <w:tcW w:w="50" w:type="pct"/>
            <w:shd w:val="clear" w:color="auto" w:fill="auto"/>
            <w:vAlign w:val="center"/>
          </w:tcPr>
          <w:p w14:paraId="64A8AF0F" w14:textId="77777777" w:rsidR="008D6614" w:rsidRDefault="008D6614">
            <w:pPr>
              <w:rPr>
                <w:rFonts w:ascii="宋体"/>
              </w:rPr>
            </w:pPr>
          </w:p>
        </w:tc>
        <w:tc>
          <w:tcPr>
            <w:tcW w:w="5" w:type="pct"/>
            <w:shd w:val="clear" w:color="auto" w:fill="auto"/>
            <w:vAlign w:val="center"/>
          </w:tcPr>
          <w:p w14:paraId="64A8AF10" w14:textId="77777777" w:rsidR="008D6614" w:rsidRDefault="008D6614">
            <w:pPr>
              <w:rPr>
                <w:rFonts w:ascii="宋体"/>
              </w:rPr>
            </w:pPr>
          </w:p>
        </w:tc>
        <w:tc>
          <w:tcPr>
            <w:tcW w:w="26" w:type="pct"/>
            <w:shd w:val="clear" w:color="auto" w:fill="auto"/>
            <w:vAlign w:val="center"/>
          </w:tcPr>
          <w:p w14:paraId="64A8AF11" w14:textId="77777777" w:rsidR="008D6614" w:rsidRDefault="008D6614">
            <w:pPr>
              <w:rPr>
                <w:rFonts w:ascii="宋体"/>
              </w:rPr>
            </w:pPr>
          </w:p>
        </w:tc>
        <w:tc>
          <w:tcPr>
            <w:tcW w:w="5" w:type="pct"/>
            <w:shd w:val="clear" w:color="auto" w:fill="auto"/>
            <w:vAlign w:val="center"/>
          </w:tcPr>
          <w:p w14:paraId="64A8AF12" w14:textId="77777777" w:rsidR="008D6614" w:rsidRDefault="008D6614">
            <w:pPr>
              <w:rPr>
                <w:rFonts w:ascii="宋体"/>
              </w:rPr>
            </w:pPr>
          </w:p>
        </w:tc>
        <w:tc>
          <w:tcPr>
            <w:tcW w:w="50" w:type="pct"/>
            <w:shd w:val="clear" w:color="auto" w:fill="auto"/>
            <w:vAlign w:val="center"/>
          </w:tcPr>
          <w:p w14:paraId="64A8AF13" w14:textId="77777777" w:rsidR="008D6614" w:rsidRDefault="008D6614">
            <w:pPr>
              <w:rPr>
                <w:rFonts w:ascii="宋体"/>
              </w:rPr>
            </w:pPr>
          </w:p>
        </w:tc>
        <w:tc>
          <w:tcPr>
            <w:tcW w:w="536" w:type="pct"/>
            <w:shd w:val="clear" w:color="auto" w:fill="auto"/>
            <w:vAlign w:val="center"/>
          </w:tcPr>
          <w:p w14:paraId="64A8AF14" w14:textId="77777777" w:rsidR="008D6614" w:rsidRDefault="008D6614">
            <w:pPr>
              <w:rPr>
                <w:rFonts w:ascii="宋体"/>
              </w:rPr>
            </w:pPr>
          </w:p>
        </w:tc>
        <w:tc>
          <w:tcPr>
            <w:tcW w:w="50" w:type="pct"/>
            <w:shd w:val="clear" w:color="auto" w:fill="auto"/>
            <w:vAlign w:val="center"/>
          </w:tcPr>
          <w:p w14:paraId="64A8AF15" w14:textId="77777777" w:rsidR="008D6614" w:rsidRDefault="008D6614">
            <w:pPr>
              <w:rPr>
                <w:rFonts w:ascii="宋体"/>
              </w:rPr>
            </w:pPr>
          </w:p>
        </w:tc>
        <w:tc>
          <w:tcPr>
            <w:tcW w:w="5" w:type="pct"/>
            <w:shd w:val="clear" w:color="auto" w:fill="auto"/>
            <w:vAlign w:val="center"/>
          </w:tcPr>
          <w:p w14:paraId="64A8AF16" w14:textId="77777777" w:rsidR="008D6614" w:rsidRDefault="008D6614">
            <w:pPr>
              <w:rPr>
                <w:rFonts w:ascii="宋体"/>
              </w:rPr>
            </w:pPr>
          </w:p>
        </w:tc>
        <w:tc>
          <w:tcPr>
            <w:tcW w:w="26" w:type="pct"/>
            <w:shd w:val="clear" w:color="auto" w:fill="auto"/>
            <w:vAlign w:val="center"/>
          </w:tcPr>
          <w:p w14:paraId="64A8AF17" w14:textId="77777777" w:rsidR="008D6614" w:rsidRDefault="008D6614">
            <w:pPr>
              <w:rPr>
                <w:rFonts w:ascii="宋体"/>
              </w:rPr>
            </w:pPr>
          </w:p>
        </w:tc>
        <w:tc>
          <w:tcPr>
            <w:tcW w:w="5" w:type="pct"/>
            <w:shd w:val="clear" w:color="auto" w:fill="auto"/>
            <w:vAlign w:val="center"/>
          </w:tcPr>
          <w:p w14:paraId="64A8AF18" w14:textId="77777777" w:rsidR="008D6614" w:rsidRDefault="008D6614">
            <w:pPr>
              <w:rPr>
                <w:rFonts w:ascii="宋体"/>
              </w:rPr>
            </w:pPr>
          </w:p>
        </w:tc>
        <w:tc>
          <w:tcPr>
            <w:tcW w:w="50" w:type="pct"/>
            <w:shd w:val="clear" w:color="auto" w:fill="auto"/>
            <w:vAlign w:val="center"/>
          </w:tcPr>
          <w:p w14:paraId="64A8AF19" w14:textId="77777777" w:rsidR="008D6614" w:rsidRDefault="008D6614">
            <w:pPr>
              <w:rPr>
                <w:rFonts w:ascii="宋体"/>
              </w:rPr>
            </w:pPr>
          </w:p>
        </w:tc>
        <w:tc>
          <w:tcPr>
            <w:tcW w:w="537" w:type="pct"/>
            <w:shd w:val="clear" w:color="auto" w:fill="auto"/>
            <w:vAlign w:val="center"/>
          </w:tcPr>
          <w:p w14:paraId="64A8AF1A" w14:textId="77777777" w:rsidR="008D6614" w:rsidRDefault="008D6614">
            <w:pPr>
              <w:rPr>
                <w:rFonts w:ascii="宋体"/>
              </w:rPr>
            </w:pPr>
          </w:p>
        </w:tc>
        <w:tc>
          <w:tcPr>
            <w:tcW w:w="50" w:type="pct"/>
            <w:shd w:val="clear" w:color="auto" w:fill="auto"/>
            <w:vAlign w:val="center"/>
          </w:tcPr>
          <w:p w14:paraId="64A8AF1B" w14:textId="77777777" w:rsidR="008D6614" w:rsidRDefault="008D6614">
            <w:pPr>
              <w:rPr>
                <w:rFonts w:ascii="宋体"/>
              </w:rPr>
            </w:pPr>
          </w:p>
        </w:tc>
        <w:tc>
          <w:tcPr>
            <w:tcW w:w="0" w:type="auto"/>
            <w:shd w:val="clear" w:color="auto" w:fill="auto"/>
            <w:vAlign w:val="center"/>
          </w:tcPr>
          <w:p w14:paraId="64A8AF1C" w14:textId="77777777" w:rsidR="008D6614" w:rsidRDefault="008D6614">
            <w:pPr>
              <w:rPr>
                <w:rFonts w:ascii="宋体"/>
                <w:vanish/>
              </w:rPr>
            </w:pPr>
          </w:p>
        </w:tc>
        <w:tc>
          <w:tcPr>
            <w:tcW w:w="0" w:type="auto"/>
            <w:shd w:val="clear" w:color="auto" w:fill="auto"/>
            <w:vAlign w:val="center"/>
          </w:tcPr>
          <w:p w14:paraId="64A8AF1D" w14:textId="77777777" w:rsidR="008D6614" w:rsidRDefault="008D6614">
            <w:pPr>
              <w:rPr>
                <w:rFonts w:ascii="宋体"/>
                <w:vanish/>
              </w:rPr>
            </w:pPr>
          </w:p>
        </w:tc>
        <w:tc>
          <w:tcPr>
            <w:tcW w:w="0" w:type="auto"/>
            <w:shd w:val="clear" w:color="auto" w:fill="auto"/>
            <w:vAlign w:val="center"/>
          </w:tcPr>
          <w:p w14:paraId="64A8AF1E" w14:textId="77777777" w:rsidR="008D6614" w:rsidRDefault="008D6614">
            <w:pPr>
              <w:rPr>
                <w:rFonts w:ascii="宋体"/>
                <w:vanish/>
              </w:rPr>
            </w:pPr>
          </w:p>
        </w:tc>
        <w:tc>
          <w:tcPr>
            <w:tcW w:w="0" w:type="auto"/>
            <w:shd w:val="clear" w:color="auto" w:fill="auto"/>
            <w:vAlign w:val="center"/>
          </w:tcPr>
          <w:p w14:paraId="64A8AF1F" w14:textId="77777777" w:rsidR="008D6614" w:rsidRDefault="008D6614">
            <w:pPr>
              <w:rPr>
                <w:rFonts w:ascii="宋体"/>
                <w:vanish/>
              </w:rPr>
            </w:pPr>
          </w:p>
        </w:tc>
        <w:tc>
          <w:tcPr>
            <w:tcW w:w="0" w:type="auto"/>
            <w:shd w:val="clear" w:color="auto" w:fill="auto"/>
            <w:vAlign w:val="center"/>
          </w:tcPr>
          <w:p w14:paraId="64A8AF20" w14:textId="77777777" w:rsidR="008D6614" w:rsidRDefault="008D6614">
            <w:pPr>
              <w:rPr>
                <w:rFonts w:ascii="宋体"/>
                <w:vanish/>
              </w:rPr>
            </w:pPr>
          </w:p>
        </w:tc>
        <w:tc>
          <w:tcPr>
            <w:tcW w:w="0" w:type="auto"/>
            <w:shd w:val="clear" w:color="auto" w:fill="auto"/>
            <w:vAlign w:val="center"/>
          </w:tcPr>
          <w:p w14:paraId="64A8AF21" w14:textId="77777777" w:rsidR="008D6614" w:rsidRDefault="008D6614">
            <w:pPr>
              <w:rPr>
                <w:rFonts w:ascii="宋体"/>
                <w:vanish/>
              </w:rPr>
            </w:pPr>
          </w:p>
        </w:tc>
      </w:tr>
      <w:tr w:rsidR="008D6614" w14:paraId="64A8AF2F" w14:textId="77777777">
        <w:tc>
          <w:tcPr>
            <w:tcW w:w="0" w:type="auto"/>
            <w:gridSpan w:val="3"/>
            <w:shd w:val="clear" w:color="auto" w:fill="auto"/>
            <w:tcMar>
              <w:top w:w="40" w:type="dxa"/>
              <w:left w:w="20" w:type="dxa"/>
              <w:bottom w:w="40" w:type="dxa"/>
              <w:right w:w="20" w:type="dxa"/>
            </w:tcMar>
            <w:vAlign w:val="bottom"/>
          </w:tcPr>
          <w:p w14:paraId="64A8AF23" w14:textId="77777777" w:rsidR="008D6614" w:rsidRDefault="00866AF2">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A8AF24"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vAlign w:val="center"/>
          </w:tcPr>
          <w:p w14:paraId="64A8AF25" w14:textId="77777777" w:rsidR="008D6614" w:rsidRDefault="008D6614">
            <w:pPr>
              <w:rPr>
                <w:rFonts w:ascii="宋体"/>
                <w:vanish/>
              </w:rPr>
            </w:pPr>
          </w:p>
        </w:tc>
        <w:tc>
          <w:tcPr>
            <w:tcW w:w="0" w:type="auto"/>
            <w:gridSpan w:val="3"/>
            <w:shd w:val="clear" w:color="auto" w:fill="auto"/>
            <w:vAlign w:val="center"/>
          </w:tcPr>
          <w:p w14:paraId="64A8AF26" w14:textId="77777777" w:rsidR="008D6614" w:rsidRDefault="008D6614">
            <w:pPr>
              <w:rPr>
                <w:rFonts w:ascii="宋体"/>
                <w:vanish/>
              </w:rPr>
            </w:pPr>
          </w:p>
        </w:tc>
        <w:tc>
          <w:tcPr>
            <w:tcW w:w="0" w:type="auto"/>
            <w:shd w:val="clear" w:color="auto" w:fill="auto"/>
            <w:tcMar>
              <w:left w:w="20" w:type="dxa"/>
              <w:right w:w="20" w:type="dxa"/>
            </w:tcMar>
            <w:vAlign w:val="bottom"/>
          </w:tcPr>
          <w:p w14:paraId="64A8AF27" w14:textId="77777777" w:rsidR="008D6614" w:rsidRDefault="008D6614">
            <w:pPr>
              <w:rPr>
                <w:rFonts w:ascii="宋体"/>
              </w:rPr>
            </w:pPr>
          </w:p>
        </w:tc>
        <w:tc>
          <w:tcPr>
            <w:tcW w:w="0" w:type="auto"/>
            <w:shd w:val="clear" w:color="auto" w:fill="auto"/>
            <w:tcMar>
              <w:left w:w="20" w:type="dxa"/>
              <w:right w:w="20" w:type="dxa"/>
            </w:tcMar>
            <w:vAlign w:val="bottom"/>
          </w:tcPr>
          <w:p w14:paraId="64A8AF28" w14:textId="77777777" w:rsidR="008D6614" w:rsidRDefault="008D6614">
            <w:pPr>
              <w:rPr>
                <w:rFonts w:ascii="宋体"/>
              </w:rPr>
            </w:pPr>
          </w:p>
        </w:tc>
        <w:tc>
          <w:tcPr>
            <w:tcW w:w="0" w:type="auto"/>
            <w:shd w:val="clear" w:color="auto" w:fill="auto"/>
            <w:vAlign w:val="center"/>
          </w:tcPr>
          <w:p w14:paraId="64A8AF29" w14:textId="77777777" w:rsidR="008D6614" w:rsidRDefault="008D6614">
            <w:pPr>
              <w:rPr>
                <w:rFonts w:ascii="宋体"/>
                <w:vanish/>
              </w:rPr>
            </w:pPr>
          </w:p>
        </w:tc>
        <w:tc>
          <w:tcPr>
            <w:tcW w:w="0" w:type="auto"/>
            <w:shd w:val="clear" w:color="auto" w:fill="auto"/>
            <w:vAlign w:val="center"/>
          </w:tcPr>
          <w:p w14:paraId="64A8AF2A" w14:textId="77777777" w:rsidR="008D6614" w:rsidRDefault="008D6614">
            <w:pPr>
              <w:rPr>
                <w:rFonts w:ascii="宋体"/>
                <w:vanish/>
              </w:rPr>
            </w:pPr>
          </w:p>
        </w:tc>
        <w:tc>
          <w:tcPr>
            <w:tcW w:w="0" w:type="auto"/>
            <w:shd w:val="clear" w:color="auto" w:fill="auto"/>
            <w:vAlign w:val="center"/>
          </w:tcPr>
          <w:p w14:paraId="64A8AF2B" w14:textId="77777777" w:rsidR="008D6614" w:rsidRDefault="008D6614">
            <w:pPr>
              <w:rPr>
                <w:rFonts w:ascii="宋体"/>
                <w:vanish/>
              </w:rPr>
            </w:pPr>
          </w:p>
        </w:tc>
        <w:tc>
          <w:tcPr>
            <w:tcW w:w="0" w:type="auto"/>
            <w:shd w:val="clear" w:color="auto" w:fill="auto"/>
            <w:vAlign w:val="center"/>
          </w:tcPr>
          <w:p w14:paraId="64A8AF2C" w14:textId="77777777" w:rsidR="008D6614" w:rsidRDefault="008D6614">
            <w:pPr>
              <w:rPr>
                <w:rFonts w:ascii="宋体"/>
                <w:vanish/>
              </w:rPr>
            </w:pPr>
          </w:p>
        </w:tc>
        <w:tc>
          <w:tcPr>
            <w:tcW w:w="0" w:type="auto"/>
            <w:gridSpan w:val="3"/>
            <w:shd w:val="clear" w:color="auto" w:fill="auto"/>
            <w:vAlign w:val="center"/>
          </w:tcPr>
          <w:p w14:paraId="64A8AF2D" w14:textId="77777777" w:rsidR="008D6614" w:rsidRDefault="008D6614">
            <w:pPr>
              <w:rPr>
                <w:rFonts w:ascii="宋体"/>
                <w:vanish/>
              </w:rPr>
            </w:pPr>
          </w:p>
        </w:tc>
        <w:tc>
          <w:tcPr>
            <w:tcW w:w="0" w:type="auto"/>
            <w:gridSpan w:val="3"/>
            <w:shd w:val="clear" w:color="auto" w:fill="auto"/>
            <w:vAlign w:val="center"/>
          </w:tcPr>
          <w:p w14:paraId="64A8AF2E" w14:textId="77777777" w:rsidR="008D6614" w:rsidRDefault="008D6614">
            <w:pPr>
              <w:rPr>
                <w:rFonts w:ascii="宋体"/>
                <w:vanish/>
              </w:rPr>
            </w:pPr>
          </w:p>
        </w:tc>
      </w:tr>
      <w:tr w:rsidR="008D6614" w14:paraId="64A8AF42" w14:textId="77777777">
        <w:tc>
          <w:tcPr>
            <w:tcW w:w="0" w:type="auto"/>
            <w:gridSpan w:val="3"/>
            <w:shd w:val="clear" w:color="auto" w:fill="auto"/>
            <w:tcMar>
              <w:top w:w="40" w:type="dxa"/>
              <w:left w:w="20" w:type="dxa"/>
              <w:bottom w:w="40" w:type="dxa"/>
              <w:right w:w="20" w:type="dxa"/>
            </w:tcMar>
            <w:vAlign w:val="bottom"/>
          </w:tcPr>
          <w:p w14:paraId="64A8AF30" w14:textId="77777777" w:rsidR="008D6614" w:rsidRDefault="00866AF2">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F31" w14:textId="77777777" w:rsidR="008D6614" w:rsidRDefault="00866AF2">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64A8AF32"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F33" w14:textId="77777777" w:rsidR="008D6614" w:rsidRDefault="00866AF2">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64A8AF34"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F35" w14:textId="77777777" w:rsidR="008D6614" w:rsidRDefault="00866AF2">
            <w:pPr>
              <w:jc w:val="center"/>
              <w:textAlignment w:val="bottom"/>
            </w:pPr>
            <w:r>
              <w:rPr>
                <w:rFonts w:ascii="Arial" w:eastAsia="宋体" w:hAnsi="Arial" w:cs="Arial"/>
                <w:b/>
                <w:bCs/>
                <w:color w:val="000000"/>
                <w:sz w:val="14"/>
                <w:szCs w:val="14"/>
              </w:rPr>
              <w:t>% Change</w:t>
            </w:r>
          </w:p>
        </w:tc>
        <w:tc>
          <w:tcPr>
            <w:tcW w:w="0" w:type="auto"/>
            <w:shd w:val="clear" w:color="auto" w:fill="auto"/>
            <w:vAlign w:val="center"/>
          </w:tcPr>
          <w:p w14:paraId="64A8AF36" w14:textId="77777777" w:rsidR="008D6614" w:rsidRDefault="008D6614">
            <w:pPr>
              <w:rPr>
                <w:rFonts w:ascii="宋体"/>
                <w:vanish/>
              </w:rPr>
            </w:pPr>
          </w:p>
        </w:tc>
        <w:tc>
          <w:tcPr>
            <w:tcW w:w="0" w:type="auto"/>
            <w:shd w:val="clear" w:color="auto" w:fill="auto"/>
            <w:vAlign w:val="center"/>
          </w:tcPr>
          <w:p w14:paraId="64A8AF37" w14:textId="77777777" w:rsidR="008D6614" w:rsidRDefault="008D6614">
            <w:pPr>
              <w:rPr>
                <w:rFonts w:ascii="宋体"/>
                <w:vanish/>
              </w:rPr>
            </w:pPr>
          </w:p>
        </w:tc>
        <w:tc>
          <w:tcPr>
            <w:tcW w:w="0" w:type="auto"/>
            <w:shd w:val="clear" w:color="auto" w:fill="auto"/>
            <w:vAlign w:val="center"/>
          </w:tcPr>
          <w:p w14:paraId="64A8AF38" w14:textId="77777777" w:rsidR="008D6614" w:rsidRDefault="008D6614">
            <w:pPr>
              <w:rPr>
                <w:rFonts w:ascii="宋体"/>
                <w:vanish/>
              </w:rPr>
            </w:pPr>
          </w:p>
        </w:tc>
        <w:tc>
          <w:tcPr>
            <w:tcW w:w="0" w:type="auto"/>
            <w:shd w:val="clear" w:color="auto" w:fill="auto"/>
            <w:vAlign w:val="center"/>
          </w:tcPr>
          <w:p w14:paraId="64A8AF39" w14:textId="77777777" w:rsidR="008D6614" w:rsidRDefault="008D6614">
            <w:pPr>
              <w:rPr>
                <w:rFonts w:ascii="宋体"/>
                <w:vanish/>
              </w:rPr>
            </w:pPr>
          </w:p>
        </w:tc>
        <w:tc>
          <w:tcPr>
            <w:tcW w:w="0" w:type="auto"/>
            <w:shd w:val="clear" w:color="auto" w:fill="auto"/>
            <w:vAlign w:val="center"/>
          </w:tcPr>
          <w:p w14:paraId="64A8AF3A" w14:textId="77777777" w:rsidR="008D6614" w:rsidRDefault="008D6614">
            <w:pPr>
              <w:rPr>
                <w:rFonts w:ascii="宋体"/>
                <w:vanish/>
              </w:rPr>
            </w:pPr>
          </w:p>
        </w:tc>
        <w:tc>
          <w:tcPr>
            <w:tcW w:w="0" w:type="auto"/>
            <w:shd w:val="clear" w:color="auto" w:fill="auto"/>
            <w:vAlign w:val="center"/>
          </w:tcPr>
          <w:p w14:paraId="64A8AF3B" w14:textId="77777777" w:rsidR="008D6614" w:rsidRDefault="008D6614">
            <w:pPr>
              <w:rPr>
                <w:rFonts w:ascii="宋体"/>
                <w:vanish/>
              </w:rPr>
            </w:pPr>
          </w:p>
        </w:tc>
        <w:tc>
          <w:tcPr>
            <w:tcW w:w="0" w:type="auto"/>
            <w:shd w:val="clear" w:color="auto" w:fill="auto"/>
            <w:vAlign w:val="center"/>
          </w:tcPr>
          <w:p w14:paraId="64A8AF3C" w14:textId="77777777" w:rsidR="008D6614" w:rsidRDefault="008D6614">
            <w:pPr>
              <w:rPr>
                <w:rFonts w:ascii="宋体"/>
              </w:rPr>
            </w:pPr>
          </w:p>
        </w:tc>
        <w:tc>
          <w:tcPr>
            <w:tcW w:w="0" w:type="auto"/>
            <w:shd w:val="clear" w:color="auto" w:fill="auto"/>
            <w:vAlign w:val="center"/>
          </w:tcPr>
          <w:p w14:paraId="64A8AF3D" w14:textId="77777777" w:rsidR="008D6614" w:rsidRDefault="008D6614">
            <w:pPr>
              <w:rPr>
                <w:rFonts w:ascii="宋体"/>
              </w:rPr>
            </w:pPr>
          </w:p>
        </w:tc>
        <w:tc>
          <w:tcPr>
            <w:tcW w:w="0" w:type="auto"/>
            <w:shd w:val="clear" w:color="auto" w:fill="auto"/>
            <w:vAlign w:val="center"/>
          </w:tcPr>
          <w:p w14:paraId="64A8AF3E" w14:textId="77777777" w:rsidR="008D6614" w:rsidRDefault="008D6614">
            <w:pPr>
              <w:rPr>
                <w:rFonts w:ascii="宋体"/>
              </w:rPr>
            </w:pPr>
          </w:p>
        </w:tc>
        <w:tc>
          <w:tcPr>
            <w:tcW w:w="0" w:type="auto"/>
            <w:shd w:val="clear" w:color="auto" w:fill="auto"/>
            <w:vAlign w:val="center"/>
          </w:tcPr>
          <w:p w14:paraId="64A8AF3F" w14:textId="77777777" w:rsidR="008D6614" w:rsidRDefault="008D6614">
            <w:pPr>
              <w:rPr>
                <w:rFonts w:ascii="宋体"/>
              </w:rPr>
            </w:pPr>
          </w:p>
        </w:tc>
        <w:tc>
          <w:tcPr>
            <w:tcW w:w="0" w:type="auto"/>
            <w:shd w:val="clear" w:color="auto" w:fill="auto"/>
            <w:vAlign w:val="center"/>
          </w:tcPr>
          <w:p w14:paraId="64A8AF40" w14:textId="77777777" w:rsidR="008D6614" w:rsidRDefault="008D6614">
            <w:pPr>
              <w:rPr>
                <w:rFonts w:ascii="宋体"/>
              </w:rPr>
            </w:pPr>
          </w:p>
        </w:tc>
        <w:tc>
          <w:tcPr>
            <w:tcW w:w="0" w:type="auto"/>
            <w:shd w:val="clear" w:color="auto" w:fill="auto"/>
            <w:vAlign w:val="center"/>
          </w:tcPr>
          <w:p w14:paraId="64A8AF41" w14:textId="77777777" w:rsidR="008D6614" w:rsidRDefault="008D6614">
            <w:pPr>
              <w:rPr>
                <w:rFonts w:ascii="宋体"/>
              </w:rPr>
            </w:pPr>
          </w:p>
        </w:tc>
      </w:tr>
      <w:tr w:rsidR="008D6614" w14:paraId="64A8AF5A" w14:textId="77777777">
        <w:tc>
          <w:tcPr>
            <w:tcW w:w="0" w:type="auto"/>
            <w:gridSpan w:val="3"/>
            <w:shd w:val="clear" w:color="auto" w:fill="E2E2E2"/>
            <w:tcMar>
              <w:top w:w="40" w:type="dxa"/>
              <w:left w:w="20" w:type="dxa"/>
              <w:bottom w:w="40" w:type="dxa"/>
              <w:right w:w="20" w:type="dxa"/>
            </w:tcMar>
            <w:vAlign w:val="bottom"/>
          </w:tcPr>
          <w:p w14:paraId="64A8AF43" w14:textId="77777777" w:rsidR="008D6614" w:rsidRDefault="00866AF2">
            <w:pPr>
              <w:textAlignment w:val="bottom"/>
            </w:pPr>
            <w:r>
              <w:rPr>
                <w:rFonts w:ascii="Arial" w:eastAsia="宋体" w:hAnsi="Arial" w:cs="Arial"/>
                <w:color w:val="000000"/>
                <w:sz w:val="16"/>
                <w:szCs w:val="16"/>
              </w:rPr>
              <w:t>Cost of net revenues</w:t>
            </w:r>
          </w:p>
        </w:tc>
        <w:tc>
          <w:tcPr>
            <w:tcW w:w="0" w:type="auto"/>
            <w:tcBorders>
              <w:top w:val="single" w:sz="8" w:space="0" w:color="000000"/>
            </w:tcBorders>
            <w:shd w:val="clear" w:color="auto" w:fill="E2E2E2"/>
            <w:tcMar>
              <w:top w:w="40" w:type="dxa"/>
              <w:left w:w="20" w:type="dxa"/>
              <w:bottom w:w="40" w:type="dxa"/>
            </w:tcMar>
            <w:vAlign w:val="bottom"/>
          </w:tcPr>
          <w:p w14:paraId="64A8AF44"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AF45" w14:textId="77777777" w:rsidR="008D6614" w:rsidRDefault="00866AF2">
            <w:pPr>
              <w:jc w:val="right"/>
              <w:textAlignment w:val="bottom"/>
            </w:pPr>
            <w:r>
              <w:rPr>
                <w:rFonts w:ascii="Arial" w:eastAsia="宋体" w:hAnsi="Arial" w:cs="Arial"/>
                <w:color w:val="000000"/>
                <w:sz w:val="16"/>
                <w:szCs w:val="16"/>
              </w:rPr>
              <w:t>526 </w:t>
            </w:r>
          </w:p>
        </w:tc>
        <w:tc>
          <w:tcPr>
            <w:tcW w:w="0" w:type="auto"/>
            <w:tcBorders>
              <w:top w:val="single" w:sz="8" w:space="0" w:color="000000"/>
            </w:tcBorders>
            <w:shd w:val="clear" w:color="auto" w:fill="E2E2E2"/>
            <w:tcMar>
              <w:top w:w="40" w:type="dxa"/>
              <w:bottom w:w="40" w:type="dxa"/>
              <w:right w:w="20" w:type="dxa"/>
            </w:tcMar>
            <w:vAlign w:val="bottom"/>
          </w:tcPr>
          <w:p w14:paraId="64A8AF4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F47"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F48"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AF49" w14:textId="77777777" w:rsidR="008D6614" w:rsidRDefault="00866AF2">
            <w:pPr>
              <w:jc w:val="right"/>
              <w:textAlignment w:val="bottom"/>
            </w:pPr>
            <w:r>
              <w:rPr>
                <w:rFonts w:ascii="Arial" w:eastAsia="宋体" w:hAnsi="Arial" w:cs="Arial"/>
                <w:color w:val="000000"/>
                <w:sz w:val="16"/>
                <w:szCs w:val="16"/>
              </w:rPr>
              <w:t>539 </w:t>
            </w:r>
          </w:p>
        </w:tc>
        <w:tc>
          <w:tcPr>
            <w:tcW w:w="0" w:type="auto"/>
            <w:tcBorders>
              <w:top w:val="single" w:sz="8" w:space="0" w:color="000000"/>
            </w:tcBorders>
            <w:shd w:val="clear" w:color="auto" w:fill="E2E2E2"/>
            <w:tcMar>
              <w:top w:w="40" w:type="dxa"/>
              <w:bottom w:w="40" w:type="dxa"/>
              <w:right w:w="20" w:type="dxa"/>
            </w:tcMar>
            <w:vAlign w:val="bottom"/>
          </w:tcPr>
          <w:p w14:paraId="64A8AF4A"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F4B"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F4C" w14:textId="77777777" w:rsidR="008D6614" w:rsidRDefault="00866AF2">
            <w:pPr>
              <w:jc w:val="right"/>
              <w:textAlignment w:val="bottom"/>
            </w:pPr>
            <w:r>
              <w:rPr>
                <w:rFonts w:ascii="Arial" w:eastAsia="宋体" w:hAnsi="Arial" w:cs="Arial"/>
                <w:color w:val="000000"/>
                <w:sz w:val="16"/>
                <w:szCs w:val="16"/>
              </w:rPr>
              <w:t>(3)</w:t>
            </w:r>
          </w:p>
        </w:tc>
        <w:tc>
          <w:tcPr>
            <w:tcW w:w="0" w:type="auto"/>
            <w:tcBorders>
              <w:top w:val="single" w:sz="8" w:space="0" w:color="000000"/>
            </w:tcBorders>
            <w:shd w:val="clear" w:color="auto" w:fill="E2E2E2"/>
            <w:tcMar>
              <w:top w:w="40" w:type="dxa"/>
              <w:bottom w:w="40" w:type="dxa"/>
              <w:right w:w="20" w:type="dxa"/>
            </w:tcMar>
            <w:vAlign w:val="bottom"/>
          </w:tcPr>
          <w:p w14:paraId="64A8AF4D"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F4E" w14:textId="77777777" w:rsidR="008D6614" w:rsidRDefault="008D6614">
            <w:pPr>
              <w:rPr>
                <w:rFonts w:ascii="宋体"/>
                <w:vanish/>
              </w:rPr>
            </w:pPr>
          </w:p>
        </w:tc>
        <w:tc>
          <w:tcPr>
            <w:tcW w:w="0" w:type="auto"/>
            <w:shd w:val="clear" w:color="auto" w:fill="auto"/>
            <w:vAlign w:val="center"/>
          </w:tcPr>
          <w:p w14:paraId="64A8AF4F" w14:textId="77777777" w:rsidR="008D6614" w:rsidRDefault="008D6614">
            <w:pPr>
              <w:rPr>
                <w:rFonts w:ascii="宋体"/>
                <w:vanish/>
              </w:rPr>
            </w:pPr>
          </w:p>
        </w:tc>
        <w:tc>
          <w:tcPr>
            <w:tcW w:w="0" w:type="auto"/>
            <w:shd w:val="clear" w:color="auto" w:fill="auto"/>
            <w:vAlign w:val="center"/>
          </w:tcPr>
          <w:p w14:paraId="64A8AF50" w14:textId="77777777" w:rsidR="008D6614" w:rsidRDefault="008D6614">
            <w:pPr>
              <w:rPr>
                <w:rFonts w:ascii="宋体"/>
                <w:vanish/>
              </w:rPr>
            </w:pPr>
          </w:p>
        </w:tc>
        <w:tc>
          <w:tcPr>
            <w:tcW w:w="0" w:type="auto"/>
            <w:shd w:val="clear" w:color="auto" w:fill="auto"/>
            <w:vAlign w:val="center"/>
          </w:tcPr>
          <w:p w14:paraId="64A8AF51" w14:textId="77777777" w:rsidR="008D6614" w:rsidRDefault="008D6614">
            <w:pPr>
              <w:rPr>
                <w:rFonts w:ascii="宋体"/>
                <w:vanish/>
              </w:rPr>
            </w:pPr>
          </w:p>
        </w:tc>
        <w:tc>
          <w:tcPr>
            <w:tcW w:w="0" w:type="auto"/>
            <w:shd w:val="clear" w:color="auto" w:fill="auto"/>
            <w:vAlign w:val="center"/>
          </w:tcPr>
          <w:p w14:paraId="64A8AF52" w14:textId="77777777" w:rsidR="008D6614" w:rsidRDefault="008D6614">
            <w:pPr>
              <w:rPr>
                <w:rFonts w:ascii="宋体"/>
                <w:vanish/>
              </w:rPr>
            </w:pPr>
          </w:p>
        </w:tc>
        <w:tc>
          <w:tcPr>
            <w:tcW w:w="0" w:type="auto"/>
            <w:shd w:val="clear" w:color="auto" w:fill="auto"/>
            <w:vAlign w:val="center"/>
          </w:tcPr>
          <w:p w14:paraId="64A8AF53" w14:textId="77777777" w:rsidR="008D6614" w:rsidRDefault="008D6614">
            <w:pPr>
              <w:rPr>
                <w:rFonts w:ascii="宋体"/>
                <w:vanish/>
              </w:rPr>
            </w:pPr>
          </w:p>
        </w:tc>
        <w:tc>
          <w:tcPr>
            <w:tcW w:w="0" w:type="auto"/>
            <w:shd w:val="clear" w:color="auto" w:fill="auto"/>
            <w:vAlign w:val="center"/>
          </w:tcPr>
          <w:p w14:paraId="64A8AF54" w14:textId="77777777" w:rsidR="008D6614" w:rsidRDefault="008D6614">
            <w:pPr>
              <w:rPr>
                <w:rFonts w:ascii="宋体"/>
              </w:rPr>
            </w:pPr>
          </w:p>
        </w:tc>
        <w:tc>
          <w:tcPr>
            <w:tcW w:w="0" w:type="auto"/>
            <w:shd w:val="clear" w:color="auto" w:fill="auto"/>
            <w:vAlign w:val="center"/>
          </w:tcPr>
          <w:p w14:paraId="64A8AF55" w14:textId="77777777" w:rsidR="008D6614" w:rsidRDefault="008D6614">
            <w:pPr>
              <w:rPr>
                <w:rFonts w:ascii="宋体"/>
              </w:rPr>
            </w:pPr>
          </w:p>
        </w:tc>
        <w:tc>
          <w:tcPr>
            <w:tcW w:w="0" w:type="auto"/>
            <w:shd w:val="clear" w:color="auto" w:fill="auto"/>
            <w:vAlign w:val="center"/>
          </w:tcPr>
          <w:p w14:paraId="64A8AF56" w14:textId="77777777" w:rsidR="008D6614" w:rsidRDefault="008D6614">
            <w:pPr>
              <w:rPr>
                <w:rFonts w:ascii="宋体"/>
              </w:rPr>
            </w:pPr>
          </w:p>
        </w:tc>
        <w:tc>
          <w:tcPr>
            <w:tcW w:w="0" w:type="auto"/>
            <w:shd w:val="clear" w:color="auto" w:fill="auto"/>
            <w:vAlign w:val="center"/>
          </w:tcPr>
          <w:p w14:paraId="64A8AF57" w14:textId="77777777" w:rsidR="008D6614" w:rsidRDefault="008D6614">
            <w:pPr>
              <w:rPr>
                <w:rFonts w:ascii="宋体"/>
              </w:rPr>
            </w:pPr>
          </w:p>
        </w:tc>
        <w:tc>
          <w:tcPr>
            <w:tcW w:w="0" w:type="auto"/>
            <w:shd w:val="clear" w:color="auto" w:fill="auto"/>
            <w:vAlign w:val="center"/>
          </w:tcPr>
          <w:p w14:paraId="64A8AF58" w14:textId="77777777" w:rsidR="008D6614" w:rsidRDefault="008D6614">
            <w:pPr>
              <w:rPr>
                <w:rFonts w:ascii="宋体"/>
              </w:rPr>
            </w:pPr>
          </w:p>
        </w:tc>
        <w:tc>
          <w:tcPr>
            <w:tcW w:w="0" w:type="auto"/>
            <w:shd w:val="clear" w:color="auto" w:fill="auto"/>
            <w:vAlign w:val="center"/>
          </w:tcPr>
          <w:p w14:paraId="64A8AF59" w14:textId="77777777" w:rsidR="008D6614" w:rsidRDefault="008D6614">
            <w:pPr>
              <w:rPr>
                <w:rFonts w:ascii="宋体"/>
              </w:rPr>
            </w:pPr>
          </w:p>
        </w:tc>
      </w:tr>
      <w:tr w:rsidR="008D6614" w14:paraId="64A8AF70" w14:textId="77777777">
        <w:tc>
          <w:tcPr>
            <w:tcW w:w="0" w:type="auto"/>
            <w:gridSpan w:val="3"/>
            <w:shd w:val="clear" w:color="auto" w:fill="FFFFFF"/>
            <w:tcMar>
              <w:top w:w="40" w:type="dxa"/>
              <w:left w:w="135" w:type="dxa"/>
              <w:bottom w:w="40" w:type="dxa"/>
              <w:right w:w="20" w:type="dxa"/>
            </w:tcMar>
            <w:vAlign w:val="bottom"/>
          </w:tcPr>
          <w:p w14:paraId="64A8AF5B" w14:textId="77777777" w:rsidR="008D6614" w:rsidRDefault="00866AF2">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A8AF5C" w14:textId="77777777" w:rsidR="008D6614" w:rsidRDefault="00866AF2">
            <w:pPr>
              <w:jc w:val="right"/>
              <w:textAlignment w:val="bottom"/>
            </w:pPr>
            <w:r>
              <w:rPr>
                <w:rFonts w:ascii="Arial" w:eastAsia="宋体" w:hAnsi="Arial" w:cs="Arial"/>
                <w:i/>
                <w:iCs/>
                <w:color w:val="000000"/>
                <w:sz w:val="16"/>
                <w:szCs w:val="16"/>
              </w:rPr>
              <w:t>22.1 </w:t>
            </w:r>
          </w:p>
        </w:tc>
        <w:tc>
          <w:tcPr>
            <w:tcW w:w="0" w:type="auto"/>
            <w:shd w:val="clear" w:color="auto" w:fill="FFFFFF"/>
            <w:tcMar>
              <w:top w:w="40" w:type="dxa"/>
              <w:bottom w:w="40" w:type="dxa"/>
              <w:right w:w="20" w:type="dxa"/>
            </w:tcMar>
            <w:vAlign w:val="bottom"/>
          </w:tcPr>
          <w:p w14:paraId="64A8AF5D"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F5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F5F" w14:textId="77777777" w:rsidR="008D6614" w:rsidRDefault="00866AF2">
            <w:pPr>
              <w:jc w:val="right"/>
              <w:textAlignment w:val="bottom"/>
            </w:pPr>
            <w:r>
              <w:rPr>
                <w:rFonts w:ascii="Arial" w:eastAsia="宋体" w:hAnsi="Arial" w:cs="Arial"/>
                <w:i/>
                <w:iCs/>
                <w:color w:val="000000"/>
                <w:sz w:val="16"/>
                <w:szCs w:val="16"/>
              </w:rPr>
              <w:t>22.3 </w:t>
            </w:r>
          </w:p>
        </w:tc>
        <w:tc>
          <w:tcPr>
            <w:tcW w:w="0" w:type="auto"/>
            <w:shd w:val="clear" w:color="auto" w:fill="FFFFFF"/>
            <w:tcMar>
              <w:top w:w="40" w:type="dxa"/>
              <w:bottom w:w="40" w:type="dxa"/>
              <w:right w:w="20" w:type="dxa"/>
            </w:tcMar>
            <w:vAlign w:val="bottom"/>
          </w:tcPr>
          <w:p w14:paraId="64A8AF60"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F6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F62" w14:textId="77777777" w:rsidR="008D6614" w:rsidRDefault="00866AF2">
            <w:pPr>
              <w:jc w:val="right"/>
              <w:textAlignment w:val="bottom"/>
            </w:pPr>
            <w:r>
              <w:rPr>
                <w:rFonts w:ascii="Arial" w:eastAsia="宋体" w:hAnsi="Arial" w:cs="Arial"/>
                <w:i/>
                <w:iCs/>
                <w:color w:val="000000"/>
                <w:sz w:val="16"/>
                <w:szCs w:val="16"/>
              </w:rPr>
              <w:t>  </w:t>
            </w:r>
          </w:p>
        </w:tc>
        <w:tc>
          <w:tcPr>
            <w:tcW w:w="0" w:type="auto"/>
            <w:shd w:val="clear" w:color="auto" w:fill="FFFFFF"/>
            <w:tcMar>
              <w:top w:w="40" w:type="dxa"/>
              <w:bottom w:w="40" w:type="dxa"/>
              <w:right w:w="20" w:type="dxa"/>
            </w:tcMar>
            <w:vAlign w:val="bottom"/>
          </w:tcPr>
          <w:p w14:paraId="64A8AF63" w14:textId="77777777" w:rsidR="008D6614" w:rsidRDefault="00866AF2">
            <w:pPr>
              <w:jc w:val="right"/>
              <w:textAlignment w:val="bottom"/>
            </w:pPr>
            <w:r>
              <w:rPr>
                <w:rFonts w:ascii="Arial" w:eastAsia="宋体" w:hAnsi="Arial" w:cs="Arial"/>
                <w:i/>
                <w:iCs/>
                <w:color w:val="000000"/>
                <w:sz w:val="16"/>
                <w:szCs w:val="16"/>
              </w:rPr>
              <w:t> </w:t>
            </w:r>
          </w:p>
        </w:tc>
        <w:tc>
          <w:tcPr>
            <w:tcW w:w="0" w:type="auto"/>
            <w:shd w:val="clear" w:color="auto" w:fill="auto"/>
            <w:vAlign w:val="center"/>
          </w:tcPr>
          <w:p w14:paraId="64A8AF64" w14:textId="77777777" w:rsidR="008D6614" w:rsidRDefault="008D6614">
            <w:pPr>
              <w:rPr>
                <w:rFonts w:ascii="宋体"/>
                <w:vanish/>
              </w:rPr>
            </w:pPr>
          </w:p>
        </w:tc>
        <w:tc>
          <w:tcPr>
            <w:tcW w:w="0" w:type="auto"/>
            <w:shd w:val="clear" w:color="auto" w:fill="auto"/>
            <w:vAlign w:val="center"/>
          </w:tcPr>
          <w:p w14:paraId="64A8AF65" w14:textId="77777777" w:rsidR="008D6614" w:rsidRDefault="008D6614">
            <w:pPr>
              <w:rPr>
                <w:rFonts w:ascii="宋体"/>
                <w:vanish/>
              </w:rPr>
            </w:pPr>
          </w:p>
        </w:tc>
        <w:tc>
          <w:tcPr>
            <w:tcW w:w="0" w:type="auto"/>
            <w:shd w:val="clear" w:color="auto" w:fill="auto"/>
            <w:vAlign w:val="center"/>
          </w:tcPr>
          <w:p w14:paraId="64A8AF66" w14:textId="77777777" w:rsidR="008D6614" w:rsidRDefault="008D6614">
            <w:pPr>
              <w:rPr>
                <w:rFonts w:ascii="宋体"/>
                <w:vanish/>
              </w:rPr>
            </w:pPr>
          </w:p>
        </w:tc>
        <w:tc>
          <w:tcPr>
            <w:tcW w:w="0" w:type="auto"/>
            <w:shd w:val="clear" w:color="auto" w:fill="auto"/>
            <w:vAlign w:val="center"/>
          </w:tcPr>
          <w:p w14:paraId="64A8AF67" w14:textId="77777777" w:rsidR="008D6614" w:rsidRDefault="008D6614">
            <w:pPr>
              <w:rPr>
                <w:rFonts w:ascii="宋体"/>
                <w:vanish/>
              </w:rPr>
            </w:pPr>
          </w:p>
        </w:tc>
        <w:tc>
          <w:tcPr>
            <w:tcW w:w="0" w:type="auto"/>
            <w:shd w:val="clear" w:color="auto" w:fill="auto"/>
            <w:vAlign w:val="center"/>
          </w:tcPr>
          <w:p w14:paraId="64A8AF68" w14:textId="77777777" w:rsidR="008D6614" w:rsidRDefault="008D6614">
            <w:pPr>
              <w:rPr>
                <w:rFonts w:ascii="宋体"/>
                <w:vanish/>
              </w:rPr>
            </w:pPr>
          </w:p>
        </w:tc>
        <w:tc>
          <w:tcPr>
            <w:tcW w:w="0" w:type="auto"/>
            <w:shd w:val="clear" w:color="auto" w:fill="auto"/>
            <w:vAlign w:val="center"/>
          </w:tcPr>
          <w:p w14:paraId="64A8AF69" w14:textId="77777777" w:rsidR="008D6614" w:rsidRDefault="008D6614">
            <w:pPr>
              <w:rPr>
                <w:rFonts w:ascii="宋体"/>
                <w:vanish/>
              </w:rPr>
            </w:pPr>
          </w:p>
        </w:tc>
        <w:tc>
          <w:tcPr>
            <w:tcW w:w="0" w:type="auto"/>
            <w:shd w:val="clear" w:color="auto" w:fill="auto"/>
            <w:vAlign w:val="center"/>
          </w:tcPr>
          <w:p w14:paraId="64A8AF6A" w14:textId="77777777" w:rsidR="008D6614" w:rsidRDefault="008D6614">
            <w:pPr>
              <w:rPr>
                <w:rFonts w:ascii="宋体"/>
              </w:rPr>
            </w:pPr>
          </w:p>
        </w:tc>
        <w:tc>
          <w:tcPr>
            <w:tcW w:w="0" w:type="auto"/>
            <w:shd w:val="clear" w:color="auto" w:fill="auto"/>
            <w:vAlign w:val="center"/>
          </w:tcPr>
          <w:p w14:paraId="64A8AF6B" w14:textId="77777777" w:rsidR="008D6614" w:rsidRDefault="008D6614">
            <w:pPr>
              <w:rPr>
                <w:rFonts w:ascii="宋体"/>
              </w:rPr>
            </w:pPr>
          </w:p>
        </w:tc>
        <w:tc>
          <w:tcPr>
            <w:tcW w:w="0" w:type="auto"/>
            <w:shd w:val="clear" w:color="auto" w:fill="auto"/>
            <w:vAlign w:val="center"/>
          </w:tcPr>
          <w:p w14:paraId="64A8AF6C" w14:textId="77777777" w:rsidR="008D6614" w:rsidRDefault="008D6614">
            <w:pPr>
              <w:rPr>
                <w:rFonts w:ascii="宋体"/>
              </w:rPr>
            </w:pPr>
          </w:p>
        </w:tc>
        <w:tc>
          <w:tcPr>
            <w:tcW w:w="0" w:type="auto"/>
            <w:shd w:val="clear" w:color="auto" w:fill="auto"/>
            <w:vAlign w:val="center"/>
          </w:tcPr>
          <w:p w14:paraId="64A8AF6D" w14:textId="77777777" w:rsidR="008D6614" w:rsidRDefault="008D6614">
            <w:pPr>
              <w:rPr>
                <w:rFonts w:ascii="宋体"/>
              </w:rPr>
            </w:pPr>
          </w:p>
        </w:tc>
        <w:tc>
          <w:tcPr>
            <w:tcW w:w="0" w:type="auto"/>
            <w:shd w:val="clear" w:color="auto" w:fill="auto"/>
            <w:vAlign w:val="center"/>
          </w:tcPr>
          <w:p w14:paraId="64A8AF6E" w14:textId="77777777" w:rsidR="008D6614" w:rsidRDefault="008D6614">
            <w:pPr>
              <w:rPr>
                <w:rFonts w:ascii="宋体"/>
              </w:rPr>
            </w:pPr>
          </w:p>
        </w:tc>
        <w:tc>
          <w:tcPr>
            <w:tcW w:w="0" w:type="auto"/>
            <w:shd w:val="clear" w:color="auto" w:fill="auto"/>
            <w:vAlign w:val="center"/>
          </w:tcPr>
          <w:p w14:paraId="64A8AF6F" w14:textId="77777777" w:rsidR="008D6614" w:rsidRDefault="008D6614">
            <w:pPr>
              <w:rPr>
                <w:rFonts w:ascii="宋体"/>
              </w:rPr>
            </w:pPr>
          </w:p>
        </w:tc>
      </w:tr>
    </w:tbl>
    <w:p w14:paraId="64A8AF71" w14:textId="77777777" w:rsidR="008D6614" w:rsidRDefault="008D6614">
      <w:pPr>
        <w:ind w:firstLine="540"/>
        <w:jc w:val="both"/>
      </w:pPr>
    </w:p>
    <w:p w14:paraId="64A8AF72" w14:textId="77777777" w:rsidR="008D6614" w:rsidRDefault="00866AF2">
      <w:pPr>
        <w:ind w:firstLine="540"/>
        <w:jc w:val="both"/>
      </w:pPr>
      <w:r>
        <w:rPr>
          <w:rFonts w:ascii="Arial" w:eastAsia="宋体" w:hAnsi="Arial" w:cs="Arial"/>
          <w:color w:val="000000"/>
          <w:sz w:val="20"/>
          <w:szCs w:val="20"/>
        </w:rPr>
        <w:t>Cost of net revenues, net of immaterial hedging activities, was favorably impacted by $11 million attributable to foreign currency movements relative to the U.S. dollar during the three months ended March 31, 2020 compared to the same period i</w:t>
      </w:r>
      <w:r>
        <w:rPr>
          <w:rFonts w:ascii="Arial" w:eastAsia="宋体" w:hAnsi="Arial" w:cs="Arial"/>
          <w:color w:val="000000"/>
          <w:sz w:val="20"/>
          <w:szCs w:val="20"/>
        </w:rPr>
        <w:t xml:space="preserve">n 2019. </w:t>
      </w:r>
    </w:p>
    <w:p w14:paraId="64A8AF73" w14:textId="77777777" w:rsidR="008D6614" w:rsidRDefault="008D6614">
      <w:pPr>
        <w:jc w:val="center"/>
      </w:pPr>
    </w:p>
    <w:p w14:paraId="64A8AF74" w14:textId="77777777" w:rsidR="008D6614" w:rsidRDefault="00866AF2">
      <w:pPr>
        <w:jc w:val="center"/>
      </w:pPr>
      <w:r>
        <w:rPr>
          <w:rFonts w:ascii="Arial" w:eastAsia="宋体" w:hAnsi="Arial" w:cs="Arial"/>
          <w:color w:val="000000"/>
          <w:sz w:val="20"/>
          <w:szCs w:val="20"/>
        </w:rPr>
        <w:t>37</w:t>
      </w:r>
    </w:p>
    <w:p w14:paraId="64A8AF75" w14:textId="77777777" w:rsidR="008D6614" w:rsidRDefault="00866AF2">
      <w:r>
        <w:pict w14:anchorId="64A8BA02">
          <v:rect id="_x0000_i1061" style="width:415.3pt;height:1.5pt" o:hralign="center" o:hrstd="t" o:hr="t" fillcolor="#a0a0a0" stroked="f"/>
        </w:pict>
      </w:r>
    </w:p>
    <w:p w14:paraId="64A8AF76" w14:textId="77777777" w:rsidR="008D6614" w:rsidRDefault="008D6614"/>
    <w:p w14:paraId="64A8AF77" w14:textId="77777777" w:rsidR="008D6614" w:rsidRDefault="008D6614">
      <w:pPr>
        <w:ind w:firstLine="540"/>
        <w:jc w:val="both"/>
      </w:pPr>
    </w:p>
    <w:p w14:paraId="64A8AF78" w14:textId="77777777" w:rsidR="008D6614" w:rsidRDefault="00866AF2">
      <w:pPr>
        <w:ind w:firstLine="540"/>
        <w:jc w:val="both"/>
      </w:pPr>
      <w:r>
        <w:rPr>
          <w:rFonts w:ascii="Arial" w:eastAsia="宋体" w:hAnsi="Arial" w:cs="Arial"/>
          <w:color w:val="000000"/>
          <w:sz w:val="20"/>
          <w:szCs w:val="20"/>
        </w:rPr>
        <w:t xml:space="preserve">The decrease in cost of net revenues during the three months ended March 31, 2020 compared to the same period in 2019 was primarily due to a favorable impact from foreign currency movements relative to the U.S. dollar, lower cost of </w:t>
      </w:r>
      <w:r>
        <w:rPr>
          <w:rFonts w:ascii="Arial" w:eastAsia="宋体" w:hAnsi="Arial" w:cs="Arial"/>
          <w:color w:val="000000"/>
          <w:sz w:val="20"/>
          <w:szCs w:val="20"/>
        </w:rPr>
        <w:t xml:space="preserve">goods sold due to the sale brands4friends in the third quarter of 2019, and lower customer support and site operations costs. The decrease in cost of net revenues was partially offset by an increase in payment processing costs as we continue to transition </w:t>
      </w:r>
      <w:r>
        <w:rPr>
          <w:rFonts w:ascii="Arial" w:eastAsia="宋体" w:hAnsi="Arial" w:cs="Arial"/>
          <w:color w:val="000000"/>
          <w:sz w:val="20"/>
          <w:szCs w:val="20"/>
        </w:rPr>
        <w:t>customers to our payments platform and an increase in cost of goods sold related to our first-party inventory program in Korea.</w:t>
      </w:r>
    </w:p>
    <w:p w14:paraId="64A8AF79" w14:textId="77777777" w:rsidR="008D6614" w:rsidRDefault="008D6614">
      <w:pPr>
        <w:ind w:firstLine="540"/>
        <w:jc w:val="both"/>
      </w:pPr>
    </w:p>
    <w:p w14:paraId="64A8AF7A" w14:textId="77777777" w:rsidR="008D6614" w:rsidRDefault="00866AF2">
      <w:pPr>
        <w:jc w:val="both"/>
      </w:pPr>
      <w:r>
        <w:rPr>
          <w:rFonts w:ascii="Arial" w:eastAsia="宋体" w:hAnsi="Arial" w:cs="Arial"/>
          <w:b/>
          <w:bCs/>
          <w:i/>
          <w:iCs/>
          <w:color w:val="000000"/>
          <w:sz w:val="20"/>
          <w:szCs w:val="20"/>
        </w:rPr>
        <w:t>Operating Expenses</w:t>
      </w:r>
    </w:p>
    <w:p w14:paraId="64A8AF7B" w14:textId="77777777" w:rsidR="008D6614" w:rsidRDefault="008D6614">
      <w:pPr>
        <w:ind w:firstLine="450"/>
        <w:jc w:val="both"/>
      </w:pPr>
    </w:p>
    <w:p w14:paraId="64A8AF7C" w14:textId="77777777" w:rsidR="008D6614" w:rsidRDefault="00866AF2">
      <w:pPr>
        <w:ind w:firstLine="540"/>
        <w:jc w:val="both"/>
      </w:pPr>
      <w:r>
        <w:rPr>
          <w:rFonts w:ascii="Arial" w:eastAsia="宋体" w:hAnsi="Arial" w:cs="Arial"/>
          <w:color w:val="000000"/>
          <w:sz w:val="20"/>
          <w:szCs w:val="20"/>
        </w:rPr>
        <w:t>The following table presents operating expenses (in millions, except percentages): </w:t>
      </w:r>
    </w:p>
    <w:tbl>
      <w:tblPr>
        <w:tblW w:w="4993" w:type="pct"/>
        <w:tblCellMar>
          <w:top w:w="15" w:type="dxa"/>
          <w:left w:w="15" w:type="dxa"/>
          <w:bottom w:w="15" w:type="dxa"/>
          <w:right w:w="15" w:type="dxa"/>
        </w:tblCellMar>
        <w:tblLook w:val="04A0" w:firstRow="1" w:lastRow="0" w:firstColumn="1" w:lastColumn="0" w:noHBand="0" w:noVBand="1"/>
      </w:tblPr>
      <w:tblGrid>
        <w:gridCol w:w="39"/>
        <w:gridCol w:w="4520"/>
        <w:gridCol w:w="38"/>
        <w:gridCol w:w="124"/>
        <w:gridCol w:w="772"/>
        <w:gridCol w:w="178"/>
        <w:gridCol w:w="36"/>
        <w:gridCol w:w="36"/>
        <w:gridCol w:w="36"/>
        <w:gridCol w:w="124"/>
        <w:gridCol w:w="740"/>
        <w:gridCol w:w="178"/>
        <w:gridCol w:w="36"/>
        <w:gridCol w:w="36"/>
        <w:gridCol w:w="36"/>
        <w:gridCol w:w="44"/>
        <w:gridCol w:w="721"/>
        <w:gridCol w:w="178"/>
        <w:gridCol w:w="46"/>
        <w:gridCol w:w="46"/>
        <w:gridCol w:w="36"/>
        <w:gridCol w:w="36"/>
        <w:gridCol w:w="36"/>
        <w:gridCol w:w="36"/>
        <w:gridCol w:w="36"/>
        <w:gridCol w:w="36"/>
        <w:gridCol w:w="36"/>
        <w:gridCol w:w="36"/>
        <w:gridCol w:w="36"/>
        <w:gridCol w:w="36"/>
      </w:tblGrid>
      <w:tr w:rsidR="008D6614" w14:paraId="64A8AF95" w14:textId="77777777">
        <w:trPr>
          <w:gridAfter w:val="6"/>
        </w:trPr>
        <w:tc>
          <w:tcPr>
            <w:tcW w:w="50" w:type="pct"/>
            <w:shd w:val="clear" w:color="auto" w:fill="auto"/>
            <w:vAlign w:val="center"/>
          </w:tcPr>
          <w:p w14:paraId="64A8AF7D" w14:textId="77777777" w:rsidR="008D6614" w:rsidRDefault="008D6614">
            <w:pPr>
              <w:rPr>
                <w:rFonts w:ascii="宋体"/>
              </w:rPr>
            </w:pPr>
          </w:p>
        </w:tc>
        <w:tc>
          <w:tcPr>
            <w:tcW w:w="2916" w:type="pct"/>
            <w:shd w:val="clear" w:color="auto" w:fill="auto"/>
            <w:vAlign w:val="center"/>
          </w:tcPr>
          <w:p w14:paraId="64A8AF7E" w14:textId="77777777" w:rsidR="008D6614" w:rsidRDefault="008D6614">
            <w:pPr>
              <w:rPr>
                <w:rFonts w:ascii="宋体"/>
              </w:rPr>
            </w:pPr>
          </w:p>
        </w:tc>
        <w:tc>
          <w:tcPr>
            <w:tcW w:w="50" w:type="pct"/>
            <w:shd w:val="clear" w:color="auto" w:fill="auto"/>
            <w:vAlign w:val="center"/>
          </w:tcPr>
          <w:p w14:paraId="64A8AF7F" w14:textId="77777777" w:rsidR="008D6614" w:rsidRDefault="008D6614">
            <w:pPr>
              <w:rPr>
                <w:rFonts w:ascii="宋体"/>
              </w:rPr>
            </w:pPr>
          </w:p>
        </w:tc>
        <w:tc>
          <w:tcPr>
            <w:tcW w:w="50" w:type="pct"/>
            <w:shd w:val="clear" w:color="auto" w:fill="auto"/>
            <w:vAlign w:val="center"/>
          </w:tcPr>
          <w:p w14:paraId="64A8AF80" w14:textId="77777777" w:rsidR="008D6614" w:rsidRDefault="008D6614">
            <w:pPr>
              <w:rPr>
                <w:rFonts w:ascii="宋体"/>
              </w:rPr>
            </w:pPr>
          </w:p>
        </w:tc>
        <w:tc>
          <w:tcPr>
            <w:tcW w:w="536" w:type="pct"/>
            <w:shd w:val="clear" w:color="auto" w:fill="auto"/>
            <w:vAlign w:val="center"/>
          </w:tcPr>
          <w:p w14:paraId="64A8AF81" w14:textId="77777777" w:rsidR="008D6614" w:rsidRDefault="008D6614">
            <w:pPr>
              <w:rPr>
                <w:rFonts w:ascii="宋体"/>
              </w:rPr>
            </w:pPr>
          </w:p>
        </w:tc>
        <w:tc>
          <w:tcPr>
            <w:tcW w:w="50" w:type="pct"/>
            <w:shd w:val="clear" w:color="auto" w:fill="auto"/>
            <w:vAlign w:val="center"/>
          </w:tcPr>
          <w:p w14:paraId="64A8AF82" w14:textId="77777777" w:rsidR="008D6614" w:rsidRDefault="008D6614">
            <w:pPr>
              <w:rPr>
                <w:rFonts w:ascii="宋体"/>
              </w:rPr>
            </w:pPr>
          </w:p>
        </w:tc>
        <w:tc>
          <w:tcPr>
            <w:tcW w:w="5" w:type="pct"/>
            <w:shd w:val="clear" w:color="auto" w:fill="auto"/>
            <w:vAlign w:val="center"/>
          </w:tcPr>
          <w:p w14:paraId="64A8AF83" w14:textId="77777777" w:rsidR="008D6614" w:rsidRDefault="008D6614">
            <w:pPr>
              <w:rPr>
                <w:rFonts w:ascii="宋体"/>
              </w:rPr>
            </w:pPr>
          </w:p>
        </w:tc>
        <w:tc>
          <w:tcPr>
            <w:tcW w:w="26" w:type="pct"/>
            <w:shd w:val="clear" w:color="auto" w:fill="auto"/>
            <w:vAlign w:val="center"/>
          </w:tcPr>
          <w:p w14:paraId="64A8AF84" w14:textId="77777777" w:rsidR="008D6614" w:rsidRDefault="008D6614">
            <w:pPr>
              <w:rPr>
                <w:rFonts w:ascii="宋体"/>
              </w:rPr>
            </w:pPr>
          </w:p>
        </w:tc>
        <w:tc>
          <w:tcPr>
            <w:tcW w:w="5" w:type="pct"/>
            <w:shd w:val="clear" w:color="auto" w:fill="auto"/>
            <w:vAlign w:val="center"/>
          </w:tcPr>
          <w:p w14:paraId="64A8AF85" w14:textId="77777777" w:rsidR="008D6614" w:rsidRDefault="008D6614">
            <w:pPr>
              <w:rPr>
                <w:rFonts w:ascii="宋体"/>
              </w:rPr>
            </w:pPr>
          </w:p>
        </w:tc>
        <w:tc>
          <w:tcPr>
            <w:tcW w:w="50" w:type="pct"/>
            <w:shd w:val="clear" w:color="auto" w:fill="auto"/>
            <w:vAlign w:val="center"/>
          </w:tcPr>
          <w:p w14:paraId="64A8AF86" w14:textId="77777777" w:rsidR="008D6614" w:rsidRDefault="008D6614">
            <w:pPr>
              <w:rPr>
                <w:rFonts w:ascii="宋体"/>
              </w:rPr>
            </w:pPr>
          </w:p>
        </w:tc>
        <w:tc>
          <w:tcPr>
            <w:tcW w:w="536" w:type="pct"/>
            <w:shd w:val="clear" w:color="auto" w:fill="auto"/>
            <w:vAlign w:val="center"/>
          </w:tcPr>
          <w:p w14:paraId="64A8AF87" w14:textId="77777777" w:rsidR="008D6614" w:rsidRDefault="008D6614">
            <w:pPr>
              <w:rPr>
                <w:rFonts w:ascii="宋体"/>
              </w:rPr>
            </w:pPr>
          </w:p>
        </w:tc>
        <w:tc>
          <w:tcPr>
            <w:tcW w:w="50" w:type="pct"/>
            <w:shd w:val="clear" w:color="auto" w:fill="auto"/>
            <w:vAlign w:val="center"/>
          </w:tcPr>
          <w:p w14:paraId="64A8AF88" w14:textId="77777777" w:rsidR="008D6614" w:rsidRDefault="008D6614">
            <w:pPr>
              <w:rPr>
                <w:rFonts w:ascii="宋体"/>
              </w:rPr>
            </w:pPr>
          </w:p>
        </w:tc>
        <w:tc>
          <w:tcPr>
            <w:tcW w:w="5" w:type="pct"/>
            <w:shd w:val="clear" w:color="auto" w:fill="auto"/>
            <w:vAlign w:val="center"/>
          </w:tcPr>
          <w:p w14:paraId="64A8AF89" w14:textId="77777777" w:rsidR="008D6614" w:rsidRDefault="008D6614">
            <w:pPr>
              <w:rPr>
                <w:rFonts w:ascii="宋体"/>
              </w:rPr>
            </w:pPr>
          </w:p>
        </w:tc>
        <w:tc>
          <w:tcPr>
            <w:tcW w:w="26" w:type="pct"/>
            <w:shd w:val="clear" w:color="auto" w:fill="auto"/>
            <w:vAlign w:val="center"/>
          </w:tcPr>
          <w:p w14:paraId="64A8AF8A" w14:textId="77777777" w:rsidR="008D6614" w:rsidRDefault="008D6614">
            <w:pPr>
              <w:rPr>
                <w:rFonts w:ascii="宋体"/>
              </w:rPr>
            </w:pPr>
          </w:p>
        </w:tc>
        <w:tc>
          <w:tcPr>
            <w:tcW w:w="5" w:type="pct"/>
            <w:shd w:val="clear" w:color="auto" w:fill="auto"/>
            <w:vAlign w:val="center"/>
          </w:tcPr>
          <w:p w14:paraId="64A8AF8B" w14:textId="77777777" w:rsidR="008D6614" w:rsidRDefault="008D6614">
            <w:pPr>
              <w:rPr>
                <w:rFonts w:ascii="宋体"/>
              </w:rPr>
            </w:pPr>
          </w:p>
        </w:tc>
        <w:tc>
          <w:tcPr>
            <w:tcW w:w="50" w:type="pct"/>
            <w:shd w:val="clear" w:color="auto" w:fill="auto"/>
            <w:vAlign w:val="center"/>
          </w:tcPr>
          <w:p w14:paraId="64A8AF8C" w14:textId="77777777" w:rsidR="008D6614" w:rsidRDefault="008D6614">
            <w:pPr>
              <w:rPr>
                <w:rFonts w:ascii="宋体"/>
              </w:rPr>
            </w:pPr>
          </w:p>
        </w:tc>
        <w:tc>
          <w:tcPr>
            <w:tcW w:w="537" w:type="pct"/>
            <w:shd w:val="clear" w:color="auto" w:fill="auto"/>
            <w:vAlign w:val="center"/>
          </w:tcPr>
          <w:p w14:paraId="64A8AF8D" w14:textId="77777777" w:rsidR="008D6614" w:rsidRDefault="008D6614">
            <w:pPr>
              <w:rPr>
                <w:rFonts w:ascii="宋体"/>
              </w:rPr>
            </w:pPr>
          </w:p>
        </w:tc>
        <w:tc>
          <w:tcPr>
            <w:tcW w:w="50" w:type="pct"/>
            <w:shd w:val="clear" w:color="auto" w:fill="auto"/>
            <w:vAlign w:val="center"/>
          </w:tcPr>
          <w:p w14:paraId="64A8AF8E" w14:textId="77777777" w:rsidR="008D6614" w:rsidRDefault="008D6614">
            <w:pPr>
              <w:rPr>
                <w:rFonts w:ascii="宋体"/>
              </w:rPr>
            </w:pPr>
          </w:p>
        </w:tc>
        <w:tc>
          <w:tcPr>
            <w:tcW w:w="0" w:type="auto"/>
            <w:shd w:val="clear" w:color="auto" w:fill="auto"/>
            <w:vAlign w:val="center"/>
          </w:tcPr>
          <w:p w14:paraId="64A8AF8F" w14:textId="77777777" w:rsidR="008D6614" w:rsidRDefault="008D6614">
            <w:pPr>
              <w:rPr>
                <w:rFonts w:ascii="宋体"/>
                <w:vanish/>
              </w:rPr>
            </w:pPr>
          </w:p>
        </w:tc>
        <w:tc>
          <w:tcPr>
            <w:tcW w:w="0" w:type="auto"/>
            <w:shd w:val="clear" w:color="auto" w:fill="auto"/>
            <w:vAlign w:val="center"/>
          </w:tcPr>
          <w:p w14:paraId="64A8AF90" w14:textId="77777777" w:rsidR="008D6614" w:rsidRDefault="008D6614">
            <w:pPr>
              <w:rPr>
                <w:rFonts w:ascii="宋体"/>
                <w:vanish/>
              </w:rPr>
            </w:pPr>
          </w:p>
        </w:tc>
        <w:tc>
          <w:tcPr>
            <w:tcW w:w="0" w:type="auto"/>
            <w:shd w:val="clear" w:color="auto" w:fill="auto"/>
            <w:vAlign w:val="center"/>
          </w:tcPr>
          <w:p w14:paraId="64A8AF91" w14:textId="77777777" w:rsidR="008D6614" w:rsidRDefault="008D6614">
            <w:pPr>
              <w:rPr>
                <w:rFonts w:ascii="宋体"/>
                <w:vanish/>
              </w:rPr>
            </w:pPr>
          </w:p>
        </w:tc>
        <w:tc>
          <w:tcPr>
            <w:tcW w:w="0" w:type="auto"/>
            <w:shd w:val="clear" w:color="auto" w:fill="auto"/>
            <w:vAlign w:val="center"/>
          </w:tcPr>
          <w:p w14:paraId="64A8AF92" w14:textId="77777777" w:rsidR="008D6614" w:rsidRDefault="008D6614">
            <w:pPr>
              <w:rPr>
                <w:rFonts w:ascii="宋体"/>
                <w:vanish/>
              </w:rPr>
            </w:pPr>
          </w:p>
        </w:tc>
        <w:tc>
          <w:tcPr>
            <w:tcW w:w="0" w:type="auto"/>
            <w:shd w:val="clear" w:color="auto" w:fill="auto"/>
            <w:vAlign w:val="center"/>
          </w:tcPr>
          <w:p w14:paraId="64A8AF93" w14:textId="77777777" w:rsidR="008D6614" w:rsidRDefault="008D6614">
            <w:pPr>
              <w:rPr>
                <w:rFonts w:ascii="宋体"/>
                <w:vanish/>
              </w:rPr>
            </w:pPr>
          </w:p>
        </w:tc>
        <w:tc>
          <w:tcPr>
            <w:tcW w:w="0" w:type="auto"/>
            <w:shd w:val="clear" w:color="auto" w:fill="auto"/>
            <w:vAlign w:val="center"/>
          </w:tcPr>
          <w:p w14:paraId="64A8AF94" w14:textId="77777777" w:rsidR="008D6614" w:rsidRDefault="008D6614">
            <w:pPr>
              <w:rPr>
                <w:rFonts w:ascii="宋体"/>
                <w:vanish/>
              </w:rPr>
            </w:pPr>
          </w:p>
        </w:tc>
      </w:tr>
      <w:tr w:rsidR="008D6614" w14:paraId="64A8AFA2" w14:textId="77777777">
        <w:tc>
          <w:tcPr>
            <w:tcW w:w="0" w:type="auto"/>
            <w:gridSpan w:val="3"/>
            <w:shd w:val="clear" w:color="auto" w:fill="auto"/>
            <w:tcMar>
              <w:top w:w="40" w:type="dxa"/>
              <w:left w:w="20" w:type="dxa"/>
              <w:bottom w:w="40" w:type="dxa"/>
              <w:right w:w="20" w:type="dxa"/>
            </w:tcMar>
            <w:vAlign w:val="bottom"/>
          </w:tcPr>
          <w:p w14:paraId="64A8AF96" w14:textId="77777777" w:rsidR="008D6614" w:rsidRDefault="00866AF2">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A8AF97"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vAlign w:val="center"/>
          </w:tcPr>
          <w:p w14:paraId="64A8AF98" w14:textId="77777777" w:rsidR="008D6614" w:rsidRDefault="008D6614">
            <w:pPr>
              <w:rPr>
                <w:rFonts w:ascii="宋体"/>
                <w:vanish/>
              </w:rPr>
            </w:pPr>
          </w:p>
        </w:tc>
        <w:tc>
          <w:tcPr>
            <w:tcW w:w="0" w:type="auto"/>
            <w:gridSpan w:val="3"/>
            <w:shd w:val="clear" w:color="auto" w:fill="auto"/>
            <w:vAlign w:val="center"/>
          </w:tcPr>
          <w:p w14:paraId="64A8AF99" w14:textId="77777777" w:rsidR="008D6614" w:rsidRDefault="008D6614">
            <w:pPr>
              <w:rPr>
                <w:rFonts w:ascii="宋体"/>
                <w:vanish/>
              </w:rPr>
            </w:pPr>
          </w:p>
        </w:tc>
        <w:tc>
          <w:tcPr>
            <w:tcW w:w="0" w:type="auto"/>
            <w:shd w:val="clear" w:color="auto" w:fill="auto"/>
            <w:tcMar>
              <w:left w:w="20" w:type="dxa"/>
              <w:right w:w="20" w:type="dxa"/>
            </w:tcMar>
            <w:vAlign w:val="bottom"/>
          </w:tcPr>
          <w:p w14:paraId="64A8AF9A" w14:textId="77777777" w:rsidR="008D6614" w:rsidRDefault="008D6614">
            <w:pPr>
              <w:rPr>
                <w:rFonts w:ascii="宋体"/>
              </w:rPr>
            </w:pPr>
          </w:p>
        </w:tc>
        <w:tc>
          <w:tcPr>
            <w:tcW w:w="0" w:type="auto"/>
            <w:shd w:val="clear" w:color="auto" w:fill="auto"/>
            <w:tcMar>
              <w:left w:w="20" w:type="dxa"/>
              <w:right w:w="20" w:type="dxa"/>
            </w:tcMar>
            <w:vAlign w:val="bottom"/>
          </w:tcPr>
          <w:p w14:paraId="64A8AF9B" w14:textId="77777777" w:rsidR="008D6614" w:rsidRDefault="008D6614">
            <w:pPr>
              <w:rPr>
                <w:rFonts w:ascii="宋体"/>
              </w:rPr>
            </w:pPr>
          </w:p>
        </w:tc>
        <w:tc>
          <w:tcPr>
            <w:tcW w:w="0" w:type="auto"/>
            <w:shd w:val="clear" w:color="auto" w:fill="auto"/>
            <w:vAlign w:val="center"/>
          </w:tcPr>
          <w:p w14:paraId="64A8AF9C" w14:textId="77777777" w:rsidR="008D6614" w:rsidRDefault="008D6614">
            <w:pPr>
              <w:rPr>
                <w:rFonts w:ascii="宋体"/>
                <w:vanish/>
              </w:rPr>
            </w:pPr>
          </w:p>
        </w:tc>
        <w:tc>
          <w:tcPr>
            <w:tcW w:w="0" w:type="auto"/>
            <w:shd w:val="clear" w:color="auto" w:fill="auto"/>
            <w:vAlign w:val="center"/>
          </w:tcPr>
          <w:p w14:paraId="64A8AF9D" w14:textId="77777777" w:rsidR="008D6614" w:rsidRDefault="008D6614">
            <w:pPr>
              <w:rPr>
                <w:rFonts w:ascii="宋体"/>
                <w:vanish/>
              </w:rPr>
            </w:pPr>
          </w:p>
        </w:tc>
        <w:tc>
          <w:tcPr>
            <w:tcW w:w="0" w:type="auto"/>
            <w:shd w:val="clear" w:color="auto" w:fill="auto"/>
            <w:vAlign w:val="center"/>
          </w:tcPr>
          <w:p w14:paraId="64A8AF9E" w14:textId="77777777" w:rsidR="008D6614" w:rsidRDefault="008D6614">
            <w:pPr>
              <w:rPr>
                <w:rFonts w:ascii="宋体"/>
                <w:vanish/>
              </w:rPr>
            </w:pPr>
          </w:p>
        </w:tc>
        <w:tc>
          <w:tcPr>
            <w:tcW w:w="0" w:type="auto"/>
            <w:shd w:val="clear" w:color="auto" w:fill="auto"/>
            <w:vAlign w:val="center"/>
          </w:tcPr>
          <w:p w14:paraId="64A8AF9F" w14:textId="77777777" w:rsidR="008D6614" w:rsidRDefault="008D6614">
            <w:pPr>
              <w:rPr>
                <w:rFonts w:ascii="宋体"/>
                <w:vanish/>
              </w:rPr>
            </w:pPr>
          </w:p>
        </w:tc>
        <w:tc>
          <w:tcPr>
            <w:tcW w:w="0" w:type="auto"/>
            <w:gridSpan w:val="3"/>
            <w:shd w:val="clear" w:color="auto" w:fill="auto"/>
            <w:vAlign w:val="center"/>
          </w:tcPr>
          <w:p w14:paraId="64A8AFA0" w14:textId="77777777" w:rsidR="008D6614" w:rsidRDefault="008D6614">
            <w:pPr>
              <w:rPr>
                <w:rFonts w:ascii="宋体"/>
                <w:vanish/>
              </w:rPr>
            </w:pPr>
          </w:p>
        </w:tc>
        <w:tc>
          <w:tcPr>
            <w:tcW w:w="0" w:type="auto"/>
            <w:gridSpan w:val="3"/>
            <w:shd w:val="clear" w:color="auto" w:fill="auto"/>
            <w:vAlign w:val="center"/>
          </w:tcPr>
          <w:p w14:paraId="64A8AFA1" w14:textId="77777777" w:rsidR="008D6614" w:rsidRDefault="008D6614">
            <w:pPr>
              <w:rPr>
                <w:rFonts w:ascii="宋体"/>
                <w:vanish/>
              </w:rPr>
            </w:pPr>
          </w:p>
        </w:tc>
      </w:tr>
      <w:tr w:rsidR="008D6614" w14:paraId="64A8AFB5" w14:textId="77777777">
        <w:tc>
          <w:tcPr>
            <w:tcW w:w="0" w:type="auto"/>
            <w:gridSpan w:val="3"/>
            <w:shd w:val="clear" w:color="auto" w:fill="auto"/>
            <w:tcMar>
              <w:top w:w="40" w:type="dxa"/>
              <w:left w:w="20" w:type="dxa"/>
              <w:bottom w:w="40" w:type="dxa"/>
              <w:right w:w="20" w:type="dxa"/>
            </w:tcMar>
            <w:vAlign w:val="bottom"/>
          </w:tcPr>
          <w:p w14:paraId="64A8AFA3" w14:textId="77777777" w:rsidR="008D6614" w:rsidRDefault="00866AF2">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FA4" w14:textId="77777777" w:rsidR="008D6614" w:rsidRDefault="00866AF2">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64A8AFA5"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AFA6" w14:textId="77777777" w:rsidR="008D6614" w:rsidRDefault="00866AF2">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64A8AFA7"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AFA8" w14:textId="77777777" w:rsidR="008D6614" w:rsidRDefault="00866AF2">
            <w:pPr>
              <w:jc w:val="center"/>
              <w:textAlignment w:val="bottom"/>
            </w:pPr>
            <w:r>
              <w:rPr>
                <w:rFonts w:ascii="Arial" w:eastAsia="宋体" w:hAnsi="Arial" w:cs="Arial"/>
                <w:b/>
                <w:bCs/>
                <w:color w:val="000000"/>
                <w:sz w:val="14"/>
                <w:szCs w:val="14"/>
              </w:rPr>
              <w:t>% Change</w:t>
            </w:r>
          </w:p>
        </w:tc>
        <w:tc>
          <w:tcPr>
            <w:tcW w:w="0" w:type="auto"/>
            <w:shd w:val="clear" w:color="auto" w:fill="auto"/>
            <w:vAlign w:val="center"/>
          </w:tcPr>
          <w:p w14:paraId="64A8AFA9" w14:textId="77777777" w:rsidR="008D6614" w:rsidRDefault="008D6614">
            <w:pPr>
              <w:rPr>
                <w:rFonts w:ascii="宋体"/>
                <w:vanish/>
              </w:rPr>
            </w:pPr>
          </w:p>
        </w:tc>
        <w:tc>
          <w:tcPr>
            <w:tcW w:w="0" w:type="auto"/>
            <w:shd w:val="clear" w:color="auto" w:fill="auto"/>
            <w:vAlign w:val="center"/>
          </w:tcPr>
          <w:p w14:paraId="64A8AFAA" w14:textId="77777777" w:rsidR="008D6614" w:rsidRDefault="008D6614">
            <w:pPr>
              <w:rPr>
                <w:rFonts w:ascii="宋体"/>
                <w:vanish/>
              </w:rPr>
            </w:pPr>
          </w:p>
        </w:tc>
        <w:tc>
          <w:tcPr>
            <w:tcW w:w="0" w:type="auto"/>
            <w:shd w:val="clear" w:color="auto" w:fill="auto"/>
            <w:vAlign w:val="center"/>
          </w:tcPr>
          <w:p w14:paraId="64A8AFAB" w14:textId="77777777" w:rsidR="008D6614" w:rsidRDefault="008D6614">
            <w:pPr>
              <w:rPr>
                <w:rFonts w:ascii="宋体"/>
                <w:vanish/>
              </w:rPr>
            </w:pPr>
          </w:p>
        </w:tc>
        <w:tc>
          <w:tcPr>
            <w:tcW w:w="0" w:type="auto"/>
            <w:shd w:val="clear" w:color="auto" w:fill="auto"/>
            <w:vAlign w:val="center"/>
          </w:tcPr>
          <w:p w14:paraId="64A8AFAC" w14:textId="77777777" w:rsidR="008D6614" w:rsidRDefault="008D6614">
            <w:pPr>
              <w:rPr>
                <w:rFonts w:ascii="宋体"/>
                <w:vanish/>
              </w:rPr>
            </w:pPr>
          </w:p>
        </w:tc>
        <w:tc>
          <w:tcPr>
            <w:tcW w:w="0" w:type="auto"/>
            <w:shd w:val="clear" w:color="auto" w:fill="auto"/>
            <w:vAlign w:val="center"/>
          </w:tcPr>
          <w:p w14:paraId="64A8AFAD" w14:textId="77777777" w:rsidR="008D6614" w:rsidRDefault="008D6614">
            <w:pPr>
              <w:rPr>
                <w:rFonts w:ascii="宋体"/>
                <w:vanish/>
              </w:rPr>
            </w:pPr>
          </w:p>
        </w:tc>
        <w:tc>
          <w:tcPr>
            <w:tcW w:w="0" w:type="auto"/>
            <w:shd w:val="clear" w:color="auto" w:fill="auto"/>
            <w:vAlign w:val="center"/>
          </w:tcPr>
          <w:p w14:paraId="64A8AFAE" w14:textId="77777777" w:rsidR="008D6614" w:rsidRDefault="008D6614">
            <w:pPr>
              <w:rPr>
                <w:rFonts w:ascii="宋体"/>
                <w:vanish/>
              </w:rPr>
            </w:pPr>
          </w:p>
        </w:tc>
        <w:tc>
          <w:tcPr>
            <w:tcW w:w="0" w:type="auto"/>
            <w:shd w:val="clear" w:color="auto" w:fill="auto"/>
            <w:vAlign w:val="center"/>
          </w:tcPr>
          <w:p w14:paraId="64A8AFAF" w14:textId="77777777" w:rsidR="008D6614" w:rsidRDefault="008D6614">
            <w:pPr>
              <w:rPr>
                <w:rFonts w:ascii="宋体"/>
              </w:rPr>
            </w:pPr>
          </w:p>
        </w:tc>
        <w:tc>
          <w:tcPr>
            <w:tcW w:w="0" w:type="auto"/>
            <w:shd w:val="clear" w:color="auto" w:fill="auto"/>
            <w:vAlign w:val="center"/>
          </w:tcPr>
          <w:p w14:paraId="64A8AFB0" w14:textId="77777777" w:rsidR="008D6614" w:rsidRDefault="008D6614">
            <w:pPr>
              <w:rPr>
                <w:rFonts w:ascii="宋体"/>
              </w:rPr>
            </w:pPr>
          </w:p>
        </w:tc>
        <w:tc>
          <w:tcPr>
            <w:tcW w:w="0" w:type="auto"/>
            <w:shd w:val="clear" w:color="auto" w:fill="auto"/>
            <w:vAlign w:val="center"/>
          </w:tcPr>
          <w:p w14:paraId="64A8AFB1" w14:textId="77777777" w:rsidR="008D6614" w:rsidRDefault="008D6614">
            <w:pPr>
              <w:rPr>
                <w:rFonts w:ascii="宋体"/>
              </w:rPr>
            </w:pPr>
          </w:p>
        </w:tc>
        <w:tc>
          <w:tcPr>
            <w:tcW w:w="0" w:type="auto"/>
            <w:shd w:val="clear" w:color="auto" w:fill="auto"/>
            <w:vAlign w:val="center"/>
          </w:tcPr>
          <w:p w14:paraId="64A8AFB2" w14:textId="77777777" w:rsidR="008D6614" w:rsidRDefault="008D6614">
            <w:pPr>
              <w:rPr>
                <w:rFonts w:ascii="宋体"/>
              </w:rPr>
            </w:pPr>
          </w:p>
        </w:tc>
        <w:tc>
          <w:tcPr>
            <w:tcW w:w="0" w:type="auto"/>
            <w:shd w:val="clear" w:color="auto" w:fill="auto"/>
            <w:vAlign w:val="center"/>
          </w:tcPr>
          <w:p w14:paraId="64A8AFB3" w14:textId="77777777" w:rsidR="008D6614" w:rsidRDefault="008D6614">
            <w:pPr>
              <w:rPr>
                <w:rFonts w:ascii="宋体"/>
              </w:rPr>
            </w:pPr>
          </w:p>
        </w:tc>
        <w:tc>
          <w:tcPr>
            <w:tcW w:w="0" w:type="auto"/>
            <w:shd w:val="clear" w:color="auto" w:fill="auto"/>
            <w:vAlign w:val="center"/>
          </w:tcPr>
          <w:p w14:paraId="64A8AFB4" w14:textId="77777777" w:rsidR="008D6614" w:rsidRDefault="008D6614">
            <w:pPr>
              <w:rPr>
                <w:rFonts w:ascii="宋体"/>
              </w:rPr>
            </w:pPr>
          </w:p>
        </w:tc>
      </w:tr>
      <w:tr w:rsidR="008D6614" w14:paraId="64A8AFCD" w14:textId="77777777">
        <w:tc>
          <w:tcPr>
            <w:tcW w:w="0" w:type="auto"/>
            <w:gridSpan w:val="3"/>
            <w:shd w:val="clear" w:color="auto" w:fill="E2E2E2"/>
            <w:tcMar>
              <w:top w:w="40" w:type="dxa"/>
              <w:left w:w="20" w:type="dxa"/>
              <w:bottom w:w="40" w:type="dxa"/>
              <w:right w:w="20" w:type="dxa"/>
            </w:tcMar>
            <w:vAlign w:val="bottom"/>
          </w:tcPr>
          <w:p w14:paraId="64A8AFB6" w14:textId="77777777" w:rsidR="008D6614" w:rsidRDefault="00866AF2">
            <w:pPr>
              <w:textAlignment w:val="bottom"/>
            </w:pPr>
            <w:r>
              <w:rPr>
                <w:rFonts w:ascii="Arial" w:eastAsia="宋体" w:hAnsi="Arial" w:cs="Arial"/>
                <w:color w:val="000000"/>
                <w:sz w:val="16"/>
                <w:szCs w:val="16"/>
              </w:rPr>
              <w:t>Sales and marketing</w:t>
            </w:r>
          </w:p>
        </w:tc>
        <w:tc>
          <w:tcPr>
            <w:tcW w:w="0" w:type="auto"/>
            <w:tcBorders>
              <w:top w:val="single" w:sz="8" w:space="0" w:color="000000"/>
            </w:tcBorders>
            <w:shd w:val="clear" w:color="auto" w:fill="E2E2E2"/>
            <w:tcMar>
              <w:top w:w="40" w:type="dxa"/>
              <w:left w:w="20" w:type="dxa"/>
              <w:bottom w:w="40" w:type="dxa"/>
            </w:tcMar>
            <w:vAlign w:val="bottom"/>
          </w:tcPr>
          <w:p w14:paraId="64A8AFB7"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AFB8" w14:textId="77777777" w:rsidR="008D6614" w:rsidRDefault="00866AF2">
            <w:pPr>
              <w:jc w:val="right"/>
              <w:textAlignment w:val="bottom"/>
            </w:pPr>
            <w:r>
              <w:rPr>
                <w:rFonts w:ascii="Arial" w:eastAsia="宋体" w:hAnsi="Arial" w:cs="Arial"/>
                <w:color w:val="000000"/>
                <w:sz w:val="16"/>
                <w:szCs w:val="16"/>
              </w:rPr>
              <w:t>607 </w:t>
            </w:r>
          </w:p>
        </w:tc>
        <w:tc>
          <w:tcPr>
            <w:tcW w:w="0" w:type="auto"/>
            <w:tcBorders>
              <w:top w:val="single" w:sz="8" w:space="0" w:color="000000"/>
            </w:tcBorders>
            <w:shd w:val="clear" w:color="auto" w:fill="E2E2E2"/>
            <w:tcMar>
              <w:top w:w="40" w:type="dxa"/>
              <w:bottom w:w="40" w:type="dxa"/>
              <w:right w:w="20" w:type="dxa"/>
            </w:tcMar>
            <w:vAlign w:val="bottom"/>
          </w:tcPr>
          <w:p w14:paraId="64A8AFB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FBA"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AFBB"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AFBC" w14:textId="77777777" w:rsidR="008D6614" w:rsidRDefault="00866AF2">
            <w:pPr>
              <w:jc w:val="right"/>
              <w:textAlignment w:val="bottom"/>
            </w:pPr>
            <w:r>
              <w:rPr>
                <w:rFonts w:ascii="Arial" w:eastAsia="宋体" w:hAnsi="Arial" w:cs="Arial"/>
                <w:color w:val="000000"/>
                <w:sz w:val="16"/>
                <w:szCs w:val="16"/>
              </w:rPr>
              <w:t>647 </w:t>
            </w:r>
          </w:p>
        </w:tc>
        <w:tc>
          <w:tcPr>
            <w:tcW w:w="0" w:type="auto"/>
            <w:tcBorders>
              <w:top w:val="single" w:sz="8" w:space="0" w:color="000000"/>
            </w:tcBorders>
            <w:shd w:val="clear" w:color="auto" w:fill="E2E2E2"/>
            <w:tcMar>
              <w:top w:w="40" w:type="dxa"/>
              <w:bottom w:w="40" w:type="dxa"/>
              <w:right w:w="20" w:type="dxa"/>
            </w:tcMar>
            <w:vAlign w:val="bottom"/>
          </w:tcPr>
          <w:p w14:paraId="64A8AFB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FBE"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AFBF" w14:textId="77777777" w:rsidR="008D6614" w:rsidRDefault="00866AF2">
            <w:pPr>
              <w:jc w:val="right"/>
              <w:textAlignment w:val="bottom"/>
            </w:pPr>
            <w:r>
              <w:rPr>
                <w:rFonts w:ascii="Arial" w:eastAsia="宋体" w:hAnsi="Arial" w:cs="Arial"/>
                <w:color w:val="000000"/>
                <w:sz w:val="16"/>
                <w:szCs w:val="16"/>
              </w:rPr>
              <w:t>(6)</w:t>
            </w:r>
          </w:p>
        </w:tc>
        <w:tc>
          <w:tcPr>
            <w:tcW w:w="0" w:type="auto"/>
            <w:tcBorders>
              <w:top w:val="single" w:sz="8" w:space="0" w:color="000000"/>
            </w:tcBorders>
            <w:shd w:val="clear" w:color="auto" w:fill="E2E2E2"/>
            <w:tcMar>
              <w:top w:w="40" w:type="dxa"/>
              <w:bottom w:w="40" w:type="dxa"/>
              <w:right w:w="20" w:type="dxa"/>
            </w:tcMar>
            <w:vAlign w:val="bottom"/>
          </w:tcPr>
          <w:p w14:paraId="64A8AFC0"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FC1" w14:textId="77777777" w:rsidR="008D6614" w:rsidRDefault="008D6614">
            <w:pPr>
              <w:rPr>
                <w:rFonts w:ascii="宋体"/>
                <w:vanish/>
              </w:rPr>
            </w:pPr>
          </w:p>
        </w:tc>
        <w:tc>
          <w:tcPr>
            <w:tcW w:w="0" w:type="auto"/>
            <w:shd w:val="clear" w:color="auto" w:fill="auto"/>
            <w:vAlign w:val="center"/>
          </w:tcPr>
          <w:p w14:paraId="64A8AFC2" w14:textId="77777777" w:rsidR="008D6614" w:rsidRDefault="008D6614">
            <w:pPr>
              <w:rPr>
                <w:rFonts w:ascii="宋体"/>
                <w:vanish/>
              </w:rPr>
            </w:pPr>
          </w:p>
        </w:tc>
        <w:tc>
          <w:tcPr>
            <w:tcW w:w="0" w:type="auto"/>
            <w:shd w:val="clear" w:color="auto" w:fill="auto"/>
            <w:vAlign w:val="center"/>
          </w:tcPr>
          <w:p w14:paraId="64A8AFC3" w14:textId="77777777" w:rsidR="008D6614" w:rsidRDefault="008D6614">
            <w:pPr>
              <w:rPr>
                <w:rFonts w:ascii="宋体"/>
                <w:vanish/>
              </w:rPr>
            </w:pPr>
          </w:p>
        </w:tc>
        <w:tc>
          <w:tcPr>
            <w:tcW w:w="0" w:type="auto"/>
            <w:shd w:val="clear" w:color="auto" w:fill="auto"/>
            <w:vAlign w:val="center"/>
          </w:tcPr>
          <w:p w14:paraId="64A8AFC4" w14:textId="77777777" w:rsidR="008D6614" w:rsidRDefault="008D6614">
            <w:pPr>
              <w:rPr>
                <w:rFonts w:ascii="宋体"/>
                <w:vanish/>
              </w:rPr>
            </w:pPr>
          </w:p>
        </w:tc>
        <w:tc>
          <w:tcPr>
            <w:tcW w:w="0" w:type="auto"/>
            <w:shd w:val="clear" w:color="auto" w:fill="auto"/>
            <w:vAlign w:val="center"/>
          </w:tcPr>
          <w:p w14:paraId="64A8AFC5" w14:textId="77777777" w:rsidR="008D6614" w:rsidRDefault="008D6614">
            <w:pPr>
              <w:rPr>
                <w:rFonts w:ascii="宋体"/>
                <w:vanish/>
              </w:rPr>
            </w:pPr>
          </w:p>
        </w:tc>
        <w:tc>
          <w:tcPr>
            <w:tcW w:w="0" w:type="auto"/>
            <w:shd w:val="clear" w:color="auto" w:fill="auto"/>
            <w:vAlign w:val="center"/>
          </w:tcPr>
          <w:p w14:paraId="64A8AFC6" w14:textId="77777777" w:rsidR="008D6614" w:rsidRDefault="008D6614">
            <w:pPr>
              <w:rPr>
                <w:rFonts w:ascii="宋体"/>
                <w:vanish/>
              </w:rPr>
            </w:pPr>
          </w:p>
        </w:tc>
        <w:tc>
          <w:tcPr>
            <w:tcW w:w="0" w:type="auto"/>
            <w:shd w:val="clear" w:color="auto" w:fill="auto"/>
            <w:vAlign w:val="center"/>
          </w:tcPr>
          <w:p w14:paraId="64A8AFC7" w14:textId="77777777" w:rsidR="008D6614" w:rsidRDefault="008D6614">
            <w:pPr>
              <w:rPr>
                <w:rFonts w:ascii="宋体"/>
              </w:rPr>
            </w:pPr>
          </w:p>
        </w:tc>
        <w:tc>
          <w:tcPr>
            <w:tcW w:w="0" w:type="auto"/>
            <w:shd w:val="clear" w:color="auto" w:fill="auto"/>
            <w:vAlign w:val="center"/>
          </w:tcPr>
          <w:p w14:paraId="64A8AFC8" w14:textId="77777777" w:rsidR="008D6614" w:rsidRDefault="008D6614">
            <w:pPr>
              <w:rPr>
                <w:rFonts w:ascii="宋体"/>
              </w:rPr>
            </w:pPr>
          </w:p>
        </w:tc>
        <w:tc>
          <w:tcPr>
            <w:tcW w:w="0" w:type="auto"/>
            <w:shd w:val="clear" w:color="auto" w:fill="auto"/>
            <w:vAlign w:val="center"/>
          </w:tcPr>
          <w:p w14:paraId="64A8AFC9" w14:textId="77777777" w:rsidR="008D6614" w:rsidRDefault="008D6614">
            <w:pPr>
              <w:rPr>
                <w:rFonts w:ascii="宋体"/>
              </w:rPr>
            </w:pPr>
          </w:p>
        </w:tc>
        <w:tc>
          <w:tcPr>
            <w:tcW w:w="0" w:type="auto"/>
            <w:shd w:val="clear" w:color="auto" w:fill="auto"/>
            <w:vAlign w:val="center"/>
          </w:tcPr>
          <w:p w14:paraId="64A8AFCA" w14:textId="77777777" w:rsidR="008D6614" w:rsidRDefault="008D6614">
            <w:pPr>
              <w:rPr>
                <w:rFonts w:ascii="宋体"/>
              </w:rPr>
            </w:pPr>
          </w:p>
        </w:tc>
        <w:tc>
          <w:tcPr>
            <w:tcW w:w="0" w:type="auto"/>
            <w:shd w:val="clear" w:color="auto" w:fill="auto"/>
            <w:vAlign w:val="center"/>
          </w:tcPr>
          <w:p w14:paraId="64A8AFCB" w14:textId="77777777" w:rsidR="008D6614" w:rsidRDefault="008D6614">
            <w:pPr>
              <w:rPr>
                <w:rFonts w:ascii="宋体"/>
              </w:rPr>
            </w:pPr>
          </w:p>
        </w:tc>
        <w:tc>
          <w:tcPr>
            <w:tcW w:w="0" w:type="auto"/>
            <w:shd w:val="clear" w:color="auto" w:fill="auto"/>
            <w:vAlign w:val="center"/>
          </w:tcPr>
          <w:p w14:paraId="64A8AFCC" w14:textId="77777777" w:rsidR="008D6614" w:rsidRDefault="008D6614">
            <w:pPr>
              <w:rPr>
                <w:rFonts w:ascii="宋体"/>
              </w:rPr>
            </w:pPr>
          </w:p>
        </w:tc>
      </w:tr>
      <w:tr w:rsidR="008D6614" w14:paraId="64A8AFE2" w14:textId="77777777">
        <w:tc>
          <w:tcPr>
            <w:tcW w:w="0" w:type="auto"/>
            <w:gridSpan w:val="3"/>
            <w:shd w:val="clear" w:color="auto" w:fill="FFFFFF"/>
            <w:tcMar>
              <w:top w:w="40" w:type="dxa"/>
              <w:left w:w="135" w:type="dxa"/>
              <w:bottom w:w="40" w:type="dxa"/>
              <w:right w:w="20" w:type="dxa"/>
            </w:tcMar>
            <w:vAlign w:val="bottom"/>
          </w:tcPr>
          <w:p w14:paraId="64A8AFCE" w14:textId="77777777" w:rsidR="008D6614" w:rsidRDefault="00866AF2">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A8AFCF" w14:textId="77777777" w:rsidR="008D6614" w:rsidRDefault="00866AF2">
            <w:pPr>
              <w:jc w:val="right"/>
              <w:textAlignment w:val="bottom"/>
            </w:pPr>
            <w:r>
              <w:rPr>
                <w:rFonts w:ascii="Arial" w:eastAsia="宋体" w:hAnsi="Arial" w:cs="Arial"/>
                <w:i/>
                <w:iCs/>
                <w:color w:val="000000"/>
                <w:sz w:val="16"/>
                <w:szCs w:val="16"/>
              </w:rPr>
              <w:t>26 </w:t>
            </w:r>
          </w:p>
        </w:tc>
        <w:tc>
          <w:tcPr>
            <w:tcW w:w="0" w:type="auto"/>
            <w:shd w:val="clear" w:color="auto" w:fill="FFFFFF"/>
            <w:tcMar>
              <w:top w:w="40" w:type="dxa"/>
              <w:bottom w:w="40" w:type="dxa"/>
              <w:right w:w="20" w:type="dxa"/>
            </w:tcMar>
            <w:vAlign w:val="bottom"/>
          </w:tcPr>
          <w:p w14:paraId="64A8AFD0"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FD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FD2" w14:textId="77777777" w:rsidR="008D6614" w:rsidRDefault="00866AF2">
            <w:pPr>
              <w:jc w:val="right"/>
              <w:textAlignment w:val="bottom"/>
            </w:pPr>
            <w:r>
              <w:rPr>
                <w:rFonts w:ascii="Arial" w:eastAsia="宋体" w:hAnsi="Arial" w:cs="Arial"/>
                <w:i/>
                <w:iCs/>
                <w:color w:val="000000"/>
                <w:sz w:val="16"/>
                <w:szCs w:val="16"/>
              </w:rPr>
              <w:t>27 </w:t>
            </w:r>
          </w:p>
        </w:tc>
        <w:tc>
          <w:tcPr>
            <w:tcW w:w="0" w:type="auto"/>
            <w:shd w:val="clear" w:color="auto" w:fill="FFFFFF"/>
            <w:tcMar>
              <w:top w:w="40" w:type="dxa"/>
              <w:bottom w:w="40" w:type="dxa"/>
              <w:right w:w="20" w:type="dxa"/>
            </w:tcMar>
            <w:vAlign w:val="bottom"/>
          </w:tcPr>
          <w:p w14:paraId="64A8AFD3"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FD4"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AFD5" w14:textId="77777777" w:rsidR="008D6614" w:rsidRDefault="008D6614">
            <w:pPr>
              <w:rPr>
                <w:rFonts w:ascii="宋体"/>
              </w:rPr>
            </w:pPr>
          </w:p>
        </w:tc>
        <w:tc>
          <w:tcPr>
            <w:tcW w:w="0" w:type="auto"/>
            <w:shd w:val="clear" w:color="auto" w:fill="auto"/>
            <w:vAlign w:val="center"/>
          </w:tcPr>
          <w:p w14:paraId="64A8AFD6" w14:textId="77777777" w:rsidR="008D6614" w:rsidRDefault="008D6614">
            <w:pPr>
              <w:rPr>
                <w:rFonts w:ascii="宋体"/>
                <w:vanish/>
              </w:rPr>
            </w:pPr>
          </w:p>
        </w:tc>
        <w:tc>
          <w:tcPr>
            <w:tcW w:w="0" w:type="auto"/>
            <w:shd w:val="clear" w:color="auto" w:fill="auto"/>
            <w:vAlign w:val="center"/>
          </w:tcPr>
          <w:p w14:paraId="64A8AFD7" w14:textId="77777777" w:rsidR="008D6614" w:rsidRDefault="008D6614">
            <w:pPr>
              <w:rPr>
                <w:rFonts w:ascii="宋体"/>
                <w:vanish/>
              </w:rPr>
            </w:pPr>
          </w:p>
        </w:tc>
        <w:tc>
          <w:tcPr>
            <w:tcW w:w="0" w:type="auto"/>
            <w:shd w:val="clear" w:color="auto" w:fill="auto"/>
            <w:vAlign w:val="center"/>
          </w:tcPr>
          <w:p w14:paraId="64A8AFD8" w14:textId="77777777" w:rsidR="008D6614" w:rsidRDefault="008D6614">
            <w:pPr>
              <w:rPr>
                <w:rFonts w:ascii="宋体"/>
                <w:vanish/>
              </w:rPr>
            </w:pPr>
          </w:p>
        </w:tc>
        <w:tc>
          <w:tcPr>
            <w:tcW w:w="0" w:type="auto"/>
            <w:shd w:val="clear" w:color="auto" w:fill="auto"/>
            <w:vAlign w:val="center"/>
          </w:tcPr>
          <w:p w14:paraId="64A8AFD9" w14:textId="77777777" w:rsidR="008D6614" w:rsidRDefault="008D6614">
            <w:pPr>
              <w:rPr>
                <w:rFonts w:ascii="宋体"/>
                <w:vanish/>
              </w:rPr>
            </w:pPr>
          </w:p>
        </w:tc>
        <w:tc>
          <w:tcPr>
            <w:tcW w:w="0" w:type="auto"/>
            <w:shd w:val="clear" w:color="auto" w:fill="auto"/>
            <w:vAlign w:val="center"/>
          </w:tcPr>
          <w:p w14:paraId="64A8AFDA" w14:textId="77777777" w:rsidR="008D6614" w:rsidRDefault="008D6614">
            <w:pPr>
              <w:rPr>
                <w:rFonts w:ascii="宋体"/>
                <w:vanish/>
              </w:rPr>
            </w:pPr>
          </w:p>
        </w:tc>
        <w:tc>
          <w:tcPr>
            <w:tcW w:w="0" w:type="auto"/>
            <w:shd w:val="clear" w:color="auto" w:fill="auto"/>
            <w:vAlign w:val="center"/>
          </w:tcPr>
          <w:p w14:paraId="64A8AFDB" w14:textId="77777777" w:rsidR="008D6614" w:rsidRDefault="008D6614">
            <w:pPr>
              <w:rPr>
                <w:rFonts w:ascii="宋体"/>
                <w:vanish/>
              </w:rPr>
            </w:pPr>
          </w:p>
        </w:tc>
        <w:tc>
          <w:tcPr>
            <w:tcW w:w="0" w:type="auto"/>
            <w:shd w:val="clear" w:color="auto" w:fill="auto"/>
            <w:vAlign w:val="center"/>
          </w:tcPr>
          <w:p w14:paraId="64A8AFDC" w14:textId="77777777" w:rsidR="008D6614" w:rsidRDefault="008D6614">
            <w:pPr>
              <w:rPr>
                <w:rFonts w:ascii="宋体"/>
              </w:rPr>
            </w:pPr>
          </w:p>
        </w:tc>
        <w:tc>
          <w:tcPr>
            <w:tcW w:w="0" w:type="auto"/>
            <w:shd w:val="clear" w:color="auto" w:fill="auto"/>
            <w:vAlign w:val="center"/>
          </w:tcPr>
          <w:p w14:paraId="64A8AFDD" w14:textId="77777777" w:rsidR="008D6614" w:rsidRDefault="008D6614">
            <w:pPr>
              <w:rPr>
                <w:rFonts w:ascii="宋体"/>
              </w:rPr>
            </w:pPr>
          </w:p>
        </w:tc>
        <w:tc>
          <w:tcPr>
            <w:tcW w:w="0" w:type="auto"/>
            <w:shd w:val="clear" w:color="auto" w:fill="auto"/>
            <w:vAlign w:val="center"/>
          </w:tcPr>
          <w:p w14:paraId="64A8AFDE" w14:textId="77777777" w:rsidR="008D6614" w:rsidRDefault="008D6614">
            <w:pPr>
              <w:rPr>
                <w:rFonts w:ascii="宋体"/>
              </w:rPr>
            </w:pPr>
          </w:p>
        </w:tc>
        <w:tc>
          <w:tcPr>
            <w:tcW w:w="0" w:type="auto"/>
            <w:shd w:val="clear" w:color="auto" w:fill="auto"/>
            <w:vAlign w:val="center"/>
          </w:tcPr>
          <w:p w14:paraId="64A8AFDF" w14:textId="77777777" w:rsidR="008D6614" w:rsidRDefault="008D6614">
            <w:pPr>
              <w:rPr>
                <w:rFonts w:ascii="宋体"/>
              </w:rPr>
            </w:pPr>
          </w:p>
        </w:tc>
        <w:tc>
          <w:tcPr>
            <w:tcW w:w="0" w:type="auto"/>
            <w:shd w:val="clear" w:color="auto" w:fill="auto"/>
            <w:vAlign w:val="center"/>
          </w:tcPr>
          <w:p w14:paraId="64A8AFE0" w14:textId="77777777" w:rsidR="008D6614" w:rsidRDefault="008D6614">
            <w:pPr>
              <w:rPr>
                <w:rFonts w:ascii="宋体"/>
              </w:rPr>
            </w:pPr>
          </w:p>
        </w:tc>
        <w:tc>
          <w:tcPr>
            <w:tcW w:w="0" w:type="auto"/>
            <w:shd w:val="clear" w:color="auto" w:fill="auto"/>
            <w:vAlign w:val="center"/>
          </w:tcPr>
          <w:p w14:paraId="64A8AFE1" w14:textId="77777777" w:rsidR="008D6614" w:rsidRDefault="008D6614">
            <w:pPr>
              <w:rPr>
                <w:rFonts w:ascii="宋体"/>
              </w:rPr>
            </w:pPr>
          </w:p>
        </w:tc>
      </w:tr>
      <w:tr w:rsidR="008D6614" w14:paraId="64A8AFF8" w14:textId="77777777">
        <w:tc>
          <w:tcPr>
            <w:tcW w:w="0" w:type="auto"/>
            <w:gridSpan w:val="3"/>
            <w:shd w:val="clear" w:color="auto" w:fill="E2E2E2"/>
            <w:tcMar>
              <w:top w:w="40" w:type="dxa"/>
              <w:left w:w="20" w:type="dxa"/>
              <w:bottom w:w="40" w:type="dxa"/>
              <w:right w:w="20" w:type="dxa"/>
            </w:tcMar>
            <w:vAlign w:val="bottom"/>
          </w:tcPr>
          <w:p w14:paraId="64A8AFE3" w14:textId="77777777" w:rsidR="008D6614" w:rsidRDefault="00866AF2">
            <w:pPr>
              <w:textAlignment w:val="bottom"/>
            </w:pPr>
            <w:r>
              <w:rPr>
                <w:rFonts w:ascii="Arial" w:eastAsia="宋体" w:hAnsi="Arial" w:cs="Arial"/>
                <w:color w:val="000000"/>
                <w:sz w:val="16"/>
                <w:szCs w:val="16"/>
              </w:rPr>
              <w:t>Product development</w:t>
            </w:r>
          </w:p>
        </w:tc>
        <w:tc>
          <w:tcPr>
            <w:tcW w:w="0" w:type="auto"/>
            <w:gridSpan w:val="2"/>
            <w:shd w:val="clear" w:color="auto" w:fill="E2E2E2"/>
            <w:tcMar>
              <w:top w:w="40" w:type="dxa"/>
              <w:left w:w="20" w:type="dxa"/>
              <w:bottom w:w="40" w:type="dxa"/>
              <w:right w:w="0" w:type="dxa"/>
            </w:tcMar>
            <w:vAlign w:val="bottom"/>
          </w:tcPr>
          <w:p w14:paraId="64A8AFE4" w14:textId="77777777" w:rsidR="008D6614" w:rsidRDefault="00866AF2">
            <w:pPr>
              <w:jc w:val="right"/>
              <w:textAlignment w:val="bottom"/>
            </w:pPr>
            <w:r>
              <w:rPr>
                <w:rFonts w:ascii="Arial" w:eastAsia="宋体" w:hAnsi="Arial" w:cs="Arial"/>
                <w:color w:val="000000"/>
                <w:sz w:val="16"/>
                <w:szCs w:val="16"/>
              </w:rPr>
              <w:t>267 </w:t>
            </w:r>
          </w:p>
        </w:tc>
        <w:tc>
          <w:tcPr>
            <w:tcW w:w="0" w:type="auto"/>
            <w:shd w:val="clear" w:color="auto" w:fill="E2E2E2"/>
            <w:tcMar>
              <w:top w:w="40" w:type="dxa"/>
              <w:bottom w:w="40" w:type="dxa"/>
              <w:right w:w="20" w:type="dxa"/>
            </w:tcMar>
            <w:vAlign w:val="bottom"/>
          </w:tcPr>
          <w:p w14:paraId="64A8AFE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FE6"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FE7" w14:textId="77777777" w:rsidR="008D6614" w:rsidRDefault="00866AF2">
            <w:pPr>
              <w:jc w:val="right"/>
              <w:textAlignment w:val="bottom"/>
            </w:pPr>
            <w:r>
              <w:rPr>
                <w:rFonts w:ascii="Arial" w:eastAsia="宋体" w:hAnsi="Arial" w:cs="Arial"/>
                <w:color w:val="000000"/>
                <w:sz w:val="16"/>
                <w:szCs w:val="16"/>
              </w:rPr>
              <w:t>272 </w:t>
            </w:r>
          </w:p>
        </w:tc>
        <w:tc>
          <w:tcPr>
            <w:tcW w:w="0" w:type="auto"/>
            <w:shd w:val="clear" w:color="auto" w:fill="E2E2E2"/>
            <w:tcMar>
              <w:top w:w="40" w:type="dxa"/>
              <w:bottom w:w="40" w:type="dxa"/>
              <w:right w:w="20" w:type="dxa"/>
            </w:tcMar>
            <w:vAlign w:val="bottom"/>
          </w:tcPr>
          <w:p w14:paraId="64A8AFE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AFE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AFEA" w14:textId="77777777" w:rsidR="008D6614" w:rsidRDefault="00866AF2">
            <w:pPr>
              <w:jc w:val="right"/>
              <w:textAlignment w:val="bottom"/>
            </w:pPr>
            <w:r>
              <w:rPr>
                <w:rFonts w:ascii="Arial" w:eastAsia="宋体" w:hAnsi="Arial" w:cs="Arial"/>
                <w:color w:val="000000"/>
                <w:sz w:val="16"/>
                <w:szCs w:val="16"/>
              </w:rPr>
              <w:t>(2)</w:t>
            </w:r>
          </w:p>
        </w:tc>
        <w:tc>
          <w:tcPr>
            <w:tcW w:w="0" w:type="auto"/>
            <w:shd w:val="clear" w:color="auto" w:fill="E2E2E2"/>
            <w:tcMar>
              <w:top w:w="40" w:type="dxa"/>
              <w:bottom w:w="40" w:type="dxa"/>
              <w:right w:w="20" w:type="dxa"/>
            </w:tcMar>
            <w:vAlign w:val="bottom"/>
          </w:tcPr>
          <w:p w14:paraId="64A8AFEB"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AFEC" w14:textId="77777777" w:rsidR="008D6614" w:rsidRDefault="008D6614">
            <w:pPr>
              <w:rPr>
                <w:rFonts w:ascii="宋体"/>
                <w:vanish/>
              </w:rPr>
            </w:pPr>
          </w:p>
        </w:tc>
        <w:tc>
          <w:tcPr>
            <w:tcW w:w="0" w:type="auto"/>
            <w:shd w:val="clear" w:color="auto" w:fill="auto"/>
            <w:vAlign w:val="center"/>
          </w:tcPr>
          <w:p w14:paraId="64A8AFED" w14:textId="77777777" w:rsidR="008D6614" w:rsidRDefault="008D6614">
            <w:pPr>
              <w:rPr>
                <w:rFonts w:ascii="宋体"/>
                <w:vanish/>
              </w:rPr>
            </w:pPr>
          </w:p>
        </w:tc>
        <w:tc>
          <w:tcPr>
            <w:tcW w:w="0" w:type="auto"/>
            <w:shd w:val="clear" w:color="auto" w:fill="auto"/>
            <w:vAlign w:val="center"/>
          </w:tcPr>
          <w:p w14:paraId="64A8AFEE" w14:textId="77777777" w:rsidR="008D6614" w:rsidRDefault="008D6614">
            <w:pPr>
              <w:rPr>
                <w:rFonts w:ascii="宋体"/>
                <w:vanish/>
              </w:rPr>
            </w:pPr>
          </w:p>
        </w:tc>
        <w:tc>
          <w:tcPr>
            <w:tcW w:w="0" w:type="auto"/>
            <w:shd w:val="clear" w:color="auto" w:fill="auto"/>
            <w:vAlign w:val="center"/>
          </w:tcPr>
          <w:p w14:paraId="64A8AFEF" w14:textId="77777777" w:rsidR="008D6614" w:rsidRDefault="008D6614">
            <w:pPr>
              <w:rPr>
                <w:rFonts w:ascii="宋体"/>
                <w:vanish/>
              </w:rPr>
            </w:pPr>
          </w:p>
        </w:tc>
        <w:tc>
          <w:tcPr>
            <w:tcW w:w="0" w:type="auto"/>
            <w:shd w:val="clear" w:color="auto" w:fill="auto"/>
            <w:vAlign w:val="center"/>
          </w:tcPr>
          <w:p w14:paraId="64A8AFF0" w14:textId="77777777" w:rsidR="008D6614" w:rsidRDefault="008D6614">
            <w:pPr>
              <w:rPr>
                <w:rFonts w:ascii="宋体"/>
                <w:vanish/>
              </w:rPr>
            </w:pPr>
          </w:p>
        </w:tc>
        <w:tc>
          <w:tcPr>
            <w:tcW w:w="0" w:type="auto"/>
            <w:shd w:val="clear" w:color="auto" w:fill="auto"/>
            <w:vAlign w:val="center"/>
          </w:tcPr>
          <w:p w14:paraId="64A8AFF1" w14:textId="77777777" w:rsidR="008D6614" w:rsidRDefault="008D6614">
            <w:pPr>
              <w:rPr>
                <w:rFonts w:ascii="宋体"/>
                <w:vanish/>
              </w:rPr>
            </w:pPr>
          </w:p>
        </w:tc>
        <w:tc>
          <w:tcPr>
            <w:tcW w:w="0" w:type="auto"/>
            <w:shd w:val="clear" w:color="auto" w:fill="auto"/>
            <w:vAlign w:val="center"/>
          </w:tcPr>
          <w:p w14:paraId="64A8AFF2" w14:textId="77777777" w:rsidR="008D6614" w:rsidRDefault="008D6614">
            <w:pPr>
              <w:rPr>
                <w:rFonts w:ascii="宋体"/>
              </w:rPr>
            </w:pPr>
          </w:p>
        </w:tc>
        <w:tc>
          <w:tcPr>
            <w:tcW w:w="0" w:type="auto"/>
            <w:shd w:val="clear" w:color="auto" w:fill="auto"/>
            <w:vAlign w:val="center"/>
          </w:tcPr>
          <w:p w14:paraId="64A8AFF3" w14:textId="77777777" w:rsidR="008D6614" w:rsidRDefault="008D6614">
            <w:pPr>
              <w:rPr>
                <w:rFonts w:ascii="宋体"/>
              </w:rPr>
            </w:pPr>
          </w:p>
        </w:tc>
        <w:tc>
          <w:tcPr>
            <w:tcW w:w="0" w:type="auto"/>
            <w:shd w:val="clear" w:color="auto" w:fill="auto"/>
            <w:vAlign w:val="center"/>
          </w:tcPr>
          <w:p w14:paraId="64A8AFF4" w14:textId="77777777" w:rsidR="008D6614" w:rsidRDefault="008D6614">
            <w:pPr>
              <w:rPr>
                <w:rFonts w:ascii="宋体"/>
              </w:rPr>
            </w:pPr>
          </w:p>
        </w:tc>
        <w:tc>
          <w:tcPr>
            <w:tcW w:w="0" w:type="auto"/>
            <w:shd w:val="clear" w:color="auto" w:fill="auto"/>
            <w:vAlign w:val="center"/>
          </w:tcPr>
          <w:p w14:paraId="64A8AFF5" w14:textId="77777777" w:rsidR="008D6614" w:rsidRDefault="008D6614">
            <w:pPr>
              <w:rPr>
                <w:rFonts w:ascii="宋体"/>
              </w:rPr>
            </w:pPr>
          </w:p>
        </w:tc>
        <w:tc>
          <w:tcPr>
            <w:tcW w:w="0" w:type="auto"/>
            <w:shd w:val="clear" w:color="auto" w:fill="auto"/>
            <w:vAlign w:val="center"/>
          </w:tcPr>
          <w:p w14:paraId="64A8AFF6" w14:textId="77777777" w:rsidR="008D6614" w:rsidRDefault="008D6614">
            <w:pPr>
              <w:rPr>
                <w:rFonts w:ascii="宋体"/>
              </w:rPr>
            </w:pPr>
          </w:p>
        </w:tc>
        <w:tc>
          <w:tcPr>
            <w:tcW w:w="0" w:type="auto"/>
            <w:shd w:val="clear" w:color="auto" w:fill="auto"/>
            <w:vAlign w:val="center"/>
          </w:tcPr>
          <w:p w14:paraId="64A8AFF7" w14:textId="77777777" w:rsidR="008D6614" w:rsidRDefault="008D6614">
            <w:pPr>
              <w:rPr>
                <w:rFonts w:ascii="宋体"/>
              </w:rPr>
            </w:pPr>
          </w:p>
        </w:tc>
      </w:tr>
      <w:tr w:rsidR="008D6614" w14:paraId="64A8B00D" w14:textId="77777777">
        <w:tc>
          <w:tcPr>
            <w:tcW w:w="0" w:type="auto"/>
            <w:gridSpan w:val="3"/>
            <w:shd w:val="clear" w:color="auto" w:fill="FFFFFF"/>
            <w:tcMar>
              <w:top w:w="40" w:type="dxa"/>
              <w:left w:w="135" w:type="dxa"/>
              <w:bottom w:w="40" w:type="dxa"/>
              <w:right w:w="20" w:type="dxa"/>
            </w:tcMar>
            <w:vAlign w:val="bottom"/>
          </w:tcPr>
          <w:p w14:paraId="64A8AFF9" w14:textId="77777777" w:rsidR="008D6614" w:rsidRDefault="00866AF2">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A8AFFA" w14:textId="77777777" w:rsidR="008D6614" w:rsidRDefault="00866AF2">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bottom w:w="40" w:type="dxa"/>
              <w:right w:w="20" w:type="dxa"/>
            </w:tcMar>
            <w:vAlign w:val="bottom"/>
          </w:tcPr>
          <w:p w14:paraId="64A8AFFB"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FF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AFFD" w14:textId="77777777" w:rsidR="008D6614" w:rsidRDefault="00866AF2">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bottom w:w="40" w:type="dxa"/>
              <w:right w:w="20" w:type="dxa"/>
            </w:tcMar>
            <w:vAlign w:val="bottom"/>
          </w:tcPr>
          <w:p w14:paraId="64A8AFFE"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AFF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000" w14:textId="77777777" w:rsidR="008D6614" w:rsidRDefault="008D6614">
            <w:pPr>
              <w:rPr>
                <w:rFonts w:ascii="宋体"/>
              </w:rPr>
            </w:pPr>
          </w:p>
        </w:tc>
        <w:tc>
          <w:tcPr>
            <w:tcW w:w="0" w:type="auto"/>
            <w:shd w:val="clear" w:color="auto" w:fill="auto"/>
            <w:vAlign w:val="center"/>
          </w:tcPr>
          <w:p w14:paraId="64A8B001" w14:textId="77777777" w:rsidR="008D6614" w:rsidRDefault="008D6614">
            <w:pPr>
              <w:rPr>
                <w:rFonts w:ascii="宋体"/>
                <w:vanish/>
              </w:rPr>
            </w:pPr>
          </w:p>
        </w:tc>
        <w:tc>
          <w:tcPr>
            <w:tcW w:w="0" w:type="auto"/>
            <w:shd w:val="clear" w:color="auto" w:fill="auto"/>
            <w:vAlign w:val="center"/>
          </w:tcPr>
          <w:p w14:paraId="64A8B002" w14:textId="77777777" w:rsidR="008D6614" w:rsidRDefault="008D6614">
            <w:pPr>
              <w:rPr>
                <w:rFonts w:ascii="宋体"/>
                <w:vanish/>
              </w:rPr>
            </w:pPr>
          </w:p>
        </w:tc>
        <w:tc>
          <w:tcPr>
            <w:tcW w:w="0" w:type="auto"/>
            <w:shd w:val="clear" w:color="auto" w:fill="auto"/>
            <w:vAlign w:val="center"/>
          </w:tcPr>
          <w:p w14:paraId="64A8B003" w14:textId="77777777" w:rsidR="008D6614" w:rsidRDefault="008D6614">
            <w:pPr>
              <w:rPr>
                <w:rFonts w:ascii="宋体"/>
                <w:vanish/>
              </w:rPr>
            </w:pPr>
          </w:p>
        </w:tc>
        <w:tc>
          <w:tcPr>
            <w:tcW w:w="0" w:type="auto"/>
            <w:shd w:val="clear" w:color="auto" w:fill="auto"/>
            <w:vAlign w:val="center"/>
          </w:tcPr>
          <w:p w14:paraId="64A8B004" w14:textId="77777777" w:rsidR="008D6614" w:rsidRDefault="008D6614">
            <w:pPr>
              <w:rPr>
                <w:rFonts w:ascii="宋体"/>
                <w:vanish/>
              </w:rPr>
            </w:pPr>
          </w:p>
        </w:tc>
        <w:tc>
          <w:tcPr>
            <w:tcW w:w="0" w:type="auto"/>
            <w:shd w:val="clear" w:color="auto" w:fill="auto"/>
            <w:vAlign w:val="center"/>
          </w:tcPr>
          <w:p w14:paraId="64A8B005" w14:textId="77777777" w:rsidR="008D6614" w:rsidRDefault="008D6614">
            <w:pPr>
              <w:rPr>
                <w:rFonts w:ascii="宋体"/>
                <w:vanish/>
              </w:rPr>
            </w:pPr>
          </w:p>
        </w:tc>
        <w:tc>
          <w:tcPr>
            <w:tcW w:w="0" w:type="auto"/>
            <w:shd w:val="clear" w:color="auto" w:fill="auto"/>
            <w:vAlign w:val="center"/>
          </w:tcPr>
          <w:p w14:paraId="64A8B006" w14:textId="77777777" w:rsidR="008D6614" w:rsidRDefault="008D6614">
            <w:pPr>
              <w:rPr>
                <w:rFonts w:ascii="宋体"/>
                <w:vanish/>
              </w:rPr>
            </w:pPr>
          </w:p>
        </w:tc>
        <w:tc>
          <w:tcPr>
            <w:tcW w:w="0" w:type="auto"/>
            <w:shd w:val="clear" w:color="auto" w:fill="auto"/>
            <w:vAlign w:val="center"/>
          </w:tcPr>
          <w:p w14:paraId="64A8B007" w14:textId="77777777" w:rsidR="008D6614" w:rsidRDefault="008D6614">
            <w:pPr>
              <w:rPr>
                <w:rFonts w:ascii="宋体"/>
              </w:rPr>
            </w:pPr>
          </w:p>
        </w:tc>
        <w:tc>
          <w:tcPr>
            <w:tcW w:w="0" w:type="auto"/>
            <w:shd w:val="clear" w:color="auto" w:fill="auto"/>
            <w:vAlign w:val="center"/>
          </w:tcPr>
          <w:p w14:paraId="64A8B008" w14:textId="77777777" w:rsidR="008D6614" w:rsidRDefault="008D6614">
            <w:pPr>
              <w:rPr>
                <w:rFonts w:ascii="宋体"/>
              </w:rPr>
            </w:pPr>
          </w:p>
        </w:tc>
        <w:tc>
          <w:tcPr>
            <w:tcW w:w="0" w:type="auto"/>
            <w:shd w:val="clear" w:color="auto" w:fill="auto"/>
            <w:vAlign w:val="center"/>
          </w:tcPr>
          <w:p w14:paraId="64A8B009" w14:textId="77777777" w:rsidR="008D6614" w:rsidRDefault="008D6614">
            <w:pPr>
              <w:rPr>
                <w:rFonts w:ascii="宋体"/>
              </w:rPr>
            </w:pPr>
          </w:p>
        </w:tc>
        <w:tc>
          <w:tcPr>
            <w:tcW w:w="0" w:type="auto"/>
            <w:shd w:val="clear" w:color="auto" w:fill="auto"/>
            <w:vAlign w:val="center"/>
          </w:tcPr>
          <w:p w14:paraId="64A8B00A" w14:textId="77777777" w:rsidR="008D6614" w:rsidRDefault="008D6614">
            <w:pPr>
              <w:rPr>
                <w:rFonts w:ascii="宋体"/>
              </w:rPr>
            </w:pPr>
          </w:p>
        </w:tc>
        <w:tc>
          <w:tcPr>
            <w:tcW w:w="0" w:type="auto"/>
            <w:shd w:val="clear" w:color="auto" w:fill="auto"/>
            <w:vAlign w:val="center"/>
          </w:tcPr>
          <w:p w14:paraId="64A8B00B" w14:textId="77777777" w:rsidR="008D6614" w:rsidRDefault="008D6614">
            <w:pPr>
              <w:rPr>
                <w:rFonts w:ascii="宋体"/>
              </w:rPr>
            </w:pPr>
          </w:p>
        </w:tc>
        <w:tc>
          <w:tcPr>
            <w:tcW w:w="0" w:type="auto"/>
            <w:shd w:val="clear" w:color="auto" w:fill="auto"/>
            <w:vAlign w:val="center"/>
          </w:tcPr>
          <w:p w14:paraId="64A8B00C" w14:textId="77777777" w:rsidR="008D6614" w:rsidRDefault="008D6614">
            <w:pPr>
              <w:rPr>
                <w:rFonts w:ascii="宋体"/>
              </w:rPr>
            </w:pPr>
          </w:p>
        </w:tc>
      </w:tr>
      <w:tr w:rsidR="008D6614" w14:paraId="64A8B023" w14:textId="77777777">
        <w:tc>
          <w:tcPr>
            <w:tcW w:w="0" w:type="auto"/>
            <w:gridSpan w:val="3"/>
            <w:shd w:val="clear" w:color="auto" w:fill="E2E2E2"/>
            <w:tcMar>
              <w:top w:w="40" w:type="dxa"/>
              <w:left w:w="20" w:type="dxa"/>
              <w:bottom w:w="40" w:type="dxa"/>
              <w:right w:w="20" w:type="dxa"/>
            </w:tcMar>
            <w:vAlign w:val="bottom"/>
          </w:tcPr>
          <w:p w14:paraId="64A8B00E" w14:textId="77777777" w:rsidR="008D6614" w:rsidRDefault="00866AF2">
            <w:pPr>
              <w:textAlignment w:val="bottom"/>
            </w:pPr>
            <w:r>
              <w:rPr>
                <w:rFonts w:ascii="Arial" w:eastAsia="宋体" w:hAnsi="Arial" w:cs="Arial"/>
                <w:color w:val="000000"/>
                <w:sz w:val="16"/>
                <w:szCs w:val="16"/>
              </w:rPr>
              <w:t>General and administrative</w:t>
            </w:r>
          </w:p>
        </w:tc>
        <w:tc>
          <w:tcPr>
            <w:tcW w:w="0" w:type="auto"/>
            <w:gridSpan w:val="2"/>
            <w:shd w:val="clear" w:color="auto" w:fill="E2E2E2"/>
            <w:tcMar>
              <w:top w:w="40" w:type="dxa"/>
              <w:left w:w="20" w:type="dxa"/>
              <w:bottom w:w="40" w:type="dxa"/>
              <w:right w:w="0" w:type="dxa"/>
            </w:tcMar>
            <w:vAlign w:val="bottom"/>
          </w:tcPr>
          <w:p w14:paraId="64A8B00F" w14:textId="77777777" w:rsidR="008D6614" w:rsidRDefault="00866AF2">
            <w:pPr>
              <w:jc w:val="right"/>
              <w:textAlignment w:val="bottom"/>
            </w:pPr>
            <w:r>
              <w:rPr>
                <w:rFonts w:ascii="Arial" w:eastAsia="宋体" w:hAnsi="Arial" w:cs="Arial"/>
                <w:color w:val="000000"/>
                <w:sz w:val="16"/>
                <w:szCs w:val="16"/>
              </w:rPr>
              <w:t>234 </w:t>
            </w:r>
          </w:p>
        </w:tc>
        <w:tc>
          <w:tcPr>
            <w:tcW w:w="0" w:type="auto"/>
            <w:shd w:val="clear" w:color="auto" w:fill="E2E2E2"/>
            <w:tcMar>
              <w:top w:w="40" w:type="dxa"/>
              <w:bottom w:w="40" w:type="dxa"/>
              <w:right w:w="20" w:type="dxa"/>
            </w:tcMar>
            <w:vAlign w:val="bottom"/>
          </w:tcPr>
          <w:p w14:paraId="64A8B01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011"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012" w14:textId="77777777" w:rsidR="008D6614" w:rsidRDefault="00866AF2">
            <w:pPr>
              <w:jc w:val="right"/>
              <w:textAlignment w:val="bottom"/>
            </w:pPr>
            <w:r>
              <w:rPr>
                <w:rFonts w:ascii="Arial" w:eastAsia="宋体" w:hAnsi="Arial" w:cs="Arial"/>
                <w:color w:val="000000"/>
                <w:sz w:val="16"/>
                <w:szCs w:val="16"/>
              </w:rPr>
              <w:t>284 </w:t>
            </w:r>
          </w:p>
        </w:tc>
        <w:tc>
          <w:tcPr>
            <w:tcW w:w="0" w:type="auto"/>
            <w:shd w:val="clear" w:color="auto" w:fill="E2E2E2"/>
            <w:tcMar>
              <w:top w:w="40" w:type="dxa"/>
              <w:bottom w:w="40" w:type="dxa"/>
              <w:right w:w="20" w:type="dxa"/>
            </w:tcMar>
            <w:vAlign w:val="bottom"/>
          </w:tcPr>
          <w:p w14:paraId="64A8B01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014"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015" w14:textId="77777777" w:rsidR="008D6614" w:rsidRDefault="00866AF2">
            <w:pPr>
              <w:jc w:val="right"/>
              <w:textAlignment w:val="bottom"/>
            </w:pPr>
            <w:r>
              <w:rPr>
                <w:rFonts w:ascii="Arial" w:eastAsia="宋体" w:hAnsi="Arial" w:cs="Arial"/>
                <w:color w:val="000000"/>
                <w:sz w:val="16"/>
                <w:szCs w:val="16"/>
              </w:rPr>
              <w:t>(18)</w:t>
            </w:r>
          </w:p>
        </w:tc>
        <w:tc>
          <w:tcPr>
            <w:tcW w:w="0" w:type="auto"/>
            <w:shd w:val="clear" w:color="auto" w:fill="E2E2E2"/>
            <w:tcMar>
              <w:top w:w="40" w:type="dxa"/>
              <w:bottom w:w="40" w:type="dxa"/>
              <w:right w:w="20" w:type="dxa"/>
            </w:tcMar>
            <w:vAlign w:val="bottom"/>
          </w:tcPr>
          <w:p w14:paraId="64A8B016"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017" w14:textId="77777777" w:rsidR="008D6614" w:rsidRDefault="008D6614">
            <w:pPr>
              <w:rPr>
                <w:rFonts w:ascii="宋体"/>
                <w:vanish/>
              </w:rPr>
            </w:pPr>
          </w:p>
        </w:tc>
        <w:tc>
          <w:tcPr>
            <w:tcW w:w="0" w:type="auto"/>
            <w:shd w:val="clear" w:color="auto" w:fill="auto"/>
            <w:vAlign w:val="center"/>
          </w:tcPr>
          <w:p w14:paraId="64A8B018" w14:textId="77777777" w:rsidR="008D6614" w:rsidRDefault="008D6614">
            <w:pPr>
              <w:rPr>
                <w:rFonts w:ascii="宋体"/>
                <w:vanish/>
              </w:rPr>
            </w:pPr>
          </w:p>
        </w:tc>
        <w:tc>
          <w:tcPr>
            <w:tcW w:w="0" w:type="auto"/>
            <w:shd w:val="clear" w:color="auto" w:fill="auto"/>
            <w:vAlign w:val="center"/>
          </w:tcPr>
          <w:p w14:paraId="64A8B019" w14:textId="77777777" w:rsidR="008D6614" w:rsidRDefault="008D6614">
            <w:pPr>
              <w:rPr>
                <w:rFonts w:ascii="宋体"/>
                <w:vanish/>
              </w:rPr>
            </w:pPr>
          </w:p>
        </w:tc>
        <w:tc>
          <w:tcPr>
            <w:tcW w:w="0" w:type="auto"/>
            <w:shd w:val="clear" w:color="auto" w:fill="auto"/>
            <w:vAlign w:val="center"/>
          </w:tcPr>
          <w:p w14:paraId="64A8B01A" w14:textId="77777777" w:rsidR="008D6614" w:rsidRDefault="008D6614">
            <w:pPr>
              <w:rPr>
                <w:rFonts w:ascii="宋体"/>
                <w:vanish/>
              </w:rPr>
            </w:pPr>
          </w:p>
        </w:tc>
        <w:tc>
          <w:tcPr>
            <w:tcW w:w="0" w:type="auto"/>
            <w:shd w:val="clear" w:color="auto" w:fill="auto"/>
            <w:vAlign w:val="center"/>
          </w:tcPr>
          <w:p w14:paraId="64A8B01B" w14:textId="77777777" w:rsidR="008D6614" w:rsidRDefault="008D6614">
            <w:pPr>
              <w:rPr>
                <w:rFonts w:ascii="宋体"/>
                <w:vanish/>
              </w:rPr>
            </w:pPr>
          </w:p>
        </w:tc>
        <w:tc>
          <w:tcPr>
            <w:tcW w:w="0" w:type="auto"/>
            <w:shd w:val="clear" w:color="auto" w:fill="auto"/>
            <w:vAlign w:val="center"/>
          </w:tcPr>
          <w:p w14:paraId="64A8B01C" w14:textId="77777777" w:rsidR="008D6614" w:rsidRDefault="008D6614">
            <w:pPr>
              <w:rPr>
                <w:rFonts w:ascii="宋体"/>
                <w:vanish/>
              </w:rPr>
            </w:pPr>
          </w:p>
        </w:tc>
        <w:tc>
          <w:tcPr>
            <w:tcW w:w="0" w:type="auto"/>
            <w:shd w:val="clear" w:color="auto" w:fill="auto"/>
            <w:vAlign w:val="center"/>
          </w:tcPr>
          <w:p w14:paraId="64A8B01D" w14:textId="77777777" w:rsidR="008D6614" w:rsidRDefault="008D6614">
            <w:pPr>
              <w:rPr>
                <w:rFonts w:ascii="宋体"/>
              </w:rPr>
            </w:pPr>
          </w:p>
        </w:tc>
        <w:tc>
          <w:tcPr>
            <w:tcW w:w="0" w:type="auto"/>
            <w:shd w:val="clear" w:color="auto" w:fill="auto"/>
            <w:vAlign w:val="center"/>
          </w:tcPr>
          <w:p w14:paraId="64A8B01E" w14:textId="77777777" w:rsidR="008D6614" w:rsidRDefault="008D6614">
            <w:pPr>
              <w:rPr>
                <w:rFonts w:ascii="宋体"/>
              </w:rPr>
            </w:pPr>
          </w:p>
        </w:tc>
        <w:tc>
          <w:tcPr>
            <w:tcW w:w="0" w:type="auto"/>
            <w:shd w:val="clear" w:color="auto" w:fill="auto"/>
            <w:vAlign w:val="center"/>
          </w:tcPr>
          <w:p w14:paraId="64A8B01F" w14:textId="77777777" w:rsidR="008D6614" w:rsidRDefault="008D6614">
            <w:pPr>
              <w:rPr>
                <w:rFonts w:ascii="宋体"/>
              </w:rPr>
            </w:pPr>
          </w:p>
        </w:tc>
        <w:tc>
          <w:tcPr>
            <w:tcW w:w="0" w:type="auto"/>
            <w:shd w:val="clear" w:color="auto" w:fill="auto"/>
            <w:vAlign w:val="center"/>
          </w:tcPr>
          <w:p w14:paraId="64A8B020" w14:textId="77777777" w:rsidR="008D6614" w:rsidRDefault="008D6614">
            <w:pPr>
              <w:rPr>
                <w:rFonts w:ascii="宋体"/>
              </w:rPr>
            </w:pPr>
          </w:p>
        </w:tc>
        <w:tc>
          <w:tcPr>
            <w:tcW w:w="0" w:type="auto"/>
            <w:shd w:val="clear" w:color="auto" w:fill="auto"/>
            <w:vAlign w:val="center"/>
          </w:tcPr>
          <w:p w14:paraId="64A8B021" w14:textId="77777777" w:rsidR="008D6614" w:rsidRDefault="008D6614">
            <w:pPr>
              <w:rPr>
                <w:rFonts w:ascii="宋体"/>
              </w:rPr>
            </w:pPr>
          </w:p>
        </w:tc>
        <w:tc>
          <w:tcPr>
            <w:tcW w:w="0" w:type="auto"/>
            <w:shd w:val="clear" w:color="auto" w:fill="auto"/>
            <w:vAlign w:val="center"/>
          </w:tcPr>
          <w:p w14:paraId="64A8B022" w14:textId="77777777" w:rsidR="008D6614" w:rsidRDefault="008D6614">
            <w:pPr>
              <w:rPr>
                <w:rFonts w:ascii="宋体"/>
              </w:rPr>
            </w:pPr>
          </w:p>
        </w:tc>
      </w:tr>
      <w:tr w:rsidR="008D6614" w14:paraId="64A8B038" w14:textId="77777777">
        <w:tc>
          <w:tcPr>
            <w:tcW w:w="0" w:type="auto"/>
            <w:gridSpan w:val="3"/>
            <w:shd w:val="clear" w:color="auto" w:fill="FFFFFF"/>
            <w:tcMar>
              <w:top w:w="40" w:type="dxa"/>
              <w:left w:w="135" w:type="dxa"/>
              <w:bottom w:w="40" w:type="dxa"/>
              <w:right w:w="20" w:type="dxa"/>
            </w:tcMar>
            <w:vAlign w:val="bottom"/>
          </w:tcPr>
          <w:p w14:paraId="64A8B024" w14:textId="77777777" w:rsidR="008D6614" w:rsidRDefault="00866AF2">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A8B025" w14:textId="77777777" w:rsidR="008D6614" w:rsidRDefault="00866AF2">
            <w:pPr>
              <w:jc w:val="right"/>
              <w:textAlignment w:val="bottom"/>
            </w:pPr>
            <w:r>
              <w:rPr>
                <w:rFonts w:ascii="Arial" w:eastAsia="宋体" w:hAnsi="Arial" w:cs="Arial"/>
                <w:i/>
                <w:iCs/>
                <w:color w:val="000000"/>
                <w:sz w:val="16"/>
                <w:szCs w:val="16"/>
              </w:rPr>
              <w:t>10 </w:t>
            </w:r>
          </w:p>
        </w:tc>
        <w:tc>
          <w:tcPr>
            <w:tcW w:w="0" w:type="auto"/>
            <w:shd w:val="clear" w:color="auto" w:fill="FFFFFF"/>
            <w:tcMar>
              <w:top w:w="40" w:type="dxa"/>
              <w:bottom w:w="40" w:type="dxa"/>
              <w:right w:w="20" w:type="dxa"/>
            </w:tcMar>
            <w:vAlign w:val="bottom"/>
          </w:tcPr>
          <w:p w14:paraId="64A8B026"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B02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028" w14:textId="77777777" w:rsidR="008D6614" w:rsidRDefault="00866AF2">
            <w:pPr>
              <w:jc w:val="right"/>
              <w:textAlignment w:val="bottom"/>
            </w:pPr>
            <w:r>
              <w:rPr>
                <w:rFonts w:ascii="Arial" w:eastAsia="宋体" w:hAnsi="Arial" w:cs="Arial"/>
                <w:i/>
                <w:iCs/>
                <w:color w:val="000000"/>
                <w:sz w:val="16"/>
                <w:szCs w:val="16"/>
              </w:rPr>
              <w:t>12 </w:t>
            </w:r>
          </w:p>
        </w:tc>
        <w:tc>
          <w:tcPr>
            <w:tcW w:w="0" w:type="auto"/>
            <w:shd w:val="clear" w:color="auto" w:fill="FFFFFF"/>
            <w:tcMar>
              <w:top w:w="40" w:type="dxa"/>
              <w:bottom w:w="40" w:type="dxa"/>
              <w:right w:w="20" w:type="dxa"/>
            </w:tcMar>
            <w:vAlign w:val="bottom"/>
          </w:tcPr>
          <w:p w14:paraId="64A8B029"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B02A"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02B" w14:textId="77777777" w:rsidR="008D6614" w:rsidRDefault="008D6614">
            <w:pPr>
              <w:rPr>
                <w:rFonts w:ascii="宋体"/>
              </w:rPr>
            </w:pPr>
          </w:p>
        </w:tc>
        <w:tc>
          <w:tcPr>
            <w:tcW w:w="0" w:type="auto"/>
            <w:shd w:val="clear" w:color="auto" w:fill="auto"/>
            <w:vAlign w:val="center"/>
          </w:tcPr>
          <w:p w14:paraId="64A8B02C" w14:textId="77777777" w:rsidR="008D6614" w:rsidRDefault="008D6614">
            <w:pPr>
              <w:rPr>
                <w:rFonts w:ascii="宋体"/>
                <w:vanish/>
              </w:rPr>
            </w:pPr>
          </w:p>
        </w:tc>
        <w:tc>
          <w:tcPr>
            <w:tcW w:w="0" w:type="auto"/>
            <w:shd w:val="clear" w:color="auto" w:fill="auto"/>
            <w:vAlign w:val="center"/>
          </w:tcPr>
          <w:p w14:paraId="64A8B02D" w14:textId="77777777" w:rsidR="008D6614" w:rsidRDefault="008D6614">
            <w:pPr>
              <w:rPr>
                <w:rFonts w:ascii="宋体"/>
                <w:vanish/>
              </w:rPr>
            </w:pPr>
          </w:p>
        </w:tc>
        <w:tc>
          <w:tcPr>
            <w:tcW w:w="0" w:type="auto"/>
            <w:shd w:val="clear" w:color="auto" w:fill="auto"/>
            <w:vAlign w:val="center"/>
          </w:tcPr>
          <w:p w14:paraId="64A8B02E" w14:textId="77777777" w:rsidR="008D6614" w:rsidRDefault="008D6614">
            <w:pPr>
              <w:rPr>
                <w:rFonts w:ascii="宋体"/>
                <w:vanish/>
              </w:rPr>
            </w:pPr>
          </w:p>
        </w:tc>
        <w:tc>
          <w:tcPr>
            <w:tcW w:w="0" w:type="auto"/>
            <w:shd w:val="clear" w:color="auto" w:fill="auto"/>
            <w:vAlign w:val="center"/>
          </w:tcPr>
          <w:p w14:paraId="64A8B02F" w14:textId="77777777" w:rsidR="008D6614" w:rsidRDefault="008D6614">
            <w:pPr>
              <w:rPr>
                <w:rFonts w:ascii="宋体"/>
                <w:vanish/>
              </w:rPr>
            </w:pPr>
          </w:p>
        </w:tc>
        <w:tc>
          <w:tcPr>
            <w:tcW w:w="0" w:type="auto"/>
            <w:shd w:val="clear" w:color="auto" w:fill="auto"/>
            <w:vAlign w:val="center"/>
          </w:tcPr>
          <w:p w14:paraId="64A8B030" w14:textId="77777777" w:rsidR="008D6614" w:rsidRDefault="008D6614">
            <w:pPr>
              <w:rPr>
                <w:rFonts w:ascii="宋体"/>
                <w:vanish/>
              </w:rPr>
            </w:pPr>
          </w:p>
        </w:tc>
        <w:tc>
          <w:tcPr>
            <w:tcW w:w="0" w:type="auto"/>
            <w:shd w:val="clear" w:color="auto" w:fill="auto"/>
            <w:vAlign w:val="center"/>
          </w:tcPr>
          <w:p w14:paraId="64A8B031" w14:textId="77777777" w:rsidR="008D6614" w:rsidRDefault="008D6614">
            <w:pPr>
              <w:rPr>
                <w:rFonts w:ascii="宋体"/>
                <w:vanish/>
              </w:rPr>
            </w:pPr>
          </w:p>
        </w:tc>
        <w:tc>
          <w:tcPr>
            <w:tcW w:w="0" w:type="auto"/>
            <w:shd w:val="clear" w:color="auto" w:fill="auto"/>
            <w:vAlign w:val="center"/>
          </w:tcPr>
          <w:p w14:paraId="64A8B032" w14:textId="77777777" w:rsidR="008D6614" w:rsidRDefault="008D6614">
            <w:pPr>
              <w:rPr>
                <w:rFonts w:ascii="宋体"/>
              </w:rPr>
            </w:pPr>
          </w:p>
        </w:tc>
        <w:tc>
          <w:tcPr>
            <w:tcW w:w="0" w:type="auto"/>
            <w:shd w:val="clear" w:color="auto" w:fill="auto"/>
            <w:vAlign w:val="center"/>
          </w:tcPr>
          <w:p w14:paraId="64A8B033" w14:textId="77777777" w:rsidR="008D6614" w:rsidRDefault="008D6614">
            <w:pPr>
              <w:rPr>
                <w:rFonts w:ascii="宋体"/>
              </w:rPr>
            </w:pPr>
          </w:p>
        </w:tc>
        <w:tc>
          <w:tcPr>
            <w:tcW w:w="0" w:type="auto"/>
            <w:shd w:val="clear" w:color="auto" w:fill="auto"/>
            <w:vAlign w:val="center"/>
          </w:tcPr>
          <w:p w14:paraId="64A8B034" w14:textId="77777777" w:rsidR="008D6614" w:rsidRDefault="008D6614">
            <w:pPr>
              <w:rPr>
                <w:rFonts w:ascii="宋体"/>
              </w:rPr>
            </w:pPr>
          </w:p>
        </w:tc>
        <w:tc>
          <w:tcPr>
            <w:tcW w:w="0" w:type="auto"/>
            <w:shd w:val="clear" w:color="auto" w:fill="auto"/>
            <w:vAlign w:val="center"/>
          </w:tcPr>
          <w:p w14:paraId="64A8B035" w14:textId="77777777" w:rsidR="008D6614" w:rsidRDefault="008D6614">
            <w:pPr>
              <w:rPr>
                <w:rFonts w:ascii="宋体"/>
              </w:rPr>
            </w:pPr>
          </w:p>
        </w:tc>
        <w:tc>
          <w:tcPr>
            <w:tcW w:w="0" w:type="auto"/>
            <w:shd w:val="clear" w:color="auto" w:fill="auto"/>
            <w:vAlign w:val="center"/>
          </w:tcPr>
          <w:p w14:paraId="64A8B036" w14:textId="77777777" w:rsidR="008D6614" w:rsidRDefault="008D6614">
            <w:pPr>
              <w:rPr>
                <w:rFonts w:ascii="宋体"/>
              </w:rPr>
            </w:pPr>
          </w:p>
        </w:tc>
        <w:tc>
          <w:tcPr>
            <w:tcW w:w="0" w:type="auto"/>
            <w:shd w:val="clear" w:color="auto" w:fill="auto"/>
            <w:vAlign w:val="center"/>
          </w:tcPr>
          <w:p w14:paraId="64A8B037" w14:textId="77777777" w:rsidR="008D6614" w:rsidRDefault="008D6614">
            <w:pPr>
              <w:rPr>
                <w:rFonts w:ascii="宋体"/>
              </w:rPr>
            </w:pPr>
          </w:p>
        </w:tc>
      </w:tr>
      <w:tr w:rsidR="008D6614" w14:paraId="64A8B04E" w14:textId="77777777">
        <w:tc>
          <w:tcPr>
            <w:tcW w:w="0" w:type="auto"/>
            <w:gridSpan w:val="3"/>
            <w:shd w:val="clear" w:color="auto" w:fill="E2E2E2"/>
            <w:tcMar>
              <w:top w:w="40" w:type="dxa"/>
              <w:left w:w="20" w:type="dxa"/>
              <w:bottom w:w="40" w:type="dxa"/>
              <w:right w:w="20" w:type="dxa"/>
            </w:tcMar>
            <w:vAlign w:val="bottom"/>
          </w:tcPr>
          <w:p w14:paraId="64A8B039" w14:textId="77777777" w:rsidR="008D6614" w:rsidRDefault="00866AF2">
            <w:pPr>
              <w:textAlignment w:val="bottom"/>
            </w:pPr>
            <w:r>
              <w:rPr>
                <w:rFonts w:ascii="Arial" w:eastAsia="宋体" w:hAnsi="Arial" w:cs="Arial"/>
                <w:color w:val="000000"/>
                <w:sz w:val="16"/>
                <w:szCs w:val="16"/>
              </w:rPr>
              <w:t>Provision for transaction losses</w:t>
            </w:r>
          </w:p>
        </w:tc>
        <w:tc>
          <w:tcPr>
            <w:tcW w:w="0" w:type="auto"/>
            <w:gridSpan w:val="2"/>
            <w:shd w:val="clear" w:color="auto" w:fill="E2E2E2"/>
            <w:tcMar>
              <w:top w:w="40" w:type="dxa"/>
              <w:left w:w="20" w:type="dxa"/>
              <w:bottom w:w="40" w:type="dxa"/>
              <w:right w:w="0" w:type="dxa"/>
            </w:tcMar>
            <w:vAlign w:val="bottom"/>
          </w:tcPr>
          <w:p w14:paraId="64A8B03A" w14:textId="77777777" w:rsidR="008D6614" w:rsidRDefault="00866AF2">
            <w:pPr>
              <w:jc w:val="right"/>
              <w:textAlignment w:val="bottom"/>
            </w:pPr>
            <w:r>
              <w:rPr>
                <w:rFonts w:ascii="Arial" w:eastAsia="宋体" w:hAnsi="Arial" w:cs="Arial"/>
                <w:color w:val="000000"/>
                <w:sz w:val="16"/>
                <w:szCs w:val="16"/>
              </w:rPr>
              <w:t>102 </w:t>
            </w:r>
          </w:p>
        </w:tc>
        <w:tc>
          <w:tcPr>
            <w:tcW w:w="0" w:type="auto"/>
            <w:shd w:val="clear" w:color="auto" w:fill="E2E2E2"/>
            <w:tcMar>
              <w:top w:w="40" w:type="dxa"/>
              <w:bottom w:w="40" w:type="dxa"/>
              <w:right w:w="20" w:type="dxa"/>
            </w:tcMar>
            <w:vAlign w:val="bottom"/>
          </w:tcPr>
          <w:p w14:paraId="64A8B03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03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03D" w14:textId="77777777" w:rsidR="008D6614" w:rsidRDefault="00866AF2">
            <w:pPr>
              <w:jc w:val="right"/>
              <w:textAlignment w:val="bottom"/>
            </w:pPr>
            <w:r>
              <w:rPr>
                <w:rFonts w:ascii="Arial" w:eastAsia="宋体" w:hAnsi="Arial" w:cs="Arial"/>
                <w:color w:val="000000"/>
                <w:sz w:val="16"/>
                <w:szCs w:val="16"/>
              </w:rPr>
              <w:t>67 </w:t>
            </w:r>
          </w:p>
        </w:tc>
        <w:tc>
          <w:tcPr>
            <w:tcW w:w="0" w:type="auto"/>
            <w:shd w:val="clear" w:color="auto" w:fill="E2E2E2"/>
            <w:tcMar>
              <w:top w:w="40" w:type="dxa"/>
              <w:bottom w:w="40" w:type="dxa"/>
              <w:right w:w="20" w:type="dxa"/>
            </w:tcMar>
            <w:vAlign w:val="bottom"/>
          </w:tcPr>
          <w:p w14:paraId="64A8B03E"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03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040" w14:textId="77777777" w:rsidR="008D6614" w:rsidRDefault="00866AF2">
            <w:pPr>
              <w:jc w:val="right"/>
              <w:textAlignment w:val="bottom"/>
            </w:pPr>
            <w:r>
              <w:rPr>
                <w:rFonts w:ascii="Arial" w:eastAsia="宋体" w:hAnsi="Arial" w:cs="Arial"/>
                <w:color w:val="000000"/>
                <w:sz w:val="16"/>
                <w:szCs w:val="16"/>
              </w:rPr>
              <w:t>54 </w:t>
            </w:r>
          </w:p>
        </w:tc>
        <w:tc>
          <w:tcPr>
            <w:tcW w:w="0" w:type="auto"/>
            <w:shd w:val="clear" w:color="auto" w:fill="E2E2E2"/>
            <w:tcMar>
              <w:top w:w="40" w:type="dxa"/>
              <w:bottom w:w="40" w:type="dxa"/>
              <w:right w:w="20" w:type="dxa"/>
            </w:tcMar>
            <w:vAlign w:val="bottom"/>
          </w:tcPr>
          <w:p w14:paraId="64A8B041"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042" w14:textId="77777777" w:rsidR="008D6614" w:rsidRDefault="008D6614">
            <w:pPr>
              <w:rPr>
                <w:rFonts w:ascii="宋体"/>
                <w:vanish/>
              </w:rPr>
            </w:pPr>
          </w:p>
        </w:tc>
        <w:tc>
          <w:tcPr>
            <w:tcW w:w="0" w:type="auto"/>
            <w:shd w:val="clear" w:color="auto" w:fill="auto"/>
            <w:vAlign w:val="center"/>
          </w:tcPr>
          <w:p w14:paraId="64A8B043" w14:textId="77777777" w:rsidR="008D6614" w:rsidRDefault="008D6614">
            <w:pPr>
              <w:rPr>
                <w:rFonts w:ascii="宋体"/>
                <w:vanish/>
              </w:rPr>
            </w:pPr>
          </w:p>
        </w:tc>
        <w:tc>
          <w:tcPr>
            <w:tcW w:w="0" w:type="auto"/>
            <w:shd w:val="clear" w:color="auto" w:fill="auto"/>
            <w:vAlign w:val="center"/>
          </w:tcPr>
          <w:p w14:paraId="64A8B044" w14:textId="77777777" w:rsidR="008D6614" w:rsidRDefault="008D6614">
            <w:pPr>
              <w:rPr>
                <w:rFonts w:ascii="宋体"/>
                <w:vanish/>
              </w:rPr>
            </w:pPr>
          </w:p>
        </w:tc>
        <w:tc>
          <w:tcPr>
            <w:tcW w:w="0" w:type="auto"/>
            <w:shd w:val="clear" w:color="auto" w:fill="auto"/>
            <w:vAlign w:val="center"/>
          </w:tcPr>
          <w:p w14:paraId="64A8B045" w14:textId="77777777" w:rsidR="008D6614" w:rsidRDefault="008D6614">
            <w:pPr>
              <w:rPr>
                <w:rFonts w:ascii="宋体"/>
                <w:vanish/>
              </w:rPr>
            </w:pPr>
          </w:p>
        </w:tc>
        <w:tc>
          <w:tcPr>
            <w:tcW w:w="0" w:type="auto"/>
            <w:shd w:val="clear" w:color="auto" w:fill="auto"/>
            <w:vAlign w:val="center"/>
          </w:tcPr>
          <w:p w14:paraId="64A8B046" w14:textId="77777777" w:rsidR="008D6614" w:rsidRDefault="008D6614">
            <w:pPr>
              <w:rPr>
                <w:rFonts w:ascii="宋体"/>
                <w:vanish/>
              </w:rPr>
            </w:pPr>
          </w:p>
        </w:tc>
        <w:tc>
          <w:tcPr>
            <w:tcW w:w="0" w:type="auto"/>
            <w:shd w:val="clear" w:color="auto" w:fill="auto"/>
            <w:vAlign w:val="center"/>
          </w:tcPr>
          <w:p w14:paraId="64A8B047" w14:textId="77777777" w:rsidR="008D6614" w:rsidRDefault="008D6614">
            <w:pPr>
              <w:rPr>
                <w:rFonts w:ascii="宋体"/>
                <w:vanish/>
              </w:rPr>
            </w:pPr>
          </w:p>
        </w:tc>
        <w:tc>
          <w:tcPr>
            <w:tcW w:w="0" w:type="auto"/>
            <w:shd w:val="clear" w:color="auto" w:fill="auto"/>
            <w:vAlign w:val="center"/>
          </w:tcPr>
          <w:p w14:paraId="64A8B048" w14:textId="77777777" w:rsidR="008D6614" w:rsidRDefault="008D6614">
            <w:pPr>
              <w:rPr>
                <w:rFonts w:ascii="宋体"/>
              </w:rPr>
            </w:pPr>
          </w:p>
        </w:tc>
        <w:tc>
          <w:tcPr>
            <w:tcW w:w="0" w:type="auto"/>
            <w:shd w:val="clear" w:color="auto" w:fill="auto"/>
            <w:vAlign w:val="center"/>
          </w:tcPr>
          <w:p w14:paraId="64A8B049" w14:textId="77777777" w:rsidR="008D6614" w:rsidRDefault="008D6614">
            <w:pPr>
              <w:rPr>
                <w:rFonts w:ascii="宋体"/>
              </w:rPr>
            </w:pPr>
          </w:p>
        </w:tc>
        <w:tc>
          <w:tcPr>
            <w:tcW w:w="0" w:type="auto"/>
            <w:shd w:val="clear" w:color="auto" w:fill="auto"/>
            <w:vAlign w:val="center"/>
          </w:tcPr>
          <w:p w14:paraId="64A8B04A" w14:textId="77777777" w:rsidR="008D6614" w:rsidRDefault="008D6614">
            <w:pPr>
              <w:rPr>
                <w:rFonts w:ascii="宋体"/>
              </w:rPr>
            </w:pPr>
          </w:p>
        </w:tc>
        <w:tc>
          <w:tcPr>
            <w:tcW w:w="0" w:type="auto"/>
            <w:shd w:val="clear" w:color="auto" w:fill="auto"/>
            <w:vAlign w:val="center"/>
          </w:tcPr>
          <w:p w14:paraId="64A8B04B" w14:textId="77777777" w:rsidR="008D6614" w:rsidRDefault="008D6614">
            <w:pPr>
              <w:rPr>
                <w:rFonts w:ascii="宋体"/>
              </w:rPr>
            </w:pPr>
          </w:p>
        </w:tc>
        <w:tc>
          <w:tcPr>
            <w:tcW w:w="0" w:type="auto"/>
            <w:shd w:val="clear" w:color="auto" w:fill="auto"/>
            <w:vAlign w:val="center"/>
          </w:tcPr>
          <w:p w14:paraId="64A8B04C" w14:textId="77777777" w:rsidR="008D6614" w:rsidRDefault="008D6614">
            <w:pPr>
              <w:rPr>
                <w:rFonts w:ascii="宋体"/>
              </w:rPr>
            </w:pPr>
          </w:p>
        </w:tc>
        <w:tc>
          <w:tcPr>
            <w:tcW w:w="0" w:type="auto"/>
            <w:shd w:val="clear" w:color="auto" w:fill="auto"/>
            <w:vAlign w:val="center"/>
          </w:tcPr>
          <w:p w14:paraId="64A8B04D" w14:textId="77777777" w:rsidR="008D6614" w:rsidRDefault="008D6614">
            <w:pPr>
              <w:rPr>
                <w:rFonts w:ascii="宋体"/>
              </w:rPr>
            </w:pPr>
          </w:p>
        </w:tc>
      </w:tr>
      <w:tr w:rsidR="008D6614" w14:paraId="64A8B063" w14:textId="77777777">
        <w:tc>
          <w:tcPr>
            <w:tcW w:w="0" w:type="auto"/>
            <w:gridSpan w:val="3"/>
            <w:shd w:val="clear" w:color="auto" w:fill="FFFFFF"/>
            <w:tcMar>
              <w:top w:w="40" w:type="dxa"/>
              <w:left w:w="135" w:type="dxa"/>
              <w:bottom w:w="40" w:type="dxa"/>
              <w:right w:w="20" w:type="dxa"/>
            </w:tcMar>
            <w:vAlign w:val="bottom"/>
          </w:tcPr>
          <w:p w14:paraId="64A8B04F" w14:textId="77777777" w:rsidR="008D6614" w:rsidRDefault="00866AF2">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A8B050" w14:textId="77777777" w:rsidR="008D6614" w:rsidRDefault="00866AF2">
            <w:pPr>
              <w:jc w:val="right"/>
              <w:textAlignment w:val="bottom"/>
            </w:pPr>
            <w:r>
              <w:rPr>
                <w:rFonts w:ascii="Arial" w:eastAsia="宋体" w:hAnsi="Arial" w:cs="Arial"/>
                <w:i/>
                <w:iCs/>
                <w:color w:val="000000"/>
                <w:sz w:val="16"/>
                <w:szCs w:val="16"/>
              </w:rPr>
              <w:t>4 </w:t>
            </w:r>
          </w:p>
        </w:tc>
        <w:tc>
          <w:tcPr>
            <w:tcW w:w="0" w:type="auto"/>
            <w:shd w:val="clear" w:color="auto" w:fill="FFFFFF"/>
            <w:tcMar>
              <w:top w:w="40" w:type="dxa"/>
              <w:bottom w:w="40" w:type="dxa"/>
              <w:right w:w="20" w:type="dxa"/>
            </w:tcMar>
            <w:vAlign w:val="bottom"/>
          </w:tcPr>
          <w:p w14:paraId="64A8B051"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B052"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053" w14:textId="77777777" w:rsidR="008D6614" w:rsidRDefault="00866AF2">
            <w:pPr>
              <w:jc w:val="right"/>
              <w:textAlignment w:val="bottom"/>
            </w:pPr>
            <w:r>
              <w:rPr>
                <w:rFonts w:ascii="Arial" w:eastAsia="宋体" w:hAnsi="Arial" w:cs="Arial"/>
                <w:i/>
                <w:iCs/>
                <w:color w:val="000000"/>
                <w:sz w:val="16"/>
                <w:szCs w:val="16"/>
              </w:rPr>
              <w:t>3 </w:t>
            </w:r>
          </w:p>
        </w:tc>
        <w:tc>
          <w:tcPr>
            <w:tcW w:w="0" w:type="auto"/>
            <w:shd w:val="clear" w:color="auto" w:fill="FFFFFF"/>
            <w:tcMar>
              <w:top w:w="40" w:type="dxa"/>
              <w:bottom w:w="40" w:type="dxa"/>
              <w:right w:w="20" w:type="dxa"/>
            </w:tcMar>
            <w:vAlign w:val="bottom"/>
          </w:tcPr>
          <w:p w14:paraId="64A8B054"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B055"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056" w14:textId="77777777" w:rsidR="008D6614" w:rsidRDefault="008D6614">
            <w:pPr>
              <w:rPr>
                <w:rFonts w:ascii="宋体"/>
              </w:rPr>
            </w:pPr>
          </w:p>
        </w:tc>
        <w:tc>
          <w:tcPr>
            <w:tcW w:w="0" w:type="auto"/>
            <w:shd w:val="clear" w:color="auto" w:fill="auto"/>
            <w:vAlign w:val="center"/>
          </w:tcPr>
          <w:p w14:paraId="64A8B057" w14:textId="77777777" w:rsidR="008D6614" w:rsidRDefault="008D6614">
            <w:pPr>
              <w:rPr>
                <w:rFonts w:ascii="宋体"/>
                <w:vanish/>
              </w:rPr>
            </w:pPr>
          </w:p>
        </w:tc>
        <w:tc>
          <w:tcPr>
            <w:tcW w:w="0" w:type="auto"/>
            <w:shd w:val="clear" w:color="auto" w:fill="auto"/>
            <w:vAlign w:val="center"/>
          </w:tcPr>
          <w:p w14:paraId="64A8B058" w14:textId="77777777" w:rsidR="008D6614" w:rsidRDefault="008D6614">
            <w:pPr>
              <w:rPr>
                <w:rFonts w:ascii="宋体"/>
                <w:vanish/>
              </w:rPr>
            </w:pPr>
          </w:p>
        </w:tc>
        <w:tc>
          <w:tcPr>
            <w:tcW w:w="0" w:type="auto"/>
            <w:shd w:val="clear" w:color="auto" w:fill="auto"/>
            <w:vAlign w:val="center"/>
          </w:tcPr>
          <w:p w14:paraId="64A8B059" w14:textId="77777777" w:rsidR="008D6614" w:rsidRDefault="008D6614">
            <w:pPr>
              <w:rPr>
                <w:rFonts w:ascii="宋体"/>
                <w:vanish/>
              </w:rPr>
            </w:pPr>
          </w:p>
        </w:tc>
        <w:tc>
          <w:tcPr>
            <w:tcW w:w="0" w:type="auto"/>
            <w:shd w:val="clear" w:color="auto" w:fill="auto"/>
            <w:vAlign w:val="center"/>
          </w:tcPr>
          <w:p w14:paraId="64A8B05A" w14:textId="77777777" w:rsidR="008D6614" w:rsidRDefault="008D6614">
            <w:pPr>
              <w:rPr>
                <w:rFonts w:ascii="宋体"/>
                <w:vanish/>
              </w:rPr>
            </w:pPr>
          </w:p>
        </w:tc>
        <w:tc>
          <w:tcPr>
            <w:tcW w:w="0" w:type="auto"/>
            <w:shd w:val="clear" w:color="auto" w:fill="auto"/>
            <w:vAlign w:val="center"/>
          </w:tcPr>
          <w:p w14:paraId="64A8B05B" w14:textId="77777777" w:rsidR="008D6614" w:rsidRDefault="008D6614">
            <w:pPr>
              <w:rPr>
                <w:rFonts w:ascii="宋体"/>
                <w:vanish/>
              </w:rPr>
            </w:pPr>
          </w:p>
        </w:tc>
        <w:tc>
          <w:tcPr>
            <w:tcW w:w="0" w:type="auto"/>
            <w:shd w:val="clear" w:color="auto" w:fill="auto"/>
            <w:vAlign w:val="center"/>
          </w:tcPr>
          <w:p w14:paraId="64A8B05C" w14:textId="77777777" w:rsidR="008D6614" w:rsidRDefault="008D6614">
            <w:pPr>
              <w:rPr>
                <w:rFonts w:ascii="宋体"/>
                <w:vanish/>
              </w:rPr>
            </w:pPr>
          </w:p>
        </w:tc>
        <w:tc>
          <w:tcPr>
            <w:tcW w:w="0" w:type="auto"/>
            <w:shd w:val="clear" w:color="auto" w:fill="auto"/>
            <w:vAlign w:val="center"/>
          </w:tcPr>
          <w:p w14:paraId="64A8B05D" w14:textId="77777777" w:rsidR="008D6614" w:rsidRDefault="008D6614">
            <w:pPr>
              <w:rPr>
                <w:rFonts w:ascii="宋体"/>
              </w:rPr>
            </w:pPr>
          </w:p>
        </w:tc>
        <w:tc>
          <w:tcPr>
            <w:tcW w:w="0" w:type="auto"/>
            <w:shd w:val="clear" w:color="auto" w:fill="auto"/>
            <w:vAlign w:val="center"/>
          </w:tcPr>
          <w:p w14:paraId="64A8B05E" w14:textId="77777777" w:rsidR="008D6614" w:rsidRDefault="008D6614">
            <w:pPr>
              <w:rPr>
                <w:rFonts w:ascii="宋体"/>
              </w:rPr>
            </w:pPr>
          </w:p>
        </w:tc>
        <w:tc>
          <w:tcPr>
            <w:tcW w:w="0" w:type="auto"/>
            <w:shd w:val="clear" w:color="auto" w:fill="auto"/>
            <w:vAlign w:val="center"/>
          </w:tcPr>
          <w:p w14:paraId="64A8B05F" w14:textId="77777777" w:rsidR="008D6614" w:rsidRDefault="008D6614">
            <w:pPr>
              <w:rPr>
                <w:rFonts w:ascii="宋体"/>
              </w:rPr>
            </w:pPr>
          </w:p>
        </w:tc>
        <w:tc>
          <w:tcPr>
            <w:tcW w:w="0" w:type="auto"/>
            <w:shd w:val="clear" w:color="auto" w:fill="auto"/>
            <w:vAlign w:val="center"/>
          </w:tcPr>
          <w:p w14:paraId="64A8B060" w14:textId="77777777" w:rsidR="008D6614" w:rsidRDefault="008D6614">
            <w:pPr>
              <w:rPr>
                <w:rFonts w:ascii="宋体"/>
              </w:rPr>
            </w:pPr>
          </w:p>
        </w:tc>
        <w:tc>
          <w:tcPr>
            <w:tcW w:w="0" w:type="auto"/>
            <w:shd w:val="clear" w:color="auto" w:fill="auto"/>
            <w:vAlign w:val="center"/>
          </w:tcPr>
          <w:p w14:paraId="64A8B061" w14:textId="77777777" w:rsidR="008D6614" w:rsidRDefault="008D6614">
            <w:pPr>
              <w:rPr>
                <w:rFonts w:ascii="宋体"/>
              </w:rPr>
            </w:pPr>
          </w:p>
        </w:tc>
        <w:tc>
          <w:tcPr>
            <w:tcW w:w="0" w:type="auto"/>
            <w:shd w:val="clear" w:color="auto" w:fill="auto"/>
            <w:vAlign w:val="center"/>
          </w:tcPr>
          <w:p w14:paraId="64A8B062" w14:textId="77777777" w:rsidR="008D6614" w:rsidRDefault="008D6614">
            <w:pPr>
              <w:rPr>
                <w:rFonts w:ascii="宋体"/>
              </w:rPr>
            </w:pPr>
          </w:p>
        </w:tc>
      </w:tr>
      <w:tr w:rsidR="008D6614" w14:paraId="64A8B079" w14:textId="77777777">
        <w:tc>
          <w:tcPr>
            <w:tcW w:w="0" w:type="auto"/>
            <w:gridSpan w:val="3"/>
            <w:shd w:val="clear" w:color="auto" w:fill="E2E2E2"/>
            <w:tcMar>
              <w:top w:w="40" w:type="dxa"/>
              <w:left w:w="20" w:type="dxa"/>
              <w:bottom w:w="40" w:type="dxa"/>
              <w:right w:w="20" w:type="dxa"/>
            </w:tcMar>
            <w:vAlign w:val="bottom"/>
          </w:tcPr>
          <w:p w14:paraId="64A8B064" w14:textId="77777777" w:rsidR="008D6614" w:rsidRDefault="00866AF2">
            <w:pPr>
              <w:textAlignment w:val="bottom"/>
            </w:pPr>
            <w:r>
              <w:rPr>
                <w:rFonts w:ascii="Arial" w:eastAsia="宋体" w:hAnsi="Arial" w:cs="Arial"/>
                <w:color w:val="000000"/>
                <w:sz w:val="16"/>
                <w:szCs w:val="16"/>
              </w:rPr>
              <w:t>Amortization of acquired intangible assets</w:t>
            </w:r>
          </w:p>
        </w:tc>
        <w:tc>
          <w:tcPr>
            <w:tcW w:w="0" w:type="auto"/>
            <w:gridSpan w:val="2"/>
            <w:shd w:val="clear" w:color="auto" w:fill="E2E2E2"/>
            <w:tcMar>
              <w:top w:w="40" w:type="dxa"/>
              <w:left w:w="20" w:type="dxa"/>
              <w:bottom w:w="40" w:type="dxa"/>
              <w:right w:w="0" w:type="dxa"/>
            </w:tcMar>
            <w:vAlign w:val="bottom"/>
          </w:tcPr>
          <w:p w14:paraId="64A8B065" w14:textId="77777777" w:rsidR="008D6614" w:rsidRDefault="00866AF2">
            <w:pPr>
              <w:jc w:val="right"/>
              <w:textAlignment w:val="bottom"/>
            </w:pPr>
            <w:r>
              <w:rPr>
                <w:rFonts w:ascii="Arial" w:eastAsia="宋体" w:hAnsi="Arial" w:cs="Arial"/>
                <w:color w:val="000000"/>
                <w:sz w:val="16"/>
                <w:szCs w:val="16"/>
              </w:rPr>
              <w:t>9 </w:t>
            </w:r>
          </w:p>
        </w:tc>
        <w:tc>
          <w:tcPr>
            <w:tcW w:w="0" w:type="auto"/>
            <w:shd w:val="clear" w:color="auto" w:fill="E2E2E2"/>
            <w:tcMar>
              <w:top w:w="40" w:type="dxa"/>
              <w:bottom w:w="40" w:type="dxa"/>
              <w:right w:w="20" w:type="dxa"/>
            </w:tcMar>
            <w:vAlign w:val="bottom"/>
          </w:tcPr>
          <w:p w14:paraId="64A8B06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06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068" w14:textId="77777777" w:rsidR="008D6614" w:rsidRDefault="00866AF2">
            <w:pPr>
              <w:jc w:val="right"/>
              <w:textAlignment w:val="bottom"/>
            </w:pPr>
            <w:r>
              <w:rPr>
                <w:rFonts w:ascii="Arial" w:eastAsia="宋体" w:hAnsi="Arial" w:cs="Arial"/>
                <w:color w:val="000000"/>
                <w:sz w:val="16"/>
                <w:szCs w:val="16"/>
              </w:rPr>
              <w:t>11 </w:t>
            </w:r>
          </w:p>
        </w:tc>
        <w:tc>
          <w:tcPr>
            <w:tcW w:w="0" w:type="auto"/>
            <w:shd w:val="clear" w:color="auto" w:fill="E2E2E2"/>
            <w:tcMar>
              <w:top w:w="40" w:type="dxa"/>
              <w:bottom w:w="40" w:type="dxa"/>
              <w:right w:w="20" w:type="dxa"/>
            </w:tcMar>
            <w:vAlign w:val="bottom"/>
          </w:tcPr>
          <w:p w14:paraId="64A8B06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06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06B" w14:textId="77777777" w:rsidR="008D6614" w:rsidRDefault="00866AF2">
            <w:pPr>
              <w:jc w:val="right"/>
              <w:textAlignment w:val="bottom"/>
            </w:pPr>
            <w:r>
              <w:rPr>
                <w:rFonts w:ascii="Arial" w:eastAsia="宋体" w:hAnsi="Arial" w:cs="Arial"/>
                <w:color w:val="000000"/>
                <w:sz w:val="16"/>
                <w:szCs w:val="16"/>
              </w:rPr>
              <w:t>(18)</w:t>
            </w:r>
          </w:p>
        </w:tc>
        <w:tc>
          <w:tcPr>
            <w:tcW w:w="0" w:type="auto"/>
            <w:shd w:val="clear" w:color="auto" w:fill="E2E2E2"/>
            <w:tcMar>
              <w:top w:w="40" w:type="dxa"/>
              <w:bottom w:w="40" w:type="dxa"/>
              <w:right w:w="20" w:type="dxa"/>
            </w:tcMar>
            <w:vAlign w:val="bottom"/>
          </w:tcPr>
          <w:p w14:paraId="64A8B06C"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06D" w14:textId="77777777" w:rsidR="008D6614" w:rsidRDefault="008D6614">
            <w:pPr>
              <w:rPr>
                <w:rFonts w:ascii="宋体"/>
                <w:vanish/>
              </w:rPr>
            </w:pPr>
          </w:p>
        </w:tc>
        <w:tc>
          <w:tcPr>
            <w:tcW w:w="0" w:type="auto"/>
            <w:shd w:val="clear" w:color="auto" w:fill="auto"/>
            <w:vAlign w:val="center"/>
          </w:tcPr>
          <w:p w14:paraId="64A8B06E" w14:textId="77777777" w:rsidR="008D6614" w:rsidRDefault="008D6614">
            <w:pPr>
              <w:rPr>
                <w:rFonts w:ascii="宋体"/>
                <w:vanish/>
              </w:rPr>
            </w:pPr>
          </w:p>
        </w:tc>
        <w:tc>
          <w:tcPr>
            <w:tcW w:w="0" w:type="auto"/>
            <w:shd w:val="clear" w:color="auto" w:fill="auto"/>
            <w:vAlign w:val="center"/>
          </w:tcPr>
          <w:p w14:paraId="64A8B06F" w14:textId="77777777" w:rsidR="008D6614" w:rsidRDefault="008D6614">
            <w:pPr>
              <w:rPr>
                <w:rFonts w:ascii="宋体"/>
                <w:vanish/>
              </w:rPr>
            </w:pPr>
          </w:p>
        </w:tc>
        <w:tc>
          <w:tcPr>
            <w:tcW w:w="0" w:type="auto"/>
            <w:shd w:val="clear" w:color="auto" w:fill="auto"/>
            <w:vAlign w:val="center"/>
          </w:tcPr>
          <w:p w14:paraId="64A8B070" w14:textId="77777777" w:rsidR="008D6614" w:rsidRDefault="008D6614">
            <w:pPr>
              <w:rPr>
                <w:rFonts w:ascii="宋体"/>
                <w:vanish/>
              </w:rPr>
            </w:pPr>
          </w:p>
        </w:tc>
        <w:tc>
          <w:tcPr>
            <w:tcW w:w="0" w:type="auto"/>
            <w:shd w:val="clear" w:color="auto" w:fill="auto"/>
            <w:vAlign w:val="center"/>
          </w:tcPr>
          <w:p w14:paraId="64A8B071" w14:textId="77777777" w:rsidR="008D6614" w:rsidRDefault="008D6614">
            <w:pPr>
              <w:rPr>
                <w:rFonts w:ascii="宋体"/>
                <w:vanish/>
              </w:rPr>
            </w:pPr>
          </w:p>
        </w:tc>
        <w:tc>
          <w:tcPr>
            <w:tcW w:w="0" w:type="auto"/>
            <w:shd w:val="clear" w:color="auto" w:fill="auto"/>
            <w:vAlign w:val="center"/>
          </w:tcPr>
          <w:p w14:paraId="64A8B072" w14:textId="77777777" w:rsidR="008D6614" w:rsidRDefault="008D6614">
            <w:pPr>
              <w:rPr>
                <w:rFonts w:ascii="宋体"/>
                <w:vanish/>
              </w:rPr>
            </w:pPr>
          </w:p>
        </w:tc>
        <w:tc>
          <w:tcPr>
            <w:tcW w:w="0" w:type="auto"/>
            <w:shd w:val="clear" w:color="auto" w:fill="auto"/>
            <w:vAlign w:val="center"/>
          </w:tcPr>
          <w:p w14:paraId="64A8B073" w14:textId="77777777" w:rsidR="008D6614" w:rsidRDefault="008D6614">
            <w:pPr>
              <w:rPr>
                <w:rFonts w:ascii="宋体"/>
              </w:rPr>
            </w:pPr>
          </w:p>
        </w:tc>
        <w:tc>
          <w:tcPr>
            <w:tcW w:w="0" w:type="auto"/>
            <w:shd w:val="clear" w:color="auto" w:fill="auto"/>
            <w:vAlign w:val="center"/>
          </w:tcPr>
          <w:p w14:paraId="64A8B074" w14:textId="77777777" w:rsidR="008D6614" w:rsidRDefault="008D6614">
            <w:pPr>
              <w:rPr>
                <w:rFonts w:ascii="宋体"/>
              </w:rPr>
            </w:pPr>
          </w:p>
        </w:tc>
        <w:tc>
          <w:tcPr>
            <w:tcW w:w="0" w:type="auto"/>
            <w:shd w:val="clear" w:color="auto" w:fill="auto"/>
            <w:vAlign w:val="center"/>
          </w:tcPr>
          <w:p w14:paraId="64A8B075" w14:textId="77777777" w:rsidR="008D6614" w:rsidRDefault="008D6614">
            <w:pPr>
              <w:rPr>
                <w:rFonts w:ascii="宋体"/>
              </w:rPr>
            </w:pPr>
          </w:p>
        </w:tc>
        <w:tc>
          <w:tcPr>
            <w:tcW w:w="0" w:type="auto"/>
            <w:shd w:val="clear" w:color="auto" w:fill="auto"/>
            <w:vAlign w:val="center"/>
          </w:tcPr>
          <w:p w14:paraId="64A8B076" w14:textId="77777777" w:rsidR="008D6614" w:rsidRDefault="008D6614">
            <w:pPr>
              <w:rPr>
                <w:rFonts w:ascii="宋体"/>
              </w:rPr>
            </w:pPr>
          </w:p>
        </w:tc>
        <w:tc>
          <w:tcPr>
            <w:tcW w:w="0" w:type="auto"/>
            <w:shd w:val="clear" w:color="auto" w:fill="auto"/>
            <w:vAlign w:val="center"/>
          </w:tcPr>
          <w:p w14:paraId="64A8B077" w14:textId="77777777" w:rsidR="008D6614" w:rsidRDefault="008D6614">
            <w:pPr>
              <w:rPr>
                <w:rFonts w:ascii="宋体"/>
              </w:rPr>
            </w:pPr>
          </w:p>
        </w:tc>
        <w:tc>
          <w:tcPr>
            <w:tcW w:w="0" w:type="auto"/>
            <w:shd w:val="clear" w:color="auto" w:fill="auto"/>
            <w:vAlign w:val="center"/>
          </w:tcPr>
          <w:p w14:paraId="64A8B078" w14:textId="77777777" w:rsidR="008D6614" w:rsidRDefault="008D6614">
            <w:pPr>
              <w:rPr>
                <w:rFonts w:ascii="宋体"/>
              </w:rPr>
            </w:pPr>
          </w:p>
        </w:tc>
      </w:tr>
      <w:tr w:rsidR="008D6614" w14:paraId="64A8B091" w14:textId="77777777">
        <w:tc>
          <w:tcPr>
            <w:tcW w:w="0" w:type="auto"/>
            <w:gridSpan w:val="3"/>
            <w:shd w:val="clear" w:color="auto" w:fill="FFFFFF"/>
            <w:tcMar>
              <w:top w:w="40" w:type="dxa"/>
              <w:left w:w="225" w:type="dxa"/>
              <w:bottom w:w="40" w:type="dxa"/>
              <w:right w:w="20" w:type="dxa"/>
            </w:tcMar>
            <w:vAlign w:val="bottom"/>
          </w:tcPr>
          <w:p w14:paraId="64A8B07A" w14:textId="77777777" w:rsidR="008D6614" w:rsidRDefault="00866AF2">
            <w:pPr>
              <w:textAlignment w:val="bottom"/>
            </w:pPr>
            <w:r>
              <w:rPr>
                <w:rFonts w:ascii="Arial" w:eastAsia="宋体" w:hAnsi="Arial" w:cs="Arial"/>
                <w:color w:val="000000"/>
                <w:sz w:val="16"/>
                <w:szCs w:val="16"/>
              </w:rPr>
              <w:t>Total operating expenses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B07B"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B07C" w14:textId="77777777" w:rsidR="008D6614" w:rsidRDefault="00866AF2">
            <w:pPr>
              <w:jc w:val="right"/>
              <w:textAlignment w:val="bottom"/>
            </w:pPr>
            <w:r>
              <w:rPr>
                <w:rFonts w:ascii="Arial" w:eastAsia="宋体" w:hAnsi="Arial" w:cs="Arial"/>
                <w:color w:val="000000"/>
                <w:sz w:val="16"/>
                <w:szCs w:val="16"/>
              </w:rPr>
              <w:t>1,219 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B07D"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07E"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B07F"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B080" w14:textId="77777777" w:rsidR="008D6614" w:rsidRDefault="00866AF2">
            <w:pPr>
              <w:jc w:val="right"/>
              <w:textAlignment w:val="bottom"/>
            </w:pPr>
            <w:r>
              <w:rPr>
                <w:rFonts w:ascii="Arial" w:eastAsia="宋体" w:hAnsi="Arial" w:cs="Arial"/>
                <w:color w:val="000000"/>
                <w:sz w:val="16"/>
                <w:szCs w:val="16"/>
              </w:rPr>
              <w:t>1,281 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B08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082"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083" w14:textId="77777777" w:rsidR="008D6614" w:rsidRDefault="00866AF2">
            <w:pPr>
              <w:jc w:val="right"/>
              <w:textAlignment w:val="bottom"/>
            </w:pPr>
            <w:r>
              <w:rPr>
                <w:rFonts w:ascii="Arial" w:eastAsia="宋体" w:hAnsi="Arial" w:cs="Arial"/>
                <w:color w:val="000000"/>
                <w:sz w:val="16"/>
                <w:szCs w:val="16"/>
              </w:rPr>
              <w:t>(5)</w:t>
            </w:r>
          </w:p>
        </w:tc>
        <w:tc>
          <w:tcPr>
            <w:tcW w:w="0" w:type="auto"/>
            <w:shd w:val="clear" w:color="auto" w:fill="FFFFFF"/>
            <w:tcMar>
              <w:top w:w="40" w:type="dxa"/>
              <w:bottom w:w="40" w:type="dxa"/>
              <w:right w:w="20" w:type="dxa"/>
            </w:tcMar>
            <w:vAlign w:val="bottom"/>
          </w:tcPr>
          <w:p w14:paraId="64A8B084"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085" w14:textId="77777777" w:rsidR="008D6614" w:rsidRDefault="008D6614">
            <w:pPr>
              <w:rPr>
                <w:rFonts w:ascii="宋体"/>
                <w:vanish/>
              </w:rPr>
            </w:pPr>
          </w:p>
        </w:tc>
        <w:tc>
          <w:tcPr>
            <w:tcW w:w="0" w:type="auto"/>
            <w:shd w:val="clear" w:color="auto" w:fill="auto"/>
            <w:vAlign w:val="center"/>
          </w:tcPr>
          <w:p w14:paraId="64A8B086" w14:textId="77777777" w:rsidR="008D6614" w:rsidRDefault="008D6614">
            <w:pPr>
              <w:rPr>
                <w:rFonts w:ascii="宋体"/>
                <w:vanish/>
              </w:rPr>
            </w:pPr>
          </w:p>
        </w:tc>
        <w:tc>
          <w:tcPr>
            <w:tcW w:w="0" w:type="auto"/>
            <w:shd w:val="clear" w:color="auto" w:fill="auto"/>
            <w:vAlign w:val="center"/>
          </w:tcPr>
          <w:p w14:paraId="64A8B087" w14:textId="77777777" w:rsidR="008D6614" w:rsidRDefault="008D6614">
            <w:pPr>
              <w:rPr>
                <w:rFonts w:ascii="宋体"/>
                <w:vanish/>
              </w:rPr>
            </w:pPr>
          </w:p>
        </w:tc>
        <w:tc>
          <w:tcPr>
            <w:tcW w:w="0" w:type="auto"/>
            <w:shd w:val="clear" w:color="auto" w:fill="auto"/>
            <w:vAlign w:val="center"/>
          </w:tcPr>
          <w:p w14:paraId="64A8B088" w14:textId="77777777" w:rsidR="008D6614" w:rsidRDefault="008D6614">
            <w:pPr>
              <w:rPr>
                <w:rFonts w:ascii="宋体"/>
                <w:vanish/>
              </w:rPr>
            </w:pPr>
          </w:p>
        </w:tc>
        <w:tc>
          <w:tcPr>
            <w:tcW w:w="0" w:type="auto"/>
            <w:shd w:val="clear" w:color="auto" w:fill="auto"/>
            <w:vAlign w:val="center"/>
          </w:tcPr>
          <w:p w14:paraId="64A8B089" w14:textId="77777777" w:rsidR="008D6614" w:rsidRDefault="008D6614">
            <w:pPr>
              <w:rPr>
                <w:rFonts w:ascii="宋体"/>
                <w:vanish/>
              </w:rPr>
            </w:pPr>
          </w:p>
        </w:tc>
        <w:tc>
          <w:tcPr>
            <w:tcW w:w="0" w:type="auto"/>
            <w:shd w:val="clear" w:color="auto" w:fill="auto"/>
            <w:vAlign w:val="center"/>
          </w:tcPr>
          <w:p w14:paraId="64A8B08A" w14:textId="77777777" w:rsidR="008D6614" w:rsidRDefault="008D6614">
            <w:pPr>
              <w:rPr>
                <w:rFonts w:ascii="宋体"/>
                <w:vanish/>
              </w:rPr>
            </w:pPr>
          </w:p>
        </w:tc>
        <w:tc>
          <w:tcPr>
            <w:tcW w:w="0" w:type="auto"/>
            <w:shd w:val="clear" w:color="auto" w:fill="auto"/>
            <w:vAlign w:val="center"/>
          </w:tcPr>
          <w:p w14:paraId="64A8B08B" w14:textId="77777777" w:rsidR="008D6614" w:rsidRDefault="008D6614">
            <w:pPr>
              <w:rPr>
                <w:rFonts w:ascii="宋体"/>
              </w:rPr>
            </w:pPr>
          </w:p>
        </w:tc>
        <w:tc>
          <w:tcPr>
            <w:tcW w:w="0" w:type="auto"/>
            <w:shd w:val="clear" w:color="auto" w:fill="auto"/>
            <w:vAlign w:val="center"/>
          </w:tcPr>
          <w:p w14:paraId="64A8B08C" w14:textId="77777777" w:rsidR="008D6614" w:rsidRDefault="008D6614">
            <w:pPr>
              <w:rPr>
                <w:rFonts w:ascii="宋体"/>
              </w:rPr>
            </w:pPr>
          </w:p>
        </w:tc>
        <w:tc>
          <w:tcPr>
            <w:tcW w:w="0" w:type="auto"/>
            <w:shd w:val="clear" w:color="auto" w:fill="auto"/>
            <w:vAlign w:val="center"/>
          </w:tcPr>
          <w:p w14:paraId="64A8B08D" w14:textId="77777777" w:rsidR="008D6614" w:rsidRDefault="008D6614">
            <w:pPr>
              <w:rPr>
                <w:rFonts w:ascii="宋体"/>
              </w:rPr>
            </w:pPr>
          </w:p>
        </w:tc>
        <w:tc>
          <w:tcPr>
            <w:tcW w:w="0" w:type="auto"/>
            <w:shd w:val="clear" w:color="auto" w:fill="auto"/>
            <w:vAlign w:val="center"/>
          </w:tcPr>
          <w:p w14:paraId="64A8B08E" w14:textId="77777777" w:rsidR="008D6614" w:rsidRDefault="008D6614">
            <w:pPr>
              <w:rPr>
                <w:rFonts w:ascii="宋体"/>
              </w:rPr>
            </w:pPr>
          </w:p>
        </w:tc>
        <w:tc>
          <w:tcPr>
            <w:tcW w:w="0" w:type="auto"/>
            <w:shd w:val="clear" w:color="auto" w:fill="auto"/>
            <w:vAlign w:val="center"/>
          </w:tcPr>
          <w:p w14:paraId="64A8B08F" w14:textId="77777777" w:rsidR="008D6614" w:rsidRDefault="008D6614">
            <w:pPr>
              <w:rPr>
                <w:rFonts w:ascii="宋体"/>
              </w:rPr>
            </w:pPr>
          </w:p>
        </w:tc>
        <w:tc>
          <w:tcPr>
            <w:tcW w:w="0" w:type="auto"/>
            <w:shd w:val="clear" w:color="auto" w:fill="auto"/>
            <w:vAlign w:val="center"/>
          </w:tcPr>
          <w:p w14:paraId="64A8B090" w14:textId="77777777" w:rsidR="008D6614" w:rsidRDefault="008D6614">
            <w:pPr>
              <w:rPr>
                <w:rFonts w:ascii="宋体"/>
              </w:rPr>
            </w:pPr>
          </w:p>
        </w:tc>
      </w:tr>
    </w:tbl>
    <w:p w14:paraId="64A8B092" w14:textId="77777777" w:rsidR="008D6614" w:rsidRDefault="008D6614">
      <w:pPr>
        <w:ind w:firstLine="540"/>
        <w:jc w:val="both"/>
      </w:pPr>
    </w:p>
    <w:p w14:paraId="64A8B093" w14:textId="77777777" w:rsidR="008D6614" w:rsidRDefault="00866AF2">
      <w:pPr>
        <w:ind w:firstLine="540"/>
        <w:jc w:val="both"/>
      </w:pPr>
      <w:r>
        <w:rPr>
          <w:rFonts w:ascii="Arial" w:eastAsia="宋体" w:hAnsi="Arial" w:cs="Arial"/>
          <w:color w:val="000000"/>
          <w:sz w:val="20"/>
          <w:szCs w:val="20"/>
        </w:rPr>
        <w:t>Foreign currency movements relative to the U.S. dollar had a favorable impact of $20 million on operating expenses during the three months ended March 31, 2020 compared to the same period in 2019. There was no hedging activity within operating expenses dur</w:t>
      </w:r>
      <w:r>
        <w:rPr>
          <w:rFonts w:ascii="Arial" w:eastAsia="宋体" w:hAnsi="Arial" w:cs="Arial"/>
          <w:color w:val="000000"/>
          <w:sz w:val="20"/>
          <w:szCs w:val="20"/>
        </w:rPr>
        <w:t xml:space="preserve">ing the three months ended March 31, 2020. </w:t>
      </w:r>
    </w:p>
    <w:p w14:paraId="64A8B094" w14:textId="77777777" w:rsidR="008D6614" w:rsidRDefault="008D6614">
      <w:pPr>
        <w:jc w:val="both"/>
      </w:pPr>
    </w:p>
    <w:p w14:paraId="64A8B095" w14:textId="77777777" w:rsidR="008D6614" w:rsidRDefault="00866AF2">
      <w:r>
        <w:rPr>
          <w:rFonts w:ascii="Arial" w:eastAsia="宋体" w:hAnsi="Arial" w:cs="Arial"/>
          <w:b/>
          <w:bCs/>
          <w:i/>
          <w:iCs/>
          <w:color w:val="000000"/>
          <w:sz w:val="20"/>
          <w:szCs w:val="20"/>
        </w:rPr>
        <w:t>Sales and Marketing</w:t>
      </w:r>
    </w:p>
    <w:p w14:paraId="64A8B096" w14:textId="77777777" w:rsidR="008D6614" w:rsidRDefault="00866AF2">
      <w:pPr>
        <w:jc w:val="both"/>
      </w:pPr>
      <w:r>
        <w:rPr>
          <w:rFonts w:ascii="Arial" w:eastAsia="宋体" w:hAnsi="Arial" w:cs="Arial"/>
          <w:color w:val="000000"/>
          <w:sz w:val="20"/>
          <w:szCs w:val="20"/>
        </w:rPr>
        <w:t> </w:t>
      </w:r>
    </w:p>
    <w:p w14:paraId="64A8B097" w14:textId="77777777" w:rsidR="008D6614" w:rsidRDefault="00866AF2">
      <w:pPr>
        <w:ind w:firstLine="540"/>
        <w:jc w:val="both"/>
      </w:pPr>
      <w:r>
        <w:rPr>
          <w:rFonts w:ascii="Arial" w:eastAsia="宋体" w:hAnsi="Arial" w:cs="Arial"/>
          <w:color w:val="000000"/>
          <w:sz w:val="20"/>
          <w:szCs w:val="20"/>
        </w:rPr>
        <w:t xml:space="preserve">Sales and marketing expenses primarily consist of advertising and marketing program costs (both online and offline), employee compensation, certain user coupons and rewards, </w:t>
      </w:r>
      <w:r>
        <w:rPr>
          <w:rFonts w:ascii="Arial" w:eastAsia="宋体" w:hAnsi="Arial" w:cs="Arial"/>
          <w:color w:val="000000"/>
          <w:sz w:val="20"/>
          <w:szCs w:val="20"/>
        </w:rPr>
        <w:t>contractor costs, facilities costs and depreciation on equipment. Online marketing expenses represent traffic acquisition costs in various channels such as paid search, affiliates marketing and display advertising. Offline advertising primarily includes br</w:t>
      </w:r>
      <w:r>
        <w:rPr>
          <w:rFonts w:ascii="Arial" w:eastAsia="宋体" w:hAnsi="Arial" w:cs="Arial"/>
          <w:color w:val="000000"/>
          <w:sz w:val="20"/>
          <w:szCs w:val="20"/>
        </w:rPr>
        <w:t>and campaigns and buyer/seller communications.</w:t>
      </w:r>
    </w:p>
    <w:p w14:paraId="64A8B098" w14:textId="77777777" w:rsidR="008D6614" w:rsidRDefault="008D6614">
      <w:pPr>
        <w:ind w:firstLine="495"/>
        <w:jc w:val="both"/>
      </w:pPr>
    </w:p>
    <w:p w14:paraId="64A8B099" w14:textId="77777777" w:rsidR="008D6614" w:rsidRDefault="00866AF2">
      <w:pPr>
        <w:ind w:firstLine="540"/>
        <w:jc w:val="both"/>
      </w:pPr>
      <w:r>
        <w:rPr>
          <w:rFonts w:ascii="Arial" w:eastAsia="宋体" w:hAnsi="Arial" w:cs="Arial"/>
          <w:color w:val="000000"/>
          <w:sz w:val="20"/>
          <w:szCs w:val="20"/>
        </w:rPr>
        <w:t xml:space="preserve">The decrease in sales and marketing expense during the three months ended March 31, 2020 compared to the same period in 2019 was primarily due to a decrease in employee-related costs, a favorable impact from </w:t>
      </w:r>
      <w:r>
        <w:rPr>
          <w:rFonts w:ascii="Arial" w:eastAsia="宋体" w:hAnsi="Arial" w:cs="Arial"/>
          <w:color w:val="000000"/>
          <w:sz w:val="20"/>
          <w:szCs w:val="20"/>
        </w:rPr>
        <w:t>foreign currency movements relative to the U.S. dollar and a decrease in user coupons and rewards.</w:t>
      </w:r>
    </w:p>
    <w:p w14:paraId="64A8B09A" w14:textId="77777777" w:rsidR="008D6614" w:rsidRDefault="008D6614">
      <w:pPr>
        <w:ind w:firstLine="540"/>
        <w:jc w:val="both"/>
      </w:pPr>
    </w:p>
    <w:p w14:paraId="64A8B09B" w14:textId="77777777" w:rsidR="008D6614" w:rsidRDefault="00866AF2">
      <w:r>
        <w:rPr>
          <w:rFonts w:ascii="Arial" w:eastAsia="宋体" w:hAnsi="Arial" w:cs="Arial"/>
          <w:b/>
          <w:bCs/>
          <w:i/>
          <w:iCs/>
          <w:color w:val="000000"/>
          <w:sz w:val="20"/>
          <w:szCs w:val="20"/>
        </w:rPr>
        <w:t>Product Development</w:t>
      </w:r>
    </w:p>
    <w:p w14:paraId="64A8B09C" w14:textId="77777777" w:rsidR="008D6614" w:rsidRDefault="00866AF2">
      <w:pPr>
        <w:jc w:val="both"/>
      </w:pPr>
      <w:r>
        <w:rPr>
          <w:rFonts w:ascii="Arial" w:eastAsia="宋体" w:hAnsi="Arial" w:cs="Arial"/>
          <w:color w:val="000000"/>
          <w:sz w:val="20"/>
          <w:szCs w:val="20"/>
        </w:rPr>
        <w:t> </w:t>
      </w:r>
    </w:p>
    <w:p w14:paraId="64A8B09D" w14:textId="77777777" w:rsidR="008D6614" w:rsidRDefault="00866AF2">
      <w:pPr>
        <w:ind w:firstLine="540"/>
        <w:jc w:val="both"/>
      </w:pPr>
      <w:r>
        <w:rPr>
          <w:rFonts w:ascii="Arial" w:eastAsia="宋体" w:hAnsi="Arial" w:cs="Arial"/>
          <w:color w:val="000000"/>
          <w:sz w:val="20"/>
          <w:szCs w:val="20"/>
        </w:rPr>
        <w:t>Product development expenses primarily consist of employee compensation, contractor costs, facilities costs and depreciation on equipm</w:t>
      </w:r>
      <w:r>
        <w:rPr>
          <w:rFonts w:ascii="Arial" w:eastAsia="宋体" w:hAnsi="Arial" w:cs="Arial"/>
          <w:color w:val="000000"/>
          <w:sz w:val="20"/>
          <w:szCs w:val="20"/>
        </w:rPr>
        <w:t>ent. Product development expenses are net of required capitalization of major platform and other product development efforts, including the development and maintenance of our technology platform. Our top technology priorities include payment intermediation</w:t>
      </w:r>
      <w:r>
        <w:rPr>
          <w:rFonts w:ascii="Arial" w:eastAsia="宋体" w:hAnsi="Arial" w:cs="Arial"/>
          <w:color w:val="000000"/>
          <w:sz w:val="20"/>
          <w:szCs w:val="20"/>
        </w:rPr>
        <w:t xml:space="preserve"> capabilities and improved seller tools and buyer experiences built on a foundation of structured data.</w:t>
      </w:r>
    </w:p>
    <w:p w14:paraId="64A8B09E" w14:textId="77777777" w:rsidR="008D6614" w:rsidRDefault="008D6614">
      <w:pPr>
        <w:ind w:firstLine="495"/>
        <w:jc w:val="both"/>
      </w:pPr>
    </w:p>
    <w:p w14:paraId="64A8B09F" w14:textId="77777777" w:rsidR="008D6614" w:rsidRDefault="00866AF2">
      <w:pPr>
        <w:ind w:firstLine="540"/>
        <w:jc w:val="both"/>
      </w:pPr>
      <w:r>
        <w:rPr>
          <w:rFonts w:ascii="Arial" w:eastAsia="宋体" w:hAnsi="Arial" w:cs="Arial"/>
          <w:color w:val="000000"/>
          <w:sz w:val="20"/>
          <w:szCs w:val="20"/>
        </w:rPr>
        <w:t xml:space="preserve">The change in product development expenses during the three months ended March 31, 2020 compared to the same period in 2019 was relatively flat. </w:t>
      </w:r>
    </w:p>
    <w:p w14:paraId="64A8B0A0" w14:textId="77777777" w:rsidR="008D6614" w:rsidRDefault="008D6614">
      <w:pPr>
        <w:ind w:firstLine="540"/>
        <w:jc w:val="both"/>
      </w:pPr>
    </w:p>
    <w:p w14:paraId="64A8B0A1" w14:textId="77777777" w:rsidR="008D6614" w:rsidRDefault="00866AF2">
      <w:pPr>
        <w:ind w:firstLine="540"/>
        <w:jc w:val="both"/>
      </w:pPr>
      <w:r>
        <w:rPr>
          <w:rFonts w:ascii="Arial" w:eastAsia="宋体" w:hAnsi="Arial" w:cs="Arial"/>
          <w:color w:val="000000"/>
          <w:sz w:val="20"/>
          <w:szCs w:val="20"/>
        </w:rPr>
        <w:t>Capi</w:t>
      </w:r>
      <w:r>
        <w:rPr>
          <w:rFonts w:ascii="Arial" w:eastAsia="宋体" w:hAnsi="Arial" w:cs="Arial"/>
          <w:color w:val="000000"/>
          <w:sz w:val="20"/>
          <w:szCs w:val="20"/>
        </w:rPr>
        <w:t>talized internal use and platform development costs were $31 million in the three months ended March 31, 2020 compared to $38 million for the same period in 2019. These costs are primarily reflected as a cost of net revenues when amortized in future period</w:t>
      </w:r>
      <w:r>
        <w:rPr>
          <w:rFonts w:ascii="Arial" w:eastAsia="宋体" w:hAnsi="Arial" w:cs="Arial"/>
          <w:color w:val="000000"/>
          <w:sz w:val="20"/>
          <w:szCs w:val="20"/>
        </w:rPr>
        <w:t>s.</w:t>
      </w:r>
    </w:p>
    <w:p w14:paraId="64A8B0A2" w14:textId="77777777" w:rsidR="008D6614" w:rsidRDefault="008D6614">
      <w:pPr>
        <w:ind w:firstLine="540"/>
        <w:jc w:val="both"/>
      </w:pPr>
    </w:p>
    <w:p w14:paraId="64A8B0A3" w14:textId="77777777" w:rsidR="008D6614" w:rsidRDefault="008D6614">
      <w:pPr>
        <w:jc w:val="center"/>
      </w:pPr>
    </w:p>
    <w:p w14:paraId="64A8B0A4" w14:textId="77777777" w:rsidR="008D6614" w:rsidRDefault="00866AF2">
      <w:pPr>
        <w:jc w:val="center"/>
      </w:pPr>
      <w:r>
        <w:rPr>
          <w:rFonts w:ascii="Arial" w:eastAsia="宋体" w:hAnsi="Arial" w:cs="Arial"/>
          <w:color w:val="000000"/>
          <w:sz w:val="20"/>
          <w:szCs w:val="20"/>
        </w:rPr>
        <w:t>38</w:t>
      </w:r>
    </w:p>
    <w:p w14:paraId="64A8B0A5" w14:textId="77777777" w:rsidR="008D6614" w:rsidRDefault="00866AF2">
      <w:r>
        <w:pict w14:anchorId="64A8BA03">
          <v:rect id="_x0000_i1062" style="width:415.3pt;height:1.5pt" o:hralign="center" o:hrstd="t" o:hr="t" fillcolor="#a0a0a0" stroked="f"/>
        </w:pict>
      </w:r>
    </w:p>
    <w:p w14:paraId="64A8B0A6" w14:textId="77777777" w:rsidR="008D6614" w:rsidRDefault="008D6614"/>
    <w:p w14:paraId="64A8B0A7" w14:textId="77777777" w:rsidR="008D6614" w:rsidRDefault="00866AF2">
      <w:r>
        <w:rPr>
          <w:rFonts w:ascii="Arial" w:eastAsia="宋体" w:hAnsi="Arial" w:cs="Arial"/>
          <w:b/>
          <w:bCs/>
          <w:i/>
          <w:iCs/>
          <w:color w:val="000000"/>
          <w:sz w:val="20"/>
          <w:szCs w:val="20"/>
        </w:rPr>
        <w:t>General and Administrative</w:t>
      </w:r>
    </w:p>
    <w:p w14:paraId="64A8B0A8" w14:textId="77777777" w:rsidR="008D6614" w:rsidRDefault="00866AF2">
      <w:pPr>
        <w:jc w:val="both"/>
      </w:pPr>
      <w:r>
        <w:rPr>
          <w:rFonts w:ascii="Arial" w:eastAsia="宋体" w:hAnsi="Arial" w:cs="Arial"/>
          <w:color w:val="000000"/>
          <w:sz w:val="20"/>
          <w:szCs w:val="20"/>
        </w:rPr>
        <w:t> </w:t>
      </w:r>
    </w:p>
    <w:p w14:paraId="64A8B0A9" w14:textId="77777777" w:rsidR="008D6614" w:rsidRDefault="00866AF2">
      <w:pPr>
        <w:ind w:firstLine="540"/>
        <w:jc w:val="both"/>
      </w:pPr>
      <w:r>
        <w:rPr>
          <w:rFonts w:ascii="Arial" w:eastAsia="宋体" w:hAnsi="Arial" w:cs="Arial"/>
          <w:color w:val="000000"/>
          <w:sz w:val="20"/>
          <w:szCs w:val="20"/>
        </w:rPr>
        <w:t>General and administrative expenses primarily consist of employee compensation, contractor costs, facilities costs, depreciation of equipment, employer payroll taxes on stock-based compensation, legal expenses, restr</w:t>
      </w:r>
      <w:r>
        <w:rPr>
          <w:rFonts w:ascii="Arial" w:eastAsia="宋体" w:hAnsi="Arial" w:cs="Arial"/>
          <w:color w:val="000000"/>
          <w:sz w:val="20"/>
          <w:szCs w:val="20"/>
        </w:rPr>
        <w:t>ucturing, insurance premiums and professional fees. Our legal expenses, including those related to various ongoing legal proceedings, may fluctuate substantially from period to period.</w:t>
      </w:r>
    </w:p>
    <w:p w14:paraId="64A8B0AA" w14:textId="77777777" w:rsidR="008D6614" w:rsidRDefault="008D6614">
      <w:pPr>
        <w:ind w:firstLine="540"/>
        <w:jc w:val="both"/>
      </w:pPr>
    </w:p>
    <w:p w14:paraId="64A8B0AB" w14:textId="77777777" w:rsidR="008D6614" w:rsidRDefault="00866AF2">
      <w:pPr>
        <w:ind w:firstLine="540"/>
        <w:jc w:val="both"/>
      </w:pPr>
      <w:r>
        <w:rPr>
          <w:rFonts w:ascii="Arial" w:eastAsia="宋体" w:hAnsi="Arial" w:cs="Arial"/>
          <w:color w:val="000000"/>
          <w:sz w:val="20"/>
          <w:szCs w:val="20"/>
        </w:rPr>
        <w:t>The decrease in general and administrative expenses during the three m</w:t>
      </w:r>
      <w:r>
        <w:rPr>
          <w:rFonts w:ascii="Arial" w:eastAsia="宋体" w:hAnsi="Arial" w:cs="Arial"/>
          <w:color w:val="000000"/>
          <w:sz w:val="20"/>
          <w:szCs w:val="20"/>
        </w:rPr>
        <w:t>onths ended March 31, 2020 compared to the same period in 2019 was primarily due to restructuring costs related to our global workforce reduction in 2019 and decreases in professional fees and employee-related costs.</w:t>
      </w:r>
    </w:p>
    <w:p w14:paraId="64A8B0AC" w14:textId="77777777" w:rsidR="008D6614" w:rsidRDefault="008D6614">
      <w:pPr>
        <w:ind w:firstLine="540"/>
        <w:jc w:val="both"/>
      </w:pPr>
    </w:p>
    <w:p w14:paraId="64A8B0AD" w14:textId="77777777" w:rsidR="008D6614" w:rsidRDefault="00866AF2">
      <w:r>
        <w:rPr>
          <w:rFonts w:ascii="Arial" w:eastAsia="宋体" w:hAnsi="Arial" w:cs="Arial"/>
          <w:b/>
          <w:bCs/>
          <w:i/>
          <w:iCs/>
          <w:color w:val="000000"/>
          <w:sz w:val="20"/>
          <w:szCs w:val="20"/>
        </w:rPr>
        <w:t>Provision for Transaction Losses</w:t>
      </w:r>
    </w:p>
    <w:p w14:paraId="64A8B0AE" w14:textId="77777777" w:rsidR="008D6614" w:rsidRDefault="008D6614">
      <w:pPr>
        <w:ind w:firstLine="495"/>
        <w:jc w:val="both"/>
      </w:pPr>
    </w:p>
    <w:p w14:paraId="64A8B0AF" w14:textId="77777777" w:rsidR="008D6614" w:rsidRDefault="00866AF2">
      <w:pPr>
        <w:ind w:firstLine="540"/>
        <w:jc w:val="both"/>
      </w:pPr>
      <w:r>
        <w:rPr>
          <w:rFonts w:ascii="Arial" w:eastAsia="宋体" w:hAnsi="Arial" w:cs="Arial"/>
          <w:color w:val="000000"/>
          <w:sz w:val="20"/>
          <w:szCs w:val="20"/>
        </w:rPr>
        <w:t>Provision for transaction losses primarily consists of transaction loss expense associated with our buyer protection programs, fraud and bad debt expense associated with our accounts receivable balance. We expect our provision for transaction losses to flu</w:t>
      </w:r>
      <w:r>
        <w:rPr>
          <w:rFonts w:ascii="Arial" w:eastAsia="宋体" w:hAnsi="Arial" w:cs="Arial"/>
          <w:color w:val="000000"/>
          <w:sz w:val="20"/>
          <w:szCs w:val="20"/>
        </w:rPr>
        <w:t>ctuate depending on many factors, including changes to our protection programs and the impact of regulatory changes.</w:t>
      </w:r>
    </w:p>
    <w:p w14:paraId="64A8B0B0" w14:textId="77777777" w:rsidR="008D6614" w:rsidRDefault="008D6614">
      <w:pPr>
        <w:jc w:val="both"/>
      </w:pPr>
    </w:p>
    <w:p w14:paraId="64A8B0B1" w14:textId="77777777" w:rsidR="008D6614" w:rsidRDefault="00866AF2">
      <w:pPr>
        <w:ind w:firstLine="540"/>
        <w:jc w:val="both"/>
      </w:pPr>
      <w:r>
        <w:rPr>
          <w:rFonts w:ascii="Arial" w:eastAsia="宋体" w:hAnsi="Arial" w:cs="Arial"/>
          <w:color w:val="000000"/>
          <w:sz w:val="20"/>
          <w:szCs w:val="20"/>
        </w:rPr>
        <w:t>The increase in provision for transaction losses during the three months ended March 31, 2020 compared to the same period in 2019 was prim</w:t>
      </w:r>
      <w:r>
        <w:rPr>
          <w:rFonts w:ascii="Arial" w:eastAsia="宋体" w:hAnsi="Arial" w:cs="Arial"/>
          <w:color w:val="000000"/>
          <w:sz w:val="20"/>
          <w:szCs w:val="20"/>
        </w:rPr>
        <w:t xml:space="preserve">arily due to an increase in bad debt expense as a result of additional provisions recognized in light of the current economic environment driven by COVID-19. </w:t>
      </w:r>
    </w:p>
    <w:p w14:paraId="64A8B0B2" w14:textId="77777777" w:rsidR="008D6614" w:rsidRDefault="008D6614">
      <w:pPr>
        <w:ind w:firstLine="540"/>
        <w:jc w:val="both"/>
      </w:pPr>
    </w:p>
    <w:p w14:paraId="64A8B0B3" w14:textId="77777777" w:rsidR="008D6614" w:rsidRDefault="00866AF2">
      <w:pPr>
        <w:jc w:val="both"/>
      </w:pPr>
      <w:r>
        <w:rPr>
          <w:rFonts w:ascii="Arial" w:eastAsia="宋体" w:hAnsi="Arial" w:cs="Arial"/>
          <w:b/>
          <w:bCs/>
          <w:i/>
          <w:iCs/>
          <w:color w:val="000000"/>
          <w:sz w:val="20"/>
          <w:szCs w:val="20"/>
        </w:rPr>
        <w:t>Income from Continuing Operations</w:t>
      </w:r>
    </w:p>
    <w:p w14:paraId="64A8B0B4" w14:textId="77777777" w:rsidR="008D6614" w:rsidRDefault="00866AF2">
      <w:pPr>
        <w:jc w:val="both"/>
      </w:pPr>
      <w:r>
        <w:rPr>
          <w:rFonts w:ascii="Arial" w:eastAsia="宋体" w:hAnsi="Arial" w:cs="Arial"/>
          <w:color w:val="000000"/>
          <w:sz w:val="20"/>
          <w:szCs w:val="20"/>
        </w:rPr>
        <w:t> </w:t>
      </w:r>
    </w:p>
    <w:p w14:paraId="64A8B0B5" w14:textId="77777777" w:rsidR="008D6614" w:rsidRDefault="00866AF2">
      <w:pPr>
        <w:spacing w:after="120"/>
        <w:jc w:val="both"/>
      </w:pPr>
      <w:r>
        <w:rPr>
          <w:rFonts w:ascii="Arial" w:eastAsia="宋体" w:hAnsi="Arial" w:cs="Arial"/>
          <w:color w:val="000000"/>
          <w:sz w:val="20"/>
          <w:szCs w:val="20"/>
        </w:rPr>
        <w:t>The following table presents income from continuing operatio</w:t>
      </w:r>
      <w:r>
        <w:rPr>
          <w:rFonts w:ascii="Arial" w:eastAsia="宋体" w:hAnsi="Arial" w:cs="Arial"/>
          <w:color w:val="000000"/>
          <w:sz w:val="20"/>
          <w:szCs w:val="20"/>
        </w:rPr>
        <w:t>ns (in millions, except percentages):</w:t>
      </w:r>
    </w:p>
    <w:tbl>
      <w:tblPr>
        <w:tblW w:w="4985" w:type="pct"/>
        <w:tblCellMar>
          <w:top w:w="15" w:type="dxa"/>
          <w:left w:w="15" w:type="dxa"/>
          <w:bottom w:w="15" w:type="dxa"/>
          <w:right w:w="15" w:type="dxa"/>
        </w:tblCellMar>
        <w:tblLook w:val="04A0" w:firstRow="1" w:lastRow="0" w:firstColumn="1" w:lastColumn="0" w:noHBand="0" w:noVBand="1"/>
      </w:tblPr>
      <w:tblGrid>
        <w:gridCol w:w="38"/>
        <w:gridCol w:w="4511"/>
        <w:gridCol w:w="37"/>
        <w:gridCol w:w="124"/>
        <w:gridCol w:w="773"/>
        <w:gridCol w:w="178"/>
        <w:gridCol w:w="36"/>
        <w:gridCol w:w="36"/>
        <w:gridCol w:w="36"/>
        <w:gridCol w:w="124"/>
        <w:gridCol w:w="739"/>
        <w:gridCol w:w="178"/>
        <w:gridCol w:w="36"/>
        <w:gridCol w:w="36"/>
        <w:gridCol w:w="36"/>
        <w:gridCol w:w="44"/>
        <w:gridCol w:w="719"/>
        <w:gridCol w:w="178"/>
        <w:gridCol w:w="46"/>
        <w:gridCol w:w="46"/>
        <w:gridCol w:w="36"/>
        <w:gridCol w:w="36"/>
        <w:gridCol w:w="36"/>
        <w:gridCol w:w="36"/>
        <w:gridCol w:w="36"/>
        <w:gridCol w:w="36"/>
        <w:gridCol w:w="36"/>
        <w:gridCol w:w="36"/>
        <w:gridCol w:w="36"/>
        <w:gridCol w:w="36"/>
      </w:tblGrid>
      <w:tr w:rsidR="008D6614" w14:paraId="64A8B0CE" w14:textId="77777777">
        <w:trPr>
          <w:gridAfter w:val="6"/>
        </w:trPr>
        <w:tc>
          <w:tcPr>
            <w:tcW w:w="50" w:type="pct"/>
            <w:shd w:val="clear" w:color="auto" w:fill="auto"/>
            <w:vAlign w:val="center"/>
          </w:tcPr>
          <w:p w14:paraId="64A8B0B6" w14:textId="77777777" w:rsidR="008D6614" w:rsidRDefault="008D6614">
            <w:pPr>
              <w:rPr>
                <w:rFonts w:ascii="宋体"/>
              </w:rPr>
            </w:pPr>
          </w:p>
        </w:tc>
        <w:tc>
          <w:tcPr>
            <w:tcW w:w="2913" w:type="pct"/>
            <w:shd w:val="clear" w:color="auto" w:fill="auto"/>
            <w:vAlign w:val="center"/>
          </w:tcPr>
          <w:p w14:paraId="64A8B0B7" w14:textId="77777777" w:rsidR="008D6614" w:rsidRDefault="008D6614">
            <w:pPr>
              <w:rPr>
                <w:rFonts w:ascii="宋体"/>
              </w:rPr>
            </w:pPr>
          </w:p>
        </w:tc>
        <w:tc>
          <w:tcPr>
            <w:tcW w:w="50" w:type="pct"/>
            <w:shd w:val="clear" w:color="auto" w:fill="auto"/>
            <w:vAlign w:val="center"/>
          </w:tcPr>
          <w:p w14:paraId="64A8B0B8" w14:textId="77777777" w:rsidR="008D6614" w:rsidRDefault="008D6614">
            <w:pPr>
              <w:rPr>
                <w:rFonts w:ascii="宋体"/>
              </w:rPr>
            </w:pPr>
          </w:p>
        </w:tc>
        <w:tc>
          <w:tcPr>
            <w:tcW w:w="50" w:type="pct"/>
            <w:shd w:val="clear" w:color="auto" w:fill="auto"/>
            <w:vAlign w:val="center"/>
          </w:tcPr>
          <w:p w14:paraId="64A8B0B9" w14:textId="77777777" w:rsidR="008D6614" w:rsidRDefault="008D6614">
            <w:pPr>
              <w:rPr>
                <w:rFonts w:ascii="宋体"/>
              </w:rPr>
            </w:pPr>
          </w:p>
        </w:tc>
        <w:tc>
          <w:tcPr>
            <w:tcW w:w="537" w:type="pct"/>
            <w:shd w:val="clear" w:color="auto" w:fill="auto"/>
            <w:vAlign w:val="center"/>
          </w:tcPr>
          <w:p w14:paraId="64A8B0BA" w14:textId="77777777" w:rsidR="008D6614" w:rsidRDefault="008D6614">
            <w:pPr>
              <w:rPr>
                <w:rFonts w:ascii="宋体"/>
              </w:rPr>
            </w:pPr>
          </w:p>
        </w:tc>
        <w:tc>
          <w:tcPr>
            <w:tcW w:w="50" w:type="pct"/>
            <w:shd w:val="clear" w:color="auto" w:fill="auto"/>
            <w:vAlign w:val="center"/>
          </w:tcPr>
          <w:p w14:paraId="64A8B0BB" w14:textId="77777777" w:rsidR="008D6614" w:rsidRDefault="008D6614">
            <w:pPr>
              <w:rPr>
                <w:rFonts w:ascii="宋体"/>
              </w:rPr>
            </w:pPr>
          </w:p>
        </w:tc>
        <w:tc>
          <w:tcPr>
            <w:tcW w:w="5" w:type="pct"/>
            <w:shd w:val="clear" w:color="auto" w:fill="auto"/>
            <w:vAlign w:val="center"/>
          </w:tcPr>
          <w:p w14:paraId="64A8B0BC" w14:textId="77777777" w:rsidR="008D6614" w:rsidRDefault="008D6614">
            <w:pPr>
              <w:rPr>
                <w:rFonts w:ascii="宋体"/>
              </w:rPr>
            </w:pPr>
          </w:p>
        </w:tc>
        <w:tc>
          <w:tcPr>
            <w:tcW w:w="26" w:type="pct"/>
            <w:shd w:val="clear" w:color="auto" w:fill="auto"/>
            <w:vAlign w:val="center"/>
          </w:tcPr>
          <w:p w14:paraId="64A8B0BD" w14:textId="77777777" w:rsidR="008D6614" w:rsidRDefault="008D6614">
            <w:pPr>
              <w:rPr>
                <w:rFonts w:ascii="宋体"/>
              </w:rPr>
            </w:pPr>
          </w:p>
        </w:tc>
        <w:tc>
          <w:tcPr>
            <w:tcW w:w="5" w:type="pct"/>
            <w:shd w:val="clear" w:color="auto" w:fill="auto"/>
            <w:vAlign w:val="center"/>
          </w:tcPr>
          <w:p w14:paraId="64A8B0BE" w14:textId="77777777" w:rsidR="008D6614" w:rsidRDefault="008D6614">
            <w:pPr>
              <w:rPr>
                <w:rFonts w:ascii="宋体"/>
              </w:rPr>
            </w:pPr>
          </w:p>
        </w:tc>
        <w:tc>
          <w:tcPr>
            <w:tcW w:w="50" w:type="pct"/>
            <w:shd w:val="clear" w:color="auto" w:fill="auto"/>
            <w:vAlign w:val="center"/>
          </w:tcPr>
          <w:p w14:paraId="64A8B0BF" w14:textId="77777777" w:rsidR="008D6614" w:rsidRDefault="008D6614">
            <w:pPr>
              <w:rPr>
                <w:rFonts w:ascii="宋体"/>
              </w:rPr>
            </w:pPr>
          </w:p>
        </w:tc>
        <w:tc>
          <w:tcPr>
            <w:tcW w:w="537" w:type="pct"/>
            <w:shd w:val="clear" w:color="auto" w:fill="auto"/>
            <w:vAlign w:val="center"/>
          </w:tcPr>
          <w:p w14:paraId="64A8B0C0" w14:textId="77777777" w:rsidR="008D6614" w:rsidRDefault="008D6614">
            <w:pPr>
              <w:rPr>
                <w:rFonts w:ascii="宋体"/>
              </w:rPr>
            </w:pPr>
          </w:p>
        </w:tc>
        <w:tc>
          <w:tcPr>
            <w:tcW w:w="50" w:type="pct"/>
            <w:shd w:val="clear" w:color="auto" w:fill="auto"/>
            <w:vAlign w:val="center"/>
          </w:tcPr>
          <w:p w14:paraId="64A8B0C1" w14:textId="77777777" w:rsidR="008D6614" w:rsidRDefault="008D6614">
            <w:pPr>
              <w:rPr>
                <w:rFonts w:ascii="宋体"/>
              </w:rPr>
            </w:pPr>
          </w:p>
        </w:tc>
        <w:tc>
          <w:tcPr>
            <w:tcW w:w="5" w:type="pct"/>
            <w:shd w:val="clear" w:color="auto" w:fill="auto"/>
            <w:vAlign w:val="center"/>
          </w:tcPr>
          <w:p w14:paraId="64A8B0C2" w14:textId="77777777" w:rsidR="008D6614" w:rsidRDefault="008D6614">
            <w:pPr>
              <w:rPr>
                <w:rFonts w:ascii="宋体"/>
              </w:rPr>
            </w:pPr>
          </w:p>
        </w:tc>
        <w:tc>
          <w:tcPr>
            <w:tcW w:w="26" w:type="pct"/>
            <w:shd w:val="clear" w:color="auto" w:fill="auto"/>
            <w:vAlign w:val="center"/>
          </w:tcPr>
          <w:p w14:paraId="64A8B0C3" w14:textId="77777777" w:rsidR="008D6614" w:rsidRDefault="008D6614">
            <w:pPr>
              <w:rPr>
                <w:rFonts w:ascii="宋体"/>
              </w:rPr>
            </w:pPr>
          </w:p>
        </w:tc>
        <w:tc>
          <w:tcPr>
            <w:tcW w:w="5" w:type="pct"/>
            <w:shd w:val="clear" w:color="auto" w:fill="auto"/>
            <w:vAlign w:val="center"/>
          </w:tcPr>
          <w:p w14:paraId="64A8B0C4" w14:textId="77777777" w:rsidR="008D6614" w:rsidRDefault="008D6614">
            <w:pPr>
              <w:rPr>
                <w:rFonts w:ascii="宋体"/>
              </w:rPr>
            </w:pPr>
          </w:p>
        </w:tc>
        <w:tc>
          <w:tcPr>
            <w:tcW w:w="50" w:type="pct"/>
            <w:shd w:val="clear" w:color="auto" w:fill="auto"/>
            <w:vAlign w:val="center"/>
          </w:tcPr>
          <w:p w14:paraId="64A8B0C5" w14:textId="77777777" w:rsidR="008D6614" w:rsidRDefault="008D6614">
            <w:pPr>
              <w:rPr>
                <w:rFonts w:ascii="宋体"/>
              </w:rPr>
            </w:pPr>
          </w:p>
        </w:tc>
        <w:tc>
          <w:tcPr>
            <w:tcW w:w="537" w:type="pct"/>
            <w:shd w:val="clear" w:color="auto" w:fill="auto"/>
            <w:vAlign w:val="center"/>
          </w:tcPr>
          <w:p w14:paraId="64A8B0C6" w14:textId="77777777" w:rsidR="008D6614" w:rsidRDefault="008D6614">
            <w:pPr>
              <w:rPr>
                <w:rFonts w:ascii="宋体"/>
              </w:rPr>
            </w:pPr>
          </w:p>
        </w:tc>
        <w:tc>
          <w:tcPr>
            <w:tcW w:w="50" w:type="pct"/>
            <w:shd w:val="clear" w:color="auto" w:fill="auto"/>
            <w:vAlign w:val="center"/>
          </w:tcPr>
          <w:p w14:paraId="64A8B0C7" w14:textId="77777777" w:rsidR="008D6614" w:rsidRDefault="008D6614">
            <w:pPr>
              <w:rPr>
                <w:rFonts w:ascii="宋体"/>
              </w:rPr>
            </w:pPr>
          </w:p>
        </w:tc>
        <w:tc>
          <w:tcPr>
            <w:tcW w:w="0" w:type="auto"/>
            <w:shd w:val="clear" w:color="auto" w:fill="auto"/>
            <w:vAlign w:val="center"/>
          </w:tcPr>
          <w:p w14:paraId="64A8B0C8" w14:textId="77777777" w:rsidR="008D6614" w:rsidRDefault="008D6614">
            <w:pPr>
              <w:rPr>
                <w:rFonts w:ascii="宋体"/>
                <w:vanish/>
              </w:rPr>
            </w:pPr>
          </w:p>
        </w:tc>
        <w:tc>
          <w:tcPr>
            <w:tcW w:w="0" w:type="auto"/>
            <w:shd w:val="clear" w:color="auto" w:fill="auto"/>
            <w:vAlign w:val="center"/>
          </w:tcPr>
          <w:p w14:paraId="64A8B0C9" w14:textId="77777777" w:rsidR="008D6614" w:rsidRDefault="008D6614">
            <w:pPr>
              <w:rPr>
                <w:rFonts w:ascii="宋体"/>
                <w:vanish/>
              </w:rPr>
            </w:pPr>
          </w:p>
        </w:tc>
        <w:tc>
          <w:tcPr>
            <w:tcW w:w="0" w:type="auto"/>
            <w:shd w:val="clear" w:color="auto" w:fill="auto"/>
            <w:vAlign w:val="center"/>
          </w:tcPr>
          <w:p w14:paraId="64A8B0CA" w14:textId="77777777" w:rsidR="008D6614" w:rsidRDefault="008D6614">
            <w:pPr>
              <w:rPr>
                <w:rFonts w:ascii="宋体"/>
                <w:vanish/>
              </w:rPr>
            </w:pPr>
          </w:p>
        </w:tc>
        <w:tc>
          <w:tcPr>
            <w:tcW w:w="0" w:type="auto"/>
            <w:shd w:val="clear" w:color="auto" w:fill="auto"/>
            <w:vAlign w:val="center"/>
          </w:tcPr>
          <w:p w14:paraId="64A8B0CB" w14:textId="77777777" w:rsidR="008D6614" w:rsidRDefault="008D6614">
            <w:pPr>
              <w:rPr>
                <w:rFonts w:ascii="宋体"/>
                <w:vanish/>
              </w:rPr>
            </w:pPr>
          </w:p>
        </w:tc>
        <w:tc>
          <w:tcPr>
            <w:tcW w:w="0" w:type="auto"/>
            <w:shd w:val="clear" w:color="auto" w:fill="auto"/>
            <w:vAlign w:val="center"/>
          </w:tcPr>
          <w:p w14:paraId="64A8B0CC" w14:textId="77777777" w:rsidR="008D6614" w:rsidRDefault="008D6614">
            <w:pPr>
              <w:rPr>
                <w:rFonts w:ascii="宋体"/>
                <w:vanish/>
              </w:rPr>
            </w:pPr>
          </w:p>
        </w:tc>
        <w:tc>
          <w:tcPr>
            <w:tcW w:w="0" w:type="auto"/>
            <w:shd w:val="clear" w:color="auto" w:fill="auto"/>
            <w:vAlign w:val="center"/>
          </w:tcPr>
          <w:p w14:paraId="64A8B0CD" w14:textId="77777777" w:rsidR="008D6614" w:rsidRDefault="008D6614">
            <w:pPr>
              <w:rPr>
                <w:rFonts w:ascii="宋体"/>
                <w:vanish/>
              </w:rPr>
            </w:pPr>
          </w:p>
        </w:tc>
      </w:tr>
      <w:tr w:rsidR="008D6614" w14:paraId="64A8B0DB" w14:textId="77777777">
        <w:tc>
          <w:tcPr>
            <w:tcW w:w="0" w:type="auto"/>
            <w:gridSpan w:val="3"/>
            <w:shd w:val="clear" w:color="auto" w:fill="auto"/>
            <w:tcMar>
              <w:top w:w="40" w:type="dxa"/>
              <w:left w:w="20" w:type="dxa"/>
              <w:bottom w:w="40" w:type="dxa"/>
              <w:right w:w="20" w:type="dxa"/>
            </w:tcMar>
            <w:vAlign w:val="bottom"/>
          </w:tcPr>
          <w:p w14:paraId="64A8B0CF" w14:textId="77777777" w:rsidR="008D6614" w:rsidRDefault="00866AF2">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A8B0D0"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vAlign w:val="center"/>
          </w:tcPr>
          <w:p w14:paraId="64A8B0D1" w14:textId="77777777" w:rsidR="008D6614" w:rsidRDefault="008D6614">
            <w:pPr>
              <w:rPr>
                <w:rFonts w:ascii="宋体"/>
                <w:vanish/>
              </w:rPr>
            </w:pPr>
          </w:p>
        </w:tc>
        <w:tc>
          <w:tcPr>
            <w:tcW w:w="0" w:type="auto"/>
            <w:gridSpan w:val="3"/>
            <w:shd w:val="clear" w:color="auto" w:fill="auto"/>
            <w:vAlign w:val="center"/>
          </w:tcPr>
          <w:p w14:paraId="64A8B0D2" w14:textId="77777777" w:rsidR="008D6614" w:rsidRDefault="008D6614">
            <w:pPr>
              <w:rPr>
                <w:rFonts w:ascii="宋体"/>
                <w:vanish/>
              </w:rPr>
            </w:pPr>
          </w:p>
        </w:tc>
        <w:tc>
          <w:tcPr>
            <w:tcW w:w="0" w:type="auto"/>
            <w:shd w:val="clear" w:color="auto" w:fill="auto"/>
            <w:tcMar>
              <w:left w:w="20" w:type="dxa"/>
              <w:right w:w="20" w:type="dxa"/>
            </w:tcMar>
            <w:vAlign w:val="bottom"/>
          </w:tcPr>
          <w:p w14:paraId="64A8B0D3" w14:textId="77777777" w:rsidR="008D6614" w:rsidRDefault="008D6614">
            <w:pPr>
              <w:rPr>
                <w:rFonts w:ascii="宋体"/>
              </w:rPr>
            </w:pPr>
          </w:p>
        </w:tc>
        <w:tc>
          <w:tcPr>
            <w:tcW w:w="0" w:type="auto"/>
            <w:shd w:val="clear" w:color="auto" w:fill="auto"/>
            <w:tcMar>
              <w:left w:w="20" w:type="dxa"/>
              <w:right w:w="20" w:type="dxa"/>
            </w:tcMar>
            <w:vAlign w:val="bottom"/>
          </w:tcPr>
          <w:p w14:paraId="64A8B0D4" w14:textId="77777777" w:rsidR="008D6614" w:rsidRDefault="008D6614">
            <w:pPr>
              <w:rPr>
                <w:rFonts w:ascii="宋体"/>
              </w:rPr>
            </w:pPr>
          </w:p>
        </w:tc>
        <w:tc>
          <w:tcPr>
            <w:tcW w:w="0" w:type="auto"/>
            <w:shd w:val="clear" w:color="auto" w:fill="auto"/>
            <w:vAlign w:val="center"/>
          </w:tcPr>
          <w:p w14:paraId="64A8B0D5" w14:textId="77777777" w:rsidR="008D6614" w:rsidRDefault="008D6614">
            <w:pPr>
              <w:rPr>
                <w:rFonts w:ascii="宋体"/>
                <w:vanish/>
              </w:rPr>
            </w:pPr>
          </w:p>
        </w:tc>
        <w:tc>
          <w:tcPr>
            <w:tcW w:w="0" w:type="auto"/>
            <w:shd w:val="clear" w:color="auto" w:fill="auto"/>
            <w:vAlign w:val="center"/>
          </w:tcPr>
          <w:p w14:paraId="64A8B0D6" w14:textId="77777777" w:rsidR="008D6614" w:rsidRDefault="008D6614">
            <w:pPr>
              <w:rPr>
                <w:rFonts w:ascii="宋体"/>
                <w:vanish/>
              </w:rPr>
            </w:pPr>
          </w:p>
        </w:tc>
        <w:tc>
          <w:tcPr>
            <w:tcW w:w="0" w:type="auto"/>
            <w:shd w:val="clear" w:color="auto" w:fill="auto"/>
            <w:vAlign w:val="center"/>
          </w:tcPr>
          <w:p w14:paraId="64A8B0D7" w14:textId="77777777" w:rsidR="008D6614" w:rsidRDefault="008D6614">
            <w:pPr>
              <w:rPr>
                <w:rFonts w:ascii="宋体"/>
                <w:vanish/>
              </w:rPr>
            </w:pPr>
          </w:p>
        </w:tc>
        <w:tc>
          <w:tcPr>
            <w:tcW w:w="0" w:type="auto"/>
            <w:shd w:val="clear" w:color="auto" w:fill="auto"/>
            <w:vAlign w:val="center"/>
          </w:tcPr>
          <w:p w14:paraId="64A8B0D8" w14:textId="77777777" w:rsidR="008D6614" w:rsidRDefault="008D6614">
            <w:pPr>
              <w:rPr>
                <w:rFonts w:ascii="宋体"/>
                <w:vanish/>
              </w:rPr>
            </w:pPr>
          </w:p>
        </w:tc>
        <w:tc>
          <w:tcPr>
            <w:tcW w:w="0" w:type="auto"/>
            <w:gridSpan w:val="3"/>
            <w:shd w:val="clear" w:color="auto" w:fill="auto"/>
            <w:vAlign w:val="center"/>
          </w:tcPr>
          <w:p w14:paraId="64A8B0D9" w14:textId="77777777" w:rsidR="008D6614" w:rsidRDefault="008D6614">
            <w:pPr>
              <w:rPr>
                <w:rFonts w:ascii="宋体"/>
                <w:vanish/>
              </w:rPr>
            </w:pPr>
          </w:p>
        </w:tc>
        <w:tc>
          <w:tcPr>
            <w:tcW w:w="0" w:type="auto"/>
            <w:gridSpan w:val="3"/>
            <w:shd w:val="clear" w:color="auto" w:fill="auto"/>
            <w:vAlign w:val="center"/>
          </w:tcPr>
          <w:p w14:paraId="64A8B0DA" w14:textId="77777777" w:rsidR="008D6614" w:rsidRDefault="008D6614">
            <w:pPr>
              <w:rPr>
                <w:rFonts w:ascii="宋体"/>
                <w:vanish/>
              </w:rPr>
            </w:pPr>
          </w:p>
        </w:tc>
      </w:tr>
      <w:tr w:rsidR="008D6614" w14:paraId="64A8B0EE" w14:textId="77777777">
        <w:tc>
          <w:tcPr>
            <w:tcW w:w="0" w:type="auto"/>
            <w:gridSpan w:val="3"/>
            <w:shd w:val="clear" w:color="auto" w:fill="auto"/>
            <w:tcMar>
              <w:top w:w="40" w:type="dxa"/>
              <w:left w:w="20" w:type="dxa"/>
              <w:bottom w:w="40" w:type="dxa"/>
              <w:right w:w="20" w:type="dxa"/>
            </w:tcMar>
            <w:vAlign w:val="bottom"/>
          </w:tcPr>
          <w:p w14:paraId="64A8B0DC" w14:textId="77777777" w:rsidR="008D6614" w:rsidRDefault="00866AF2">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0DD" w14:textId="77777777" w:rsidR="008D6614" w:rsidRDefault="00866AF2">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64A8B0DE"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0DF" w14:textId="77777777" w:rsidR="008D6614" w:rsidRDefault="00866AF2">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64A8B0E0"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0E1" w14:textId="77777777" w:rsidR="008D6614" w:rsidRDefault="00866AF2">
            <w:pPr>
              <w:jc w:val="center"/>
              <w:textAlignment w:val="bottom"/>
            </w:pPr>
            <w:r>
              <w:rPr>
                <w:rFonts w:ascii="Arial" w:eastAsia="宋体" w:hAnsi="Arial" w:cs="Arial"/>
                <w:b/>
                <w:bCs/>
                <w:color w:val="000000"/>
                <w:sz w:val="14"/>
                <w:szCs w:val="14"/>
              </w:rPr>
              <w:t>% Change</w:t>
            </w:r>
          </w:p>
        </w:tc>
        <w:tc>
          <w:tcPr>
            <w:tcW w:w="0" w:type="auto"/>
            <w:shd w:val="clear" w:color="auto" w:fill="auto"/>
            <w:vAlign w:val="center"/>
          </w:tcPr>
          <w:p w14:paraId="64A8B0E2" w14:textId="77777777" w:rsidR="008D6614" w:rsidRDefault="008D6614">
            <w:pPr>
              <w:rPr>
                <w:rFonts w:ascii="宋体"/>
                <w:vanish/>
              </w:rPr>
            </w:pPr>
          </w:p>
        </w:tc>
        <w:tc>
          <w:tcPr>
            <w:tcW w:w="0" w:type="auto"/>
            <w:shd w:val="clear" w:color="auto" w:fill="auto"/>
            <w:vAlign w:val="center"/>
          </w:tcPr>
          <w:p w14:paraId="64A8B0E3" w14:textId="77777777" w:rsidR="008D6614" w:rsidRDefault="008D6614">
            <w:pPr>
              <w:rPr>
                <w:rFonts w:ascii="宋体"/>
                <w:vanish/>
              </w:rPr>
            </w:pPr>
          </w:p>
        </w:tc>
        <w:tc>
          <w:tcPr>
            <w:tcW w:w="0" w:type="auto"/>
            <w:shd w:val="clear" w:color="auto" w:fill="auto"/>
            <w:vAlign w:val="center"/>
          </w:tcPr>
          <w:p w14:paraId="64A8B0E4" w14:textId="77777777" w:rsidR="008D6614" w:rsidRDefault="008D6614">
            <w:pPr>
              <w:rPr>
                <w:rFonts w:ascii="宋体"/>
                <w:vanish/>
              </w:rPr>
            </w:pPr>
          </w:p>
        </w:tc>
        <w:tc>
          <w:tcPr>
            <w:tcW w:w="0" w:type="auto"/>
            <w:shd w:val="clear" w:color="auto" w:fill="auto"/>
            <w:vAlign w:val="center"/>
          </w:tcPr>
          <w:p w14:paraId="64A8B0E5" w14:textId="77777777" w:rsidR="008D6614" w:rsidRDefault="008D6614">
            <w:pPr>
              <w:rPr>
                <w:rFonts w:ascii="宋体"/>
                <w:vanish/>
              </w:rPr>
            </w:pPr>
          </w:p>
        </w:tc>
        <w:tc>
          <w:tcPr>
            <w:tcW w:w="0" w:type="auto"/>
            <w:shd w:val="clear" w:color="auto" w:fill="auto"/>
            <w:vAlign w:val="center"/>
          </w:tcPr>
          <w:p w14:paraId="64A8B0E6" w14:textId="77777777" w:rsidR="008D6614" w:rsidRDefault="008D6614">
            <w:pPr>
              <w:rPr>
                <w:rFonts w:ascii="宋体"/>
                <w:vanish/>
              </w:rPr>
            </w:pPr>
          </w:p>
        </w:tc>
        <w:tc>
          <w:tcPr>
            <w:tcW w:w="0" w:type="auto"/>
            <w:shd w:val="clear" w:color="auto" w:fill="auto"/>
            <w:vAlign w:val="center"/>
          </w:tcPr>
          <w:p w14:paraId="64A8B0E7" w14:textId="77777777" w:rsidR="008D6614" w:rsidRDefault="008D6614">
            <w:pPr>
              <w:rPr>
                <w:rFonts w:ascii="宋体"/>
                <w:vanish/>
              </w:rPr>
            </w:pPr>
          </w:p>
        </w:tc>
        <w:tc>
          <w:tcPr>
            <w:tcW w:w="0" w:type="auto"/>
            <w:shd w:val="clear" w:color="auto" w:fill="auto"/>
            <w:vAlign w:val="center"/>
          </w:tcPr>
          <w:p w14:paraId="64A8B0E8" w14:textId="77777777" w:rsidR="008D6614" w:rsidRDefault="008D6614">
            <w:pPr>
              <w:rPr>
                <w:rFonts w:ascii="宋体"/>
              </w:rPr>
            </w:pPr>
          </w:p>
        </w:tc>
        <w:tc>
          <w:tcPr>
            <w:tcW w:w="0" w:type="auto"/>
            <w:shd w:val="clear" w:color="auto" w:fill="auto"/>
            <w:vAlign w:val="center"/>
          </w:tcPr>
          <w:p w14:paraId="64A8B0E9" w14:textId="77777777" w:rsidR="008D6614" w:rsidRDefault="008D6614">
            <w:pPr>
              <w:rPr>
                <w:rFonts w:ascii="宋体"/>
              </w:rPr>
            </w:pPr>
          </w:p>
        </w:tc>
        <w:tc>
          <w:tcPr>
            <w:tcW w:w="0" w:type="auto"/>
            <w:shd w:val="clear" w:color="auto" w:fill="auto"/>
            <w:vAlign w:val="center"/>
          </w:tcPr>
          <w:p w14:paraId="64A8B0EA" w14:textId="77777777" w:rsidR="008D6614" w:rsidRDefault="008D6614">
            <w:pPr>
              <w:rPr>
                <w:rFonts w:ascii="宋体"/>
              </w:rPr>
            </w:pPr>
          </w:p>
        </w:tc>
        <w:tc>
          <w:tcPr>
            <w:tcW w:w="0" w:type="auto"/>
            <w:shd w:val="clear" w:color="auto" w:fill="auto"/>
            <w:vAlign w:val="center"/>
          </w:tcPr>
          <w:p w14:paraId="64A8B0EB" w14:textId="77777777" w:rsidR="008D6614" w:rsidRDefault="008D6614">
            <w:pPr>
              <w:rPr>
                <w:rFonts w:ascii="宋体"/>
              </w:rPr>
            </w:pPr>
          </w:p>
        </w:tc>
        <w:tc>
          <w:tcPr>
            <w:tcW w:w="0" w:type="auto"/>
            <w:shd w:val="clear" w:color="auto" w:fill="auto"/>
            <w:vAlign w:val="center"/>
          </w:tcPr>
          <w:p w14:paraId="64A8B0EC" w14:textId="77777777" w:rsidR="008D6614" w:rsidRDefault="008D6614">
            <w:pPr>
              <w:rPr>
                <w:rFonts w:ascii="宋体"/>
              </w:rPr>
            </w:pPr>
          </w:p>
        </w:tc>
        <w:tc>
          <w:tcPr>
            <w:tcW w:w="0" w:type="auto"/>
            <w:shd w:val="clear" w:color="auto" w:fill="auto"/>
            <w:vAlign w:val="center"/>
          </w:tcPr>
          <w:p w14:paraId="64A8B0ED" w14:textId="77777777" w:rsidR="008D6614" w:rsidRDefault="008D6614">
            <w:pPr>
              <w:rPr>
                <w:rFonts w:ascii="宋体"/>
              </w:rPr>
            </w:pPr>
          </w:p>
        </w:tc>
      </w:tr>
      <w:tr w:rsidR="008D6614" w14:paraId="64A8B106" w14:textId="77777777">
        <w:tc>
          <w:tcPr>
            <w:tcW w:w="0" w:type="auto"/>
            <w:gridSpan w:val="3"/>
            <w:shd w:val="clear" w:color="auto" w:fill="E2E2E2"/>
            <w:tcMar>
              <w:top w:w="40" w:type="dxa"/>
              <w:left w:w="20" w:type="dxa"/>
              <w:bottom w:w="40" w:type="dxa"/>
              <w:right w:w="20" w:type="dxa"/>
            </w:tcMar>
            <w:vAlign w:val="bottom"/>
          </w:tcPr>
          <w:p w14:paraId="64A8B0EF" w14:textId="77777777" w:rsidR="008D6614" w:rsidRDefault="00866AF2">
            <w:pPr>
              <w:textAlignment w:val="bottom"/>
            </w:pPr>
            <w:r>
              <w:rPr>
                <w:rFonts w:ascii="Arial" w:eastAsia="宋体" w:hAnsi="Arial" w:cs="Arial"/>
                <w:color w:val="000000"/>
                <w:sz w:val="16"/>
                <w:szCs w:val="16"/>
              </w:rPr>
              <w:t>Income from continuing operations</w:t>
            </w:r>
          </w:p>
        </w:tc>
        <w:tc>
          <w:tcPr>
            <w:tcW w:w="0" w:type="auto"/>
            <w:tcBorders>
              <w:top w:val="single" w:sz="8" w:space="0" w:color="000000"/>
            </w:tcBorders>
            <w:shd w:val="clear" w:color="auto" w:fill="E2E2E2"/>
            <w:tcMar>
              <w:top w:w="40" w:type="dxa"/>
              <w:left w:w="20" w:type="dxa"/>
              <w:bottom w:w="40" w:type="dxa"/>
            </w:tcMar>
            <w:vAlign w:val="bottom"/>
          </w:tcPr>
          <w:p w14:paraId="64A8B0F0"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B0F1" w14:textId="77777777" w:rsidR="008D6614" w:rsidRDefault="00866AF2">
            <w:pPr>
              <w:jc w:val="right"/>
              <w:textAlignment w:val="bottom"/>
            </w:pPr>
            <w:r>
              <w:rPr>
                <w:rFonts w:ascii="Arial" w:eastAsia="宋体" w:hAnsi="Arial" w:cs="Arial"/>
                <w:color w:val="000000"/>
                <w:sz w:val="16"/>
                <w:szCs w:val="16"/>
              </w:rPr>
              <w:t>629 </w:t>
            </w:r>
          </w:p>
        </w:tc>
        <w:tc>
          <w:tcPr>
            <w:tcW w:w="0" w:type="auto"/>
            <w:tcBorders>
              <w:top w:val="single" w:sz="8" w:space="0" w:color="000000"/>
            </w:tcBorders>
            <w:shd w:val="clear" w:color="auto" w:fill="E2E2E2"/>
            <w:tcMar>
              <w:top w:w="40" w:type="dxa"/>
              <w:bottom w:w="40" w:type="dxa"/>
              <w:right w:w="20" w:type="dxa"/>
            </w:tcMar>
            <w:vAlign w:val="bottom"/>
          </w:tcPr>
          <w:p w14:paraId="64A8B0F2"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0F3"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B0F4"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B0F5" w14:textId="77777777" w:rsidR="008D6614" w:rsidRDefault="00866AF2">
            <w:pPr>
              <w:jc w:val="right"/>
              <w:textAlignment w:val="bottom"/>
            </w:pPr>
            <w:r>
              <w:rPr>
                <w:rFonts w:ascii="Arial" w:eastAsia="宋体" w:hAnsi="Arial" w:cs="Arial"/>
                <w:color w:val="000000"/>
                <w:sz w:val="16"/>
                <w:szCs w:val="16"/>
              </w:rPr>
              <w:t>593 </w:t>
            </w:r>
          </w:p>
        </w:tc>
        <w:tc>
          <w:tcPr>
            <w:tcW w:w="0" w:type="auto"/>
            <w:tcBorders>
              <w:top w:val="single" w:sz="8" w:space="0" w:color="000000"/>
            </w:tcBorders>
            <w:shd w:val="clear" w:color="auto" w:fill="E2E2E2"/>
            <w:tcMar>
              <w:top w:w="40" w:type="dxa"/>
              <w:bottom w:w="40" w:type="dxa"/>
              <w:right w:w="20" w:type="dxa"/>
            </w:tcMar>
            <w:vAlign w:val="bottom"/>
          </w:tcPr>
          <w:p w14:paraId="64A8B0F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0F7"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B0F8" w14:textId="77777777" w:rsidR="008D6614" w:rsidRDefault="00866AF2">
            <w:pPr>
              <w:jc w:val="right"/>
              <w:textAlignment w:val="bottom"/>
            </w:pPr>
            <w:r>
              <w:rPr>
                <w:rFonts w:ascii="Arial" w:eastAsia="宋体" w:hAnsi="Arial" w:cs="Arial"/>
                <w:color w:val="000000"/>
                <w:sz w:val="16"/>
                <w:szCs w:val="16"/>
              </w:rPr>
              <w:t>6 </w:t>
            </w:r>
          </w:p>
        </w:tc>
        <w:tc>
          <w:tcPr>
            <w:tcW w:w="0" w:type="auto"/>
            <w:tcBorders>
              <w:top w:val="single" w:sz="8" w:space="0" w:color="000000"/>
            </w:tcBorders>
            <w:shd w:val="clear" w:color="auto" w:fill="E2E2E2"/>
            <w:tcMar>
              <w:top w:w="40" w:type="dxa"/>
              <w:bottom w:w="40" w:type="dxa"/>
              <w:right w:w="20" w:type="dxa"/>
            </w:tcMar>
            <w:vAlign w:val="bottom"/>
          </w:tcPr>
          <w:p w14:paraId="64A8B0F9"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0FA" w14:textId="77777777" w:rsidR="008D6614" w:rsidRDefault="008D6614">
            <w:pPr>
              <w:rPr>
                <w:rFonts w:ascii="宋体"/>
                <w:vanish/>
              </w:rPr>
            </w:pPr>
          </w:p>
        </w:tc>
        <w:tc>
          <w:tcPr>
            <w:tcW w:w="0" w:type="auto"/>
            <w:shd w:val="clear" w:color="auto" w:fill="auto"/>
            <w:vAlign w:val="center"/>
          </w:tcPr>
          <w:p w14:paraId="64A8B0FB" w14:textId="77777777" w:rsidR="008D6614" w:rsidRDefault="008D6614">
            <w:pPr>
              <w:rPr>
                <w:rFonts w:ascii="宋体"/>
                <w:vanish/>
              </w:rPr>
            </w:pPr>
          </w:p>
        </w:tc>
        <w:tc>
          <w:tcPr>
            <w:tcW w:w="0" w:type="auto"/>
            <w:shd w:val="clear" w:color="auto" w:fill="auto"/>
            <w:vAlign w:val="center"/>
          </w:tcPr>
          <w:p w14:paraId="64A8B0FC" w14:textId="77777777" w:rsidR="008D6614" w:rsidRDefault="008D6614">
            <w:pPr>
              <w:rPr>
                <w:rFonts w:ascii="宋体"/>
                <w:vanish/>
              </w:rPr>
            </w:pPr>
          </w:p>
        </w:tc>
        <w:tc>
          <w:tcPr>
            <w:tcW w:w="0" w:type="auto"/>
            <w:shd w:val="clear" w:color="auto" w:fill="auto"/>
            <w:vAlign w:val="center"/>
          </w:tcPr>
          <w:p w14:paraId="64A8B0FD" w14:textId="77777777" w:rsidR="008D6614" w:rsidRDefault="008D6614">
            <w:pPr>
              <w:rPr>
                <w:rFonts w:ascii="宋体"/>
                <w:vanish/>
              </w:rPr>
            </w:pPr>
          </w:p>
        </w:tc>
        <w:tc>
          <w:tcPr>
            <w:tcW w:w="0" w:type="auto"/>
            <w:shd w:val="clear" w:color="auto" w:fill="auto"/>
            <w:vAlign w:val="center"/>
          </w:tcPr>
          <w:p w14:paraId="64A8B0FE" w14:textId="77777777" w:rsidR="008D6614" w:rsidRDefault="008D6614">
            <w:pPr>
              <w:rPr>
                <w:rFonts w:ascii="宋体"/>
                <w:vanish/>
              </w:rPr>
            </w:pPr>
          </w:p>
        </w:tc>
        <w:tc>
          <w:tcPr>
            <w:tcW w:w="0" w:type="auto"/>
            <w:shd w:val="clear" w:color="auto" w:fill="auto"/>
            <w:vAlign w:val="center"/>
          </w:tcPr>
          <w:p w14:paraId="64A8B0FF" w14:textId="77777777" w:rsidR="008D6614" w:rsidRDefault="008D6614">
            <w:pPr>
              <w:rPr>
                <w:rFonts w:ascii="宋体"/>
                <w:vanish/>
              </w:rPr>
            </w:pPr>
          </w:p>
        </w:tc>
        <w:tc>
          <w:tcPr>
            <w:tcW w:w="0" w:type="auto"/>
            <w:shd w:val="clear" w:color="auto" w:fill="auto"/>
            <w:vAlign w:val="center"/>
          </w:tcPr>
          <w:p w14:paraId="64A8B100" w14:textId="77777777" w:rsidR="008D6614" w:rsidRDefault="008D6614">
            <w:pPr>
              <w:rPr>
                <w:rFonts w:ascii="宋体"/>
              </w:rPr>
            </w:pPr>
          </w:p>
        </w:tc>
        <w:tc>
          <w:tcPr>
            <w:tcW w:w="0" w:type="auto"/>
            <w:shd w:val="clear" w:color="auto" w:fill="auto"/>
            <w:vAlign w:val="center"/>
          </w:tcPr>
          <w:p w14:paraId="64A8B101" w14:textId="77777777" w:rsidR="008D6614" w:rsidRDefault="008D6614">
            <w:pPr>
              <w:rPr>
                <w:rFonts w:ascii="宋体"/>
              </w:rPr>
            </w:pPr>
          </w:p>
        </w:tc>
        <w:tc>
          <w:tcPr>
            <w:tcW w:w="0" w:type="auto"/>
            <w:shd w:val="clear" w:color="auto" w:fill="auto"/>
            <w:vAlign w:val="center"/>
          </w:tcPr>
          <w:p w14:paraId="64A8B102" w14:textId="77777777" w:rsidR="008D6614" w:rsidRDefault="008D6614">
            <w:pPr>
              <w:rPr>
                <w:rFonts w:ascii="宋体"/>
              </w:rPr>
            </w:pPr>
          </w:p>
        </w:tc>
        <w:tc>
          <w:tcPr>
            <w:tcW w:w="0" w:type="auto"/>
            <w:shd w:val="clear" w:color="auto" w:fill="auto"/>
            <w:vAlign w:val="center"/>
          </w:tcPr>
          <w:p w14:paraId="64A8B103" w14:textId="77777777" w:rsidR="008D6614" w:rsidRDefault="008D6614">
            <w:pPr>
              <w:rPr>
                <w:rFonts w:ascii="宋体"/>
              </w:rPr>
            </w:pPr>
          </w:p>
        </w:tc>
        <w:tc>
          <w:tcPr>
            <w:tcW w:w="0" w:type="auto"/>
            <w:shd w:val="clear" w:color="auto" w:fill="auto"/>
            <w:vAlign w:val="center"/>
          </w:tcPr>
          <w:p w14:paraId="64A8B104" w14:textId="77777777" w:rsidR="008D6614" w:rsidRDefault="008D6614">
            <w:pPr>
              <w:rPr>
                <w:rFonts w:ascii="宋体"/>
              </w:rPr>
            </w:pPr>
          </w:p>
        </w:tc>
        <w:tc>
          <w:tcPr>
            <w:tcW w:w="0" w:type="auto"/>
            <w:shd w:val="clear" w:color="auto" w:fill="auto"/>
            <w:vAlign w:val="center"/>
          </w:tcPr>
          <w:p w14:paraId="64A8B105" w14:textId="77777777" w:rsidR="008D6614" w:rsidRDefault="008D6614">
            <w:pPr>
              <w:rPr>
                <w:rFonts w:ascii="宋体"/>
              </w:rPr>
            </w:pPr>
          </w:p>
        </w:tc>
      </w:tr>
      <w:tr w:rsidR="008D6614" w14:paraId="64A8B11C" w14:textId="77777777">
        <w:tc>
          <w:tcPr>
            <w:tcW w:w="0" w:type="auto"/>
            <w:gridSpan w:val="3"/>
            <w:shd w:val="clear" w:color="auto" w:fill="FFFFFF"/>
            <w:tcMar>
              <w:top w:w="40" w:type="dxa"/>
              <w:left w:w="135" w:type="dxa"/>
              <w:bottom w:w="40" w:type="dxa"/>
              <w:right w:w="20" w:type="dxa"/>
            </w:tcMar>
            <w:vAlign w:val="bottom"/>
          </w:tcPr>
          <w:p w14:paraId="64A8B107" w14:textId="77777777" w:rsidR="008D6614" w:rsidRDefault="00866AF2">
            <w:pPr>
              <w:textAlignment w:val="bottom"/>
            </w:pPr>
            <w:r>
              <w:rPr>
                <w:rFonts w:ascii="Arial" w:eastAsia="宋体" w:hAnsi="Arial" w:cs="Arial"/>
                <w:i/>
                <w:iCs/>
                <w:color w:val="000000"/>
                <w:sz w:val="16"/>
                <w:szCs w:val="16"/>
              </w:rPr>
              <w:t>Operating margin</w:t>
            </w:r>
          </w:p>
        </w:tc>
        <w:tc>
          <w:tcPr>
            <w:tcW w:w="0" w:type="auto"/>
            <w:gridSpan w:val="2"/>
            <w:shd w:val="clear" w:color="auto" w:fill="FFFFFF"/>
            <w:tcMar>
              <w:top w:w="40" w:type="dxa"/>
              <w:left w:w="20" w:type="dxa"/>
              <w:bottom w:w="40" w:type="dxa"/>
              <w:right w:w="0" w:type="dxa"/>
            </w:tcMar>
            <w:vAlign w:val="bottom"/>
          </w:tcPr>
          <w:p w14:paraId="64A8B108" w14:textId="77777777" w:rsidR="008D6614" w:rsidRDefault="00866AF2">
            <w:pPr>
              <w:jc w:val="right"/>
              <w:textAlignment w:val="bottom"/>
            </w:pPr>
            <w:r>
              <w:rPr>
                <w:rFonts w:ascii="Arial" w:eastAsia="宋体" w:hAnsi="Arial" w:cs="Arial"/>
                <w:i/>
                <w:iCs/>
                <w:color w:val="000000"/>
                <w:sz w:val="16"/>
                <w:szCs w:val="16"/>
              </w:rPr>
              <w:t>26.5 </w:t>
            </w:r>
          </w:p>
        </w:tc>
        <w:tc>
          <w:tcPr>
            <w:tcW w:w="0" w:type="auto"/>
            <w:shd w:val="clear" w:color="auto" w:fill="FFFFFF"/>
            <w:tcMar>
              <w:top w:w="40" w:type="dxa"/>
              <w:bottom w:w="40" w:type="dxa"/>
              <w:right w:w="20" w:type="dxa"/>
            </w:tcMar>
            <w:vAlign w:val="bottom"/>
          </w:tcPr>
          <w:p w14:paraId="64A8B109"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B10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10B" w14:textId="77777777" w:rsidR="008D6614" w:rsidRDefault="00866AF2">
            <w:pPr>
              <w:jc w:val="right"/>
              <w:textAlignment w:val="bottom"/>
            </w:pPr>
            <w:r>
              <w:rPr>
                <w:rFonts w:ascii="Arial" w:eastAsia="宋体" w:hAnsi="Arial" w:cs="Arial"/>
                <w:i/>
                <w:iCs/>
                <w:color w:val="000000"/>
                <w:sz w:val="16"/>
                <w:szCs w:val="16"/>
              </w:rPr>
              <w:t>24.6 </w:t>
            </w:r>
          </w:p>
        </w:tc>
        <w:tc>
          <w:tcPr>
            <w:tcW w:w="0" w:type="auto"/>
            <w:shd w:val="clear" w:color="auto" w:fill="FFFFFF"/>
            <w:tcMar>
              <w:top w:w="40" w:type="dxa"/>
              <w:bottom w:w="40" w:type="dxa"/>
              <w:right w:w="20" w:type="dxa"/>
            </w:tcMar>
            <w:vAlign w:val="bottom"/>
          </w:tcPr>
          <w:p w14:paraId="64A8B10C"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B10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10E" w14:textId="77777777" w:rsidR="008D6614" w:rsidRDefault="00866AF2">
            <w:pPr>
              <w:jc w:val="right"/>
              <w:textAlignment w:val="bottom"/>
            </w:pPr>
            <w:r>
              <w:rPr>
                <w:rFonts w:ascii="Arial" w:eastAsia="宋体" w:hAnsi="Arial" w:cs="Arial"/>
                <w:i/>
                <w:iCs/>
                <w:color w:val="000000"/>
                <w:sz w:val="16"/>
                <w:szCs w:val="16"/>
              </w:rPr>
              <w:t>  </w:t>
            </w:r>
          </w:p>
        </w:tc>
        <w:tc>
          <w:tcPr>
            <w:tcW w:w="0" w:type="auto"/>
            <w:shd w:val="clear" w:color="auto" w:fill="FFFFFF"/>
            <w:tcMar>
              <w:top w:w="40" w:type="dxa"/>
              <w:bottom w:w="40" w:type="dxa"/>
              <w:right w:w="20" w:type="dxa"/>
            </w:tcMar>
            <w:vAlign w:val="bottom"/>
          </w:tcPr>
          <w:p w14:paraId="64A8B10F" w14:textId="77777777" w:rsidR="008D6614" w:rsidRDefault="00866AF2">
            <w:pPr>
              <w:jc w:val="right"/>
              <w:textAlignment w:val="bottom"/>
            </w:pPr>
            <w:r>
              <w:rPr>
                <w:rFonts w:ascii="Arial" w:eastAsia="宋体" w:hAnsi="Arial" w:cs="Arial"/>
                <w:i/>
                <w:iCs/>
                <w:color w:val="000000"/>
                <w:sz w:val="16"/>
                <w:szCs w:val="16"/>
              </w:rPr>
              <w:t> </w:t>
            </w:r>
          </w:p>
        </w:tc>
        <w:tc>
          <w:tcPr>
            <w:tcW w:w="0" w:type="auto"/>
            <w:shd w:val="clear" w:color="auto" w:fill="auto"/>
            <w:vAlign w:val="center"/>
          </w:tcPr>
          <w:p w14:paraId="64A8B110" w14:textId="77777777" w:rsidR="008D6614" w:rsidRDefault="008D6614">
            <w:pPr>
              <w:rPr>
                <w:rFonts w:ascii="宋体"/>
                <w:vanish/>
              </w:rPr>
            </w:pPr>
          </w:p>
        </w:tc>
        <w:tc>
          <w:tcPr>
            <w:tcW w:w="0" w:type="auto"/>
            <w:shd w:val="clear" w:color="auto" w:fill="auto"/>
            <w:vAlign w:val="center"/>
          </w:tcPr>
          <w:p w14:paraId="64A8B111" w14:textId="77777777" w:rsidR="008D6614" w:rsidRDefault="008D6614">
            <w:pPr>
              <w:rPr>
                <w:rFonts w:ascii="宋体"/>
                <w:vanish/>
              </w:rPr>
            </w:pPr>
          </w:p>
        </w:tc>
        <w:tc>
          <w:tcPr>
            <w:tcW w:w="0" w:type="auto"/>
            <w:shd w:val="clear" w:color="auto" w:fill="auto"/>
            <w:vAlign w:val="center"/>
          </w:tcPr>
          <w:p w14:paraId="64A8B112" w14:textId="77777777" w:rsidR="008D6614" w:rsidRDefault="008D6614">
            <w:pPr>
              <w:rPr>
                <w:rFonts w:ascii="宋体"/>
                <w:vanish/>
              </w:rPr>
            </w:pPr>
          </w:p>
        </w:tc>
        <w:tc>
          <w:tcPr>
            <w:tcW w:w="0" w:type="auto"/>
            <w:shd w:val="clear" w:color="auto" w:fill="auto"/>
            <w:vAlign w:val="center"/>
          </w:tcPr>
          <w:p w14:paraId="64A8B113" w14:textId="77777777" w:rsidR="008D6614" w:rsidRDefault="008D6614">
            <w:pPr>
              <w:rPr>
                <w:rFonts w:ascii="宋体"/>
                <w:vanish/>
              </w:rPr>
            </w:pPr>
          </w:p>
        </w:tc>
        <w:tc>
          <w:tcPr>
            <w:tcW w:w="0" w:type="auto"/>
            <w:shd w:val="clear" w:color="auto" w:fill="auto"/>
            <w:vAlign w:val="center"/>
          </w:tcPr>
          <w:p w14:paraId="64A8B114" w14:textId="77777777" w:rsidR="008D6614" w:rsidRDefault="008D6614">
            <w:pPr>
              <w:rPr>
                <w:rFonts w:ascii="宋体"/>
                <w:vanish/>
              </w:rPr>
            </w:pPr>
          </w:p>
        </w:tc>
        <w:tc>
          <w:tcPr>
            <w:tcW w:w="0" w:type="auto"/>
            <w:shd w:val="clear" w:color="auto" w:fill="auto"/>
            <w:vAlign w:val="center"/>
          </w:tcPr>
          <w:p w14:paraId="64A8B115" w14:textId="77777777" w:rsidR="008D6614" w:rsidRDefault="008D6614">
            <w:pPr>
              <w:rPr>
                <w:rFonts w:ascii="宋体"/>
                <w:vanish/>
              </w:rPr>
            </w:pPr>
          </w:p>
        </w:tc>
        <w:tc>
          <w:tcPr>
            <w:tcW w:w="0" w:type="auto"/>
            <w:shd w:val="clear" w:color="auto" w:fill="auto"/>
            <w:vAlign w:val="center"/>
          </w:tcPr>
          <w:p w14:paraId="64A8B116" w14:textId="77777777" w:rsidR="008D6614" w:rsidRDefault="008D6614">
            <w:pPr>
              <w:rPr>
                <w:rFonts w:ascii="宋体"/>
              </w:rPr>
            </w:pPr>
          </w:p>
        </w:tc>
        <w:tc>
          <w:tcPr>
            <w:tcW w:w="0" w:type="auto"/>
            <w:shd w:val="clear" w:color="auto" w:fill="auto"/>
            <w:vAlign w:val="center"/>
          </w:tcPr>
          <w:p w14:paraId="64A8B117" w14:textId="77777777" w:rsidR="008D6614" w:rsidRDefault="008D6614">
            <w:pPr>
              <w:rPr>
                <w:rFonts w:ascii="宋体"/>
              </w:rPr>
            </w:pPr>
          </w:p>
        </w:tc>
        <w:tc>
          <w:tcPr>
            <w:tcW w:w="0" w:type="auto"/>
            <w:shd w:val="clear" w:color="auto" w:fill="auto"/>
            <w:vAlign w:val="center"/>
          </w:tcPr>
          <w:p w14:paraId="64A8B118" w14:textId="77777777" w:rsidR="008D6614" w:rsidRDefault="008D6614">
            <w:pPr>
              <w:rPr>
                <w:rFonts w:ascii="宋体"/>
              </w:rPr>
            </w:pPr>
          </w:p>
        </w:tc>
        <w:tc>
          <w:tcPr>
            <w:tcW w:w="0" w:type="auto"/>
            <w:shd w:val="clear" w:color="auto" w:fill="auto"/>
            <w:vAlign w:val="center"/>
          </w:tcPr>
          <w:p w14:paraId="64A8B119" w14:textId="77777777" w:rsidR="008D6614" w:rsidRDefault="008D6614">
            <w:pPr>
              <w:rPr>
                <w:rFonts w:ascii="宋体"/>
              </w:rPr>
            </w:pPr>
          </w:p>
        </w:tc>
        <w:tc>
          <w:tcPr>
            <w:tcW w:w="0" w:type="auto"/>
            <w:shd w:val="clear" w:color="auto" w:fill="auto"/>
            <w:vAlign w:val="center"/>
          </w:tcPr>
          <w:p w14:paraId="64A8B11A" w14:textId="77777777" w:rsidR="008D6614" w:rsidRDefault="008D6614">
            <w:pPr>
              <w:rPr>
                <w:rFonts w:ascii="宋体"/>
              </w:rPr>
            </w:pPr>
          </w:p>
        </w:tc>
        <w:tc>
          <w:tcPr>
            <w:tcW w:w="0" w:type="auto"/>
            <w:shd w:val="clear" w:color="auto" w:fill="auto"/>
            <w:vAlign w:val="center"/>
          </w:tcPr>
          <w:p w14:paraId="64A8B11B" w14:textId="77777777" w:rsidR="008D6614" w:rsidRDefault="008D6614">
            <w:pPr>
              <w:rPr>
                <w:rFonts w:ascii="宋体"/>
              </w:rPr>
            </w:pPr>
          </w:p>
        </w:tc>
      </w:tr>
    </w:tbl>
    <w:p w14:paraId="64A8B11D" w14:textId="77777777" w:rsidR="008D6614" w:rsidRDefault="008D6614">
      <w:pPr>
        <w:jc w:val="both"/>
      </w:pPr>
    </w:p>
    <w:p w14:paraId="64A8B11E" w14:textId="77777777" w:rsidR="008D6614" w:rsidRDefault="00866AF2">
      <w:pPr>
        <w:ind w:firstLine="540"/>
        <w:jc w:val="both"/>
      </w:pPr>
      <w:r>
        <w:rPr>
          <w:rFonts w:ascii="Arial" w:eastAsia="宋体" w:hAnsi="Arial" w:cs="Arial"/>
          <w:color w:val="000000"/>
          <w:sz w:val="20"/>
          <w:szCs w:val="20"/>
        </w:rPr>
        <w:t>The increase in income from continuing operations during the three months ended March 31, 2020 compared to the same period in 2019 was primarily due to lower restructuring and employee costs in 2019 which were partially offset by lower Marketp</w:t>
      </w:r>
      <w:r>
        <w:rPr>
          <w:rFonts w:ascii="Arial" w:eastAsia="宋体" w:hAnsi="Arial" w:cs="Arial"/>
          <w:color w:val="000000"/>
          <w:sz w:val="20"/>
          <w:szCs w:val="20"/>
        </w:rPr>
        <w:t>lace operating income and the impact of COVID-19 on the Classifieds segment in 2020 as described above.</w:t>
      </w:r>
    </w:p>
    <w:p w14:paraId="64A8B11F" w14:textId="77777777" w:rsidR="008D6614" w:rsidRDefault="008D6614">
      <w:pPr>
        <w:ind w:firstLine="540"/>
        <w:jc w:val="both"/>
      </w:pPr>
    </w:p>
    <w:p w14:paraId="64A8B120" w14:textId="77777777" w:rsidR="008D6614" w:rsidRDefault="00866AF2">
      <w:pPr>
        <w:jc w:val="both"/>
      </w:pPr>
      <w:r>
        <w:rPr>
          <w:rFonts w:ascii="Arial" w:eastAsia="宋体" w:hAnsi="Arial" w:cs="Arial"/>
          <w:b/>
          <w:bCs/>
          <w:i/>
          <w:iCs/>
          <w:color w:val="000000"/>
          <w:sz w:val="20"/>
          <w:szCs w:val="20"/>
        </w:rPr>
        <w:t>Interest and Other, Net</w:t>
      </w:r>
    </w:p>
    <w:p w14:paraId="64A8B121" w14:textId="77777777" w:rsidR="008D6614" w:rsidRDefault="00866AF2">
      <w:pPr>
        <w:jc w:val="both"/>
      </w:pPr>
      <w:r>
        <w:rPr>
          <w:rFonts w:ascii="Arial" w:eastAsia="宋体" w:hAnsi="Arial" w:cs="Arial"/>
          <w:color w:val="000000"/>
          <w:sz w:val="20"/>
          <w:szCs w:val="20"/>
        </w:rPr>
        <w:t> </w:t>
      </w:r>
    </w:p>
    <w:p w14:paraId="64A8B122" w14:textId="77777777" w:rsidR="008D6614" w:rsidRDefault="00866AF2">
      <w:pPr>
        <w:ind w:firstLine="540"/>
        <w:jc w:val="both"/>
      </w:pPr>
      <w:r>
        <w:rPr>
          <w:rFonts w:ascii="Arial" w:eastAsia="宋体" w:hAnsi="Arial" w:cs="Arial"/>
          <w:color w:val="000000"/>
          <w:sz w:val="20"/>
          <w:szCs w:val="20"/>
        </w:rPr>
        <w:t xml:space="preserve">Interest and other, net primarily consists of interest earned on cash, cash equivalents and investments, as well as </w:t>
      </w:r>
      <w:r>
        <w:rPr>
          <w:rFonts w:ascii="Arial" w:eastAsia="宋体" w:hAnsi="Arial" w:cs="Arial"/>
          <w:color w:val="000000"/>
          <w:sz w:val="20"/>
          <w:szCs w:val="20"/>
        </w:rPr>
        <w:t xml:space="preserve">foreign exchange transaction gains and losses, gains and losses due to changes in fair value of the warrant received from Adyen, our portion of operating results from investments accounted for under the equity method of accounting, investment gain/loss on </w:t>
      </w:r>
      <w:r>
        <w:rPr>
          <w:rFonts w:ascii="Arial" w:eastAsia="宋体" w:hAnsi="Arial" w:cs="Arial"/>
          <w:color w:val="000000"/>
          <w:sz w:val="20"/>
          <w:szCs w:val="20"/>
        </w:rPr>
        <w:t>acquisitions or disposals and interest expense, consisting of interest charges on any amounts borrowed and commitment fees on unborrowed amounts under our credit agreement and interest expense on our outstanding debt securities and commercial paper, if any</w:t>
      </w:r>
      <w:r>
        <w:rPr>
          <w:rFonts w:ascii="Arial" w:eastAsia="宋体" w:hAnsi="Arial" w:cs="Arial"/>
          <w:color w:val="000000"/>
          <w:sz w:val="20"/>
          <w:szCs w:val="20"/>
        </w:rPr>
        <w:t>. The following table presents interest and other, net (in millions, except percentages):</w:t>
      </w:r>
    </w:p>
    <w:p w14:paraId="64A8B123" w14:textId="77777777" w:rsidR="008D6614" w:rsidRDefault="008D6614">
      <w:pPr>
        <w:jc w:val="both"/>
      </w:pP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4542"/>
        <w:gridCol w:w="37"/>
        <w:gridCol w:w="124"/>
        <w:gridCol w:w="795"/>
        <w:gridCol w:w="178"/>
        <w:gridCol w:w="36"/>
        <w:gridCol w:w="36"/>
        <w:gridCol w:w="36"/>
        <w:gridCol w:w="124"/>
        <w:gridCol w:w="761"/>
        <w:gridCol w:w="178"/>
        <w:gridCol w:w="36"/>
        <w:gridCol w:w="36"/>
        <w:gridCol w:w="36"/>
        <w:gridCol w:w="44"/>
        <w:gridCol w:w="754"/>
        <w:gridCol w:w="80"/>
        <w:gridCol w:w="46"/>
        <w:gridCol w:w="46"/>
        <w:gridCol w:w="36"/>
        <w:gridCol w:w="36"/>
        <w:gridCol w:w="36"/>
        <w:gridCol w:w="36"/>
        <w:gridCol w:w="36"/>
        <w:gridCol w:w="36"/>
        <w:gridCol w:w="36"/>
        <w:gridCol w:w="36"/>
        <w:gridCol w:w="36"/>
        <w:gridCol w:w="36"/>
      </w:tblGrid>
      <w:tr w:rsidR="008D6614" w14:paraId="64A8B13C" w14:textId="77777777">
        <w:trPr>
          <w:gridAfter w:val="6"/>
          <w:jc w:val="center"/>
        </w:trPr>
        <w:tc>
          <w:tcPr>
            <w:tcW w:w="50" w:type="pct"/>
            <w:shd w:val="clear" w:color="auto" w:fill="auto"/>
            <w:vAlign w:val="center"/>
          </w:tcPr>
          <w:p w14:paraId="64A8B124" w14:textId="77777777" w:rsidR="008D6614" w:rsidRDefault="008D6614">
            <w:pPr>
              <w:rPr>
                <w:rFonts w:ascii="宋体"/>
              </w:rPr>
            </w:pPr>
          </w:p>
        </w:tc>
        <w:tc>
          <w:tcPr>
            <w:tcW w:w="2916" w:type="pct"/>
            <w:shd w:val="clear" w:color="auto" w:fill="auto"/>
            <w:vAlign w:val="center"/>
          </w:tcPr>
          <w:p w14:paraId="64A8B125" w14:textId="77777777" w:rsidR="008D6614" w:rsidRDefault="008D6614">
            <w:pPr>
              <w:rPr>
                <w:rFonts w:ascii="宋体"/>
              </w:rPr>
            </w:pPr>
          </w:p>
        </w:tc>
        <w:tc>
          <w:tcPr>
            <w:tcW w:w="50" w:type="pct"/>
            <w:shd w:val="clear" w:color="auto" w:fill="auto"/>
            <w:vAlign w:val="center"/>
          </w:tcPr>
          <w:p w14:paraId="64A8B126" w14:textId="77777777" w:rsidR="008D6614" w:rsidRDefault="008D6614">
            <w:pPr>
              <w:rPr>
                <w:rFonts w:ascii="宋体"/>
              </w:rPr>
            </w:pPr>
          </w:p>
        </w:tc>
        <w:tc>
          <w:tcPr>
            <w:tcW w:w="50" w:type="pct"/>
            <w:shd w:val="clear" w:color="auto" w:fill="auto"/>
            <w:vAlign w:val="center"/>
          </w:tcPr>
          <w:p w14:paraId="64A8B127" w14:textId="77777777" w:rsidR="008D6614" w:rsidRDefault="008D6614">
            <w:pPr>
              <w:rPr>
                <w:rFonts w:ascii="宋体"/>
              </w:rPr>
            </w:pPr>
          </w:p>
        </w:tc>
        <w:tc>
          <w:tcPr>
            <w:tcW w:w="536" w:type="pct"/>
            <w:shd w:val="clear" w:color="auto" w:fill="auto"/>
            <w:vAlign w:val="center"/>
          </w:tcPr>
          <w:p w14:paraId="64A8B128" w14:textId="77777777" w:rsidR="008D6614" w:rsidRDefault="008D6614">
            <w:pPr>
              <w:rPr>
                <w:rFonts w:ascii="宋体"/>
              </w:rPr>
            </w:pPr>
          </w:p>
        </w:tc>
        <w:tc>
          <w:tcPr>
            <w:tcW w:w="50" w:type="pct"/>
            <w:shd w:val="clear" w:color="auto" w:fill="auto"/>
            <w:vAlign w:val="center"/>
          </w:tcPr>
          <w:p w14:paraId="64A8B129" w14:textId="77777777" w:rsidR="008D6614" w:rsidRDefault="008D6614">
            <w:pPr>
              <w:rPr>
                <w:rFonts w:ascii="宋体"/>
              </w:rPr>
            </w:pPr>
          </w:p>
        </w:tc>
        <w:tc>
          <w:tcPr>
            <w:tcW w:w="5" w:type="pct"/>
            <w:shd w:val="clear" w:color="auto" w:fill="auto"/>
            <w:vAlign w:val="center"/>
          </w:tcPr>
          <w:p w14:paraId="64A8B12A" w14:textId="77777777" w:rsidR="008D6614" w:rsidRDefault="008D6614">
            <w:pPr>
              <w:rPr>
                <w:rFonts w:ascii="宋体"/>
              </w:rPr>
            </w:pPr>
          </w:p>
        </w:tc>
        <w:tc>
          <w:tcPr>
            <w:tcW w:w="26" w:type="pct"/>
            <w:shd w:val="clear" w:color="auto" w:fill="auto"/>
            <w:vAlign w:val="center"/>
          </w:tcPr>
          <w:p w14:paraId="64A8B12B" w14:textId="77777777" w:rsidR="008D6614" w:rsidRDefault="008D6614">
            <w:pPr>
              <w:rPr>
                <w:rFonts w:ascii="宋体"/>
              </w:rPr>
            </w:pPr>
          </w:p>
        </w:tc>
        <w:tc>
          <w:tcPr>
            <w:tcW w:w="5" w:type="pct"/>
            <w:shd w:val="clear" w:color="auto" w:fill="auto"/>
            <w:vAlign w:val="center"/>
          </w:tcPr>
          <w:p w14:paraId="64A8B12C" w14:textId="77777777" w:rsidR="008D6614" w:rsidRDefault="008D6614">
            <w:pPr>
              <w:rPr>
                <w:rFonts w:ascii="宋体"/>
              </w:rPr>
            </w:pPr>
          </w:p>
        </w:tc>
        <w:tc>
          <w:tcPr>
            <w:tcW w:w="50" w:type="pct"/>
            <w:shd w:val="clear" w:color="auto" w:fill="auto"/>
            <w:vAlign w:val="center"/>
          </w:tcPr>
          <w:p w14:paraId="64A8B12D" w14:textId="77777777" w:rsidR="008D6614" w:rsidRDefault="008D6614">
            <w:pPr>
              <w:rPr>
                <w:rFonts w:ascii="宋体"/>
              </w:rPr>
            </w:pPr>
          </w:p>
        </w:tc>
        <w:tc>
          <w:tcPr>
            <w:tcW w:w="536" w:type="pct"/>
            <w:shd w:val="clear" w:color="auto" w:fill="auto"/>
            <w:vAlign w:val="center"/>
          </w:tcPr>
          <w:p w14:paraId="64A8B12E" w14:textId="77777777" w:rsidR="008D6614" w:rsidRDefault="008D6614">
            <w:pPr>
              <w:rPr>
                <w:rFonts w:ascii="宋体"/>
              </w:rPr>
            </w:pPr>
          </w:p>
        </w:tc>
        <w:tc>
          <w:tcPr>
            <w:tcW w:w="50" w:type="pct"/>
            <w:shd w:val="clear" w:color="auto" w:fill="auto"/>
            <w:vAlign w:val="center"/>
          </w:tcPr>
          <w:p w14:paraId="64A8B12F" w14:textId="77777777" w:rsidR="008D6614" w:rsidRDefault="008D6614">
            <w:pPr>
              <w:rPr>
                <w:rFonts w:ascii="宋体"/>
              </w:rPr>
            </w:pPr>
          </w:p>
        </w:tc>
        <w:tc>
          <w:tcPr>
            <w:tcW w:w="5" w:type="pct"/>
            <w:shd w:val="clear" w:color="auto" w:fill="auto"/>
            <w:vAlign w:val="center"/>
          </w:tcPr>
          <w:p w14:paraId="64A8B130" w14:textId="77777777" w:rsidR="008D6614" w:rsidRDefault="008D6614">
            <w:pPr>
              <w:rPr>
                <w:rFonts w:ascii="宋体"/>
              </w:rPr>
            </w:pPr>
          </w:p>
        </w:tc>
        <w:tc>
          <w:tcPr>
            <w:tcW w:w="26" w:type="pct"/>
            <w:shd w:val="clear" w:color="auto" w:fill="auto"/>
            <w:vAlign w:val="center"/>
          </w:tcPr>
          <w:p w14:paraId="64A8B131" w14:textId="77777777" w:rsidR="008D6614" w:rsidRDefault="008D6614">
            <w:pPr>
              <w:rPr>
                <w:rFonts w:ascii="宋体"/>
              </w:rPr>
            </w:pPr>
          </w:p>
        </w:tc>
        <w:tc>
          <w:tcPr>
            <w:tcW w:w="5" w:type="pct"/>
            <w:shd w:val="clear" w:color="auto" w:fill="auto"/>
            <w:vAlign w:val="center"/>
          </w:tcPr>
          <w:p w14:paraId="64A8B132" w14:textId="77777777" w:rsidR="008D6614" w:rsidRDefault="008D6614">
            <w:pPr>
              <w:rPr>
                <w:rFonts w:ascii="宋体"/>
              </w:rPr>
            </w:pPr>
          </w:p>
        </w:tc>
        <w:tc>
          <w:tcPr>
            <w:tcW w:w="50" w:type="pct"/>
            <w:shd w:val="clear" w:color="auto" w:fill="auto"/>
            <w:vAlign w:val="center"/>
          </w:tcPr>
          <w:p w14:paraId="64A8B133" w14:textId="77777777" w:rsidR="008D6614" w:rsidRDefault="008D6614">
            <w:pPr>
              <w:rPr>
                <w:rFonts w:ascii="宋体"/>
              </w:rPr>
            </w:pPr>
          </w:p>
        </w:tc>
        <w:tc>
          <w:tcPr>
            <w:tcW w:w="537" w:type="pct"/>
            <w:shd w:val="clear" w:color="auto" w:fill="auto"/>
            <w:vAlign w:val="center"/>
          </w:tcPr>
          <w:p w14:paraId="64A8B134" w14:textId="77777777" w:rsidR="008D6614" w:rsidRDefault="008D6614">
            <w:pPr>
              <w:rPr>
                <w:rFonts w:ascii="宋体"/>
              </w:rPr>
            </w:pPr>
          </w:p>
        </w:tc>
        <w:tc>
          <w:tcPr>
            <w:tcW w:w="50" w:type="pct"/>
            <w:shd w:val="clear" w:color="auto" w:fill="auto"/>
            <w:vAlign w:val="center"/>
          </w:tcPr>
          <w:p w14:paraId="64A8B135" w14:textId="77777777" w:rsidR="008D6614" w:rsidRDefault="008D6614">
            <w:pPr>
              <w:rPr>
                <w:rFonts w:ascii="宋体"/>
              </w:rPr>
            </w:pPr>
          </w:p>
        </w:tc>
        <w:tc>
          <w:tcPr>
            <w:tcW w:w="0" w:type="auto"/>
            <w:shd w:val="clear" w:color="auto" w:fill="auto"/>
            <w:vAlign w:val="center"/>
          </w:tcPr>
          <w:p w14:paraId="64A8B136" w14:textId="77777777" w:rsidR="008D6614" w:rsidRDefault="008D6614">
            <w:pPr>
              <w:rPr>
                <w:rFonts w:ascii="宋体"/>
                <w:vanish/>
              </w:rPr>
            </w:pPr>
          </w:p>
        </w:tc>
        <w:tc>
          <w:tcPr>
            <w:tcW w:w="0" w:type="auto"/>
            <w:shd w:val="clear" w:color="auto" w:fill="auto"/>
            <w:vAlign w:val="center"/>
          </w:tcPr>
          <w:p w14:paraId="64A8B137" w14:textId="77777777" w:rsidR="008D6614" w:rsidRDefault="008D6614">
            <w:pPr>
              <w:rPr>
                <w:rFonts w:ascii="宋体"/>
                <w:vanish/>
              </w:rPr>
            </w:pPr>
          </w:p>
        </w:tc>
        <w:tc>
          <w:tcPr>
            <w:tcW w:w="0" w:type="auto"/>
            <w:shd w:val="clear" w:color="auto" w:fill="auto"/>
            <w:vAlign w:val="center"/>
          </w:tcPr>
          <w:p w14:paraId="64A8B138" w14:textId="77777777" w:rsidR="008D6614" w:rsidRDefault="008D6614">
            <w:pPr>
              <w:rPr>
                <w:rFonts w:ascii="宋体"/>
                <w:vanish/>
              </w:rPr>
            </w:pPr>
          </w:p>
        </w:tc>
        <w:tc>
          <w:tcPr>
            <w:tcW w:w="0" w:type="auto"/>
            <w:shd w:val="clear" w:color="auto" w:fill="auto"/>
            <w:vAlign w:val="center"/>
          </w:tcPr>
          <w:p w14:paraId="64A8B139" w14:textId="77777777" w:rsidR="008D6614" w:rsidRDefault="008D6614">
            <w:pPr>
              <w:rPr>
                <w:rFonts w:ascii="宋体"/>
                <w:vanish/>
              </w:rPr>
            </w:pPr>
          </w:p>
        </w:tc>
        <w:tc>
          <w:tcPr>
            <w:tcW w:w="0" w:type="auto"/>
            <w:shd w:val="clear" w:color="auto" w:fill="auto"/>
            <w:vAlign w:val="center"/>
          </w:tcPr>
          <w:p w14:paraId="64A8B13A" w14:textId="77777777" w:rsidR="008D6614" w:rsidRDefault="008D6614">
            <w:pPr>
              <w:rPr>
                <w:rFonts w:ascii="宋体"/>
                <w:vanish/>
              </w:rPr>
            </w:pPr>
          </w:p>
        </w:tc>
        <w:tc>
          <w:tcPr>
            <w:tcW w:w="0" w:type="auto"/>
            <w:shd w:val="clear" w:color="auto" w:fill="auto"/>
            <w:vAlign w:val="center"/>
          </w:tcPr>
          <w:p w14:paraId="64A8B13B" w14:textId="77777777" w:rsidR="008D6614" w:rsidRDefault="008D6614">
            <w:pPr>
              <w:rPr>
                <w:rFonts w:ascii="宋体"/>
                <w:vanish/>
              </w:rPr>
            </w:pPr>
          </w:p>
        </w:tc>
      </w:tr>
      <w:tr w:rsidR="008D6614" w14:paraId="64A8B149" w14:textId="77777777">
        <w:trPr>
          <w:jc w:val="center"/>
        </w:trPr>
        <w:tc>
          <w:tcPr>
            <w:tcW w:w="0" w:type="auto"/>
            <w:gridSpan w:val="3"/>
            <w:shd w:val="clear" w:color="auto" w:fill="auto"/>
            <w:tcMar>
              <w:top w:w="40" w:type="dxa"/>
              <w:left w:w="135" w:type="dxa"/>
              <w:bottom w:w="40" w:type="dxa"/>
              <w:right w:w="20" w:type="dxa"/>
            </w:tcMar>
            <w:vAlign w:val="bottom"/>
          </w:tcPr>
          <w:p w14:paraId="64A8B13D" w14:textId="77777777" w:rsidR="008D6614" w:rsidRDefault="00866AF2">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A8B13E"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vAlign w:val="center"/>
          </w:tcPr>
          <w:p w14:paraId="64A8B13F" w14:textId="77777777" w:rsidR="008D6614" w:rsidRDefault="008D6614">
            <w:pPr>
              <w:rPr>
                <w:rFonts w:ascii="宋体"/>
                <w:vanish/>
              </w:rPr>
            </w:pPr>
          </w:p>
        </w:tc>
        <w:tc>
          <w:tcPr>
            <w:tcW w:w="0" w:type="auto"/>
            <w:gridSpan w:val="3"/>
            <w:shd w:val="clear" w:color="auto" w:fill="auto"/>
            <w:vAlign w:val="center"/>
          </w:tcPr>
          <w:p w14:paraId="64A8B140" w14:textId="77777777" w:rsidR="008D6614" w:rsidRDefault="008D6614">
            <w:pPr>
              <w:rPr>
                <w:rFonts w:ascii="宋体"/>
                <w:vanish/>
              </w:rPr>
            </w:pPr>
          </w:p>
        </w:tc>
        <w:tc>
          <w:tcPr>
            <w:tcW w:w="0" w:type="auto"/>
            <w:shd w:val="clear" w:color="auto" w:fill="auto"/>
            <w:tcMar>
              <w:left w:w="20" w:type="dxa"/>
              <w:right w:w="20" w:type="dxa"/>
            </w:tcMar>
            <w:vAlign w:val="bottom"/>
          </w:tcPr>
          <w:p w14:paraId="64A8B141" w14:textId="77777777" w:rsidR="008D6614" w:rsidRDefault="008D6614">
            <w:pPr>
              <w:rPr>
                <w:rFonts w:ascii="宋体"/>
              </w:rPr>
            </w:pPr>
          </w:p>
        </w:tc>
        <w:tc>
          <w:tcPr>
            <w:tcW w:w="0" w:type="auto"/>
            <w:shd w:val="clear" w:color="auto" w:fill="auto"/>
            <w:tcMar>
              <w:left w:w="20" w:type="dxa"/>
              <w:right w:w="20" w:type="dxa"/>
            </w:tcMar>
            <w:vAlign w:val="bottom"/>
          </w:tcPr>
          <w:p w14:paraId="64A8B142" w14:textId="77777777" w:rsidR="008D6614" w:rsidRDefault="008D6614">
            <w:pPr>
              <w:rPr>
                <w:rFonts w:ascii="宋体"/>
              </w:rPr>
            </w:pPr>
          </w:p>
        </w:tc>
        <w:tc>
          <w:tcPr>
            <w:tcW w:w="0" w:type="auto"/>
            <w:shd w:val="clear" w:color="auto" w:fill="auto"/>
            <w:vAlign w:val="center"/>
          </w:tcPr>
          <w:p w14:paraId="64A8B143" w14:textId="77777777" w:rsidR="008D6614" w:rsidRDefault="008D6614">
            <w:pPr>
              <w:rPr>
                <w:rFonts w:ascii="宋体"/>
                <w:vanish/>
              </w:rPr>
            </w:pPr>
          </w:p>
        </w:tc>
        <w:tc>
          <w:tcPr>
            <w:tcW w:w="0" w:type="auto"/>
            <w:shd w:val="clear" w:color="auto" w:fill="auto"/>
            <w:vAlign w:val="center"/>
          </w:tcPr>
          <w:p w14:paraId="64A8B144" w14:textId="77777777" w:rsidR="008D6614" w:rsidRDefault="008D6614">
            <w:pPr>
              <w:rPr>
                <w:rFonts w:ascii="宋体"/>
                <w:vanish/>
              </w:rPr>
            </w:pPr>
          </w:p>
        </w:tc>
        <w:tc>
          <w:tcPr>
            <w:tcW w:w="0" w:type="auto"/>
            <w:shd w:val="clear" w:color="auto" w:fill="auto"/>
            <w:vAlign w:val="center"/>
          </w:tcPr>
          <w:p w14:paraId="64A8B145" w14:textId="77777777" w:rsidR="008D6614" w:rsidRDefault="008D6614">
            <w:pPr>
              <w:rPr>
                <w:rFonts w:ascii="宋体"/>
                <w:vanish/>
              </w:rPr>
            </w:pPr>
          </w:p>
        </w:tc>
        <w:tc>
          <w:tcPr>
            <w:tcW w:w="0" w:type="auto"/>
            <w:shd w:val="clear" w:color="auto" w:fill="auto"/>
            <w:vAlign w:val="center"/>
          </w:tcPr>
          <w:p w14:paraId="64A8B146" w14:textId="77777777" w:rsidR="008D6614" w:rsidRDefault="008D6614">
            <w:pPr>
              <w:rPr>
                <w:rFonts w:ascii="宋体"/>
                <w:vanish/>
              </w:rPr>
            </w:pPr>
          </w:p>
        </w:tc>
        <w:tc>
          <w:tcPr>
            <w:tcW w:w="0" w:type="auto"/>
            <w:gridSpan w:val="3"/>
            <w:shd w:val="clear" w:color="auto" w:fill="auto"/>
            <w:vAlign w:val="center"/>
          </w:tcPr>
          <w:p w14:paraId="64A8B147" w14:textId="77777777" w:rsidR="008D6614" w:rsidRDefault="008D6614">
            <w:pPr>
              <w:rPr>
                <w:rFonts w:ascii="宋体"/>
                <w:vanish/>
              </w:rPr>
            </w:pPr>
          </w:p>
        </w:tc>
        <w:tc>
          <w:tcPr>
            <w:tcW w:w="0" w:type="auto"/>
            <w:gridSpan w:val="3"/>
            <w:shd w:val="clear" w:color="auto" w:fill="auto"/>
            <w:vAlign w:val="center"/>
          </w:tcPr>
          <w:p w14:paraId="64A8B148" w14:textId="77777777" w:rsidR="008D6614" w:rsidRDefault="008D6614">
            <w:pPr>
              <w:rPr>
                <w:rFonts w:ascii="宋体"/>
                <w:vanish/>
              </w:rPr>
            </w:pPr>
          </w:p>
        </w:tc>
      </w:tr>
      <w:tr w:rsidR="008D6614" w14:paraId="64A8B15C" w14:textId="77777777">
        <w:trPr>
          <w:jc w:val="center"/>
        </w:trPr>
        <w:tc>
          <w:tcPr>
            <w:tcW w:w="0" w:type="auto"/>
            <w:gridSpan w:val="3"/>
            <w:shd w:val="clear" w:color="auto" w:fill="auto"/>
            <w:tcMar>
              <w:top w:w="40" w:type="dxa"/>
              <w:left w:w="20" w:type="dxa"/>
              <w:bottom w:w="40" w:type="dxa"/>
              <w:right w:w="20" w:type="dxa"/>
            </w:tcMar>
            <w:vAlign w:val="bottom"/>
          </w:tcPr>
          <w:p w14:paraId="64A8B14A" w14:textId="77777777" w:rsidR="008D6614" w:rsidRDefault="00866AF2">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14B" w14:textId="77777777" w:rsidR="008D6614" w:rsidRDefault="00866AF2">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64A8B14C"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14D" w14:textId="77777777" w:rsidR="008D6614" w:rsidRDefault="00866AF2">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left w:w="20" w:type="dxa"/>
              <w:right w:w="20" w:type="dxa"/>
            </w:tcMar>
            <w:vAlign w:val="bottom"/>
          </w:tcPr>
          <w:p w14:paraId="64A8B14E"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B14F" w14:textId="77777777" w:rsidR="008D6614" w:rsidRDefault="00866AF2">
            <w:pPr>
              <w:jc w:val="center"/>
              <w:textAlignment w:val="bottom"/>
            </w:pPr>
            <w:r>
              <w:rPr>
                <w:rFonts w:ascii="Arial" w:eastAsia="宋体" w:hAnsi="Arial" w:cs="Arial"/>
                <w:b/>
                <w:bCs/>
                <w:color w:val="000000"/>
                <w:sz w:val="14"/>
                <w:szCs w:val="14"/>
              </w:rPr>
              <w:t>% Change</w:t>
            </w:r>
          </w:p>
        </w:tc>
        <w:tc>
          <w:tcPr>
            <w:tcW w:w="0" w:type="auto"/>
            <w:shd w:val="clear" w:color="auto" w:fill="auto"/>
            <w:vAlign w:val="center"/>
          </w:tcPr>
          <w:p w14:paraId="64A8B150" w14:textId="77777777" w:rsidR="008D6614" w:rsidRDefault="008D6614">
            <w:pPr>
              <w:rPr>
                <w:rFonts w:ascii="宋体"/>
                <w:vanish/>
              </w:rPr>
            </w:pPr>
          </w:p>
        </w:tc>
        <w:tc>
          <w:tcPr>
            <w:tcW w:w="0" w:type="auto"/>
            <w:shd w:val="clear" w:color="auto" w:fill="auto"/>
            <w:vAlign w:val="center"/>
          </w:tcPr>
          <w:p w14:paraId="64A8B151" w14:textId="77777777" w:rsidR="008D6614" w:rsidRDefault="008D6614">
            <w:pPr>
              <w:rPr>
                <w:rFonts w:ascii="宋体"/>
                <w:vanish/>
              </w:rPr>
            </w:pPr>
          </w:p>
        </w:tc>
        <w:tc>
          <w:tcPr>
            <w:tcW w:w="0" w:type="auto"/>
            <w:shd w:val="clear" w:color="auto" w:fill="auto"/>
            <w:vAlign w:val="center"/>
          </w:tcPr>
          <w:p w14:paraId="64A8B152" w14:textId="77777777" w:rsidR="008D6614" w:rsidRDefault="008D6614">
            <w:pPr>
              <w:rPr>
                <w:rFonts w:ascii="宋体"/>
                <w:vanish/>
              </w:rPr>
            </w:pPr>
          </w:p>
        </w:tc>
        <w:tc>
          <w:tcPr>
            <w:tcW w:w="0" w:type="auto"/>
            <w:shd w:val="clear" w:color="auto" w:fill="auto"/>
            <w:vAlign w:val="center"/>
          </w:tcPr>
          <w:p w14:paraId="64A8B153" w14:textId="77777777" w:rsidR="008D6614" w:rsidRDefault="008D6614">
            <w:pPr>
              <w:rPr>
                <w:rFonts w:ascii="宋体"/>
                <w:vanish/>
              </w:rPr>
            </w:pPr>
          </w:p>
        </w:tc>
        <w:tc>
          <w:tcPr>
            <w:tcW w:w="0" w:type="auto"/>
            <w:shd w:val="clear" w:color="auto" w:fill="auto"/>
            <w:vAlign w:val="center"/>
          </w:tcPr>
          <w:p w14:paraId="64A8B154" w14:textId="77777777" w:rsidR="008D6614" w:rsidRDefault="008D6614">
            <w:pPr>
              <w:rPr>
                <w:rFonts w:ascii="宋体"/>
                <w:vanish/>
              </w:rPr>
            </w:pPr>
          </w:p>
        </w:tc>
        <w:tc>
          <w:tcPr>
            <w:tcW w:w="0" w:type="auto"/>
            <w:shd w:val="clear" w:color="auto" w:fill="auto"/>
            <w:vAlign w:val="center"/>
          </w:tcPr>
          <w:p w14:paraId="64A8B155" w14:textId="77777777" w:rsidR="008D6614" w:rsidRDefault="008D6614">
            <w:pPr>
              <w:rPr>
                <w:rFonts w:ascii="宋体"/>
                <w:vanish/>
              </w:rPr>
            </w:pPr>
          </w:p>
        </w:tc>
        <w:tc>
          <w:tcPr>
            <w:tcW w:w="0" w:type="auto"/>
            <w:shd w:val="clear" w:color="auto" w:fill="auto"/>
            <w:vAlign w:val="center"/>
          </w:tcPr>
          <w:p w14:paraId="64A8B156" w14:textId="77777777" w:rsidR="008D6614" w:rsidRDefault="008D6614">
            <w:pPr>
              <w:rPr>
                <w:rFonts w:ascii="宋体"/>
              </w:rPr>
            </w:pPr>
          </w:p>
        </w:tc>
        <w:tc>
          <w:tcPr>
            <w:tcW w:w="0" w:type="auto"/>
            <w:shd w:val="clear" w:color="auto" w:fill="auto"/>
            <w:vAlign w:val="center"/>
          </w:tcPr>
          <w:p w14:paraId="64A8B157" w14:textId="77777777" w:rsidR="008D6614" w:rsidRDefault="008D6614">
            <w:pPr>
              <w:rPr>
                <w:rFonts w:ascii="宋体"/>
              </w:rPr>
            </w:pPr>
          </w:p>
        </w:tc>
        <w:tc>
          <w:tcPr>
            <w:tcW w:w="0" w:type="auto"/>
            <w:shd w:val="clear" w:color="auto" w:fill="auto"/>
            <w:vAlign w:val="center"/>
          </w:tcPr>
          <w:p w14:paraId="64A8B158" w14:textId="77777777" w:rsidR="008D6614" w:rsidRDefault="008D6614">
            <w:pPr>
              <w:rPr>
                <w:rFonts w:ascii="宋体"/>
              </w:rPr>
            </w:pPr>
          </w:p>
        </w:tc>
        <w:tc>
          <w:tcPr>
            <w:tcW w:w="0" w:type="auto"/>
            <w:shd w:val="clear" w:color="auto" w:fill="auto"/>
            <w:vAlign w:val="center"/>
          </w:tcPr>
          <w:p w14:paraId="64A8B159" w14:textId="77777777" w:rsidR="008D6614" w:rsidRDefault="008D6614">
            <w:pPr>
              <w:rPr>
                <w:rFonts w:ascii="宋体"/>
              </w:rPr>
            </w:pPr>
          </w:p>
        </w:tc>
        <w:tc>
          <w:tcPr>
            <w:tcW w:w="0" w:type="auto"/>
            <w:shd w:val="clear" w:color="auto" w:fill="auto"/>
            <w:vAlign w:val="center"/>
          </w:tcPr>
          <w:p w14:paraId="64A8B15A" w14:textId="77777777" w:rsidR="008D6614" w:rsidRDefault="008D6614">
            <w:pPr>
              <w:rPr>
                <w:rFonts w:ascii="宋体"/>
              </w:rPr>
            </w:pPr>
          </w:p>
        </w:tc>
        <w:tc>
          <w:tcPr>
            <w:tcW w:w="0" w:type="auto"/>
            <w:shd w:val="clear" w:color="auto" w:fill="auto"/>
            <w:vAlign w:val="center"/>
          </w:tcPr>
          <w:p w14:paraId="64A8B15B" w14:textId="77777777" w:rsidR="008D6614" w:rsidRDefault="008D6614">
            <w:pPr>
              <w:rPr>
                <w:rFonts w:ascii="宋体"/>
              </w:rPr>
            </w:pPr>
          </w:p>
        </w:tc>
      </w:tr>
      <w:tr w:rsidR="008D6614" w14:paraId="64A8B16F" w14:textId="77777777">
        <w:trPr>
          <w:jc w:val="center"/>
          <w:hidden/>
        </w:trPr>
        <w:tc>
          <w:tcPr>
            <w:tcW w:w="0" w:type="auto"/>
            <w:gridSpan w:val="3"/>
            <w:shd w:val="clear" w:color="auto" w:fill="auto"/>
            <w:vAlign w:val="center"/>
          </w:tcPr>
          <w:p w14:paraId="64A8B15D" w14:textId="77777777" w:rsidR="008D6614" w:rsidRDefault="008D6614">
            <w:pPr>
              <w:rPr>
                <w:rFonts w:ascii="宋体"/>
                <w:vanish/>
              </w:rPr>
            </w:pPr>
          </w:p>
        </w:tc>
        <w:tc>
          <w:tcPr>
            <w:tcW w:w="0" w:type="auto"/>
            <w:gridSpan w:val="3"/>
            <w:shd w:val="clear" w:color="auto" w:fill="auto"/>
            <w:vAlign w:val="center"/>
          </w:tcPr>
          <w:p w14:paraId="64A8B15E" w14:textId="77777777" w:rsidR="008D6614" w:rsidRDefault="008D6614">
            <w:pPr>
              <w:rPr>
                <w:rFonts w:ascii="宋体"/>
                <w:vanish/>
              </w:rPr>
            </w:pPr>
          </w:p>
        </w:tc>
        <w:tc>
          <w:tcPr>
            <w:tcW w:w="0" w:type="auto"/>
            <w:gridSpan w:val="3"/>
            <w:shd w:val="clear" w:color="auto" w:fill="auto"/>
            <w:vAlign w:val="center"/>
          </w:tcPr>
          <w:p w14:paraId="64A8B15F" w14:textId="77777777" w:rsidR="008D6614" w:rsidRDefault="008D6614">
            <w:pPr>
              <w:rPr>
                <w:rFonts w:ascii="宋体"/>
                <w:vanish/>
              </w:rPr>
            </w:pPr>
          </w:p>
        </w:tc>
        <w:tc>
          <w:tcPr>
            <w:tcW w:w="0" w:type="auto"/>
            <w:gridSpan w:val="3"/>
            <w:shd w:val="clear" w:color="auto" w:fill="auto"/>
            <w:vAlign w:val="center"/>
          </w:tcPr>
          <w:p w14:paraId="64A8B160" w14:textId="77777777" w:rsidR="008D6614" w:rsidRDefault="008D6614">
            <w:pPr>
              <w:rPr>
                <w:rFonts w:ascii="宋体"/>
                <w:vanish/>
              </w:rPr>
            </w:pPr>
          </w:p>
        </w:tc>
        <w:tc>
          <w:tcPr>
            <w:tcW w:w="0" w:type="auto"/>
            <w:gridSpan w:val="3"/>
            <w:shd w:val="clear" w:color="auto" w:fill="auto"/>
            <w:vAlign w:val="center"/>
          </w:tcPr>
          <w:p w14:paraId="64A8B161" w14:textId="77777777" w:rsidR="008D6614" w:rsidRDefault="008D6614">
            <w:pPr>
              <w:rPr>
                <w:rFonts w:ascii="宋体"/>
                <w:vanish/>
              </w:rPr>
            </w:pPr>
          </w:p>
        </w:tc>
        <w:tc>
          <w:tcPr>
            <w:tcW w:w="0" w:type="auto"/>
            <w:gridSpan w:val="3"/>
            <w:shd w:val="clear" w:color="auto" w:fill="auto"/>
            <w:vAlign w:val="center"/>
          </w:tcPr>
          <w:p w14:paraId="64A8B162" w14:textId="77777777" w:rsidR="008D6614" w:rsidRDefault="008D6614">
            <w:pPr>
              <w:rPr>
                <w:rFonts w:ascii="宋体"/>
                <w:vanish/>
              </w:rPr>
            </w:pPr>
          </w:p>
        </w:tc>
        <w:tc>
          <w:tcPr>
            <w:tcW w:w="0" w:type="auto"/>
            <w:shd w:val="clear" w:color="auto" w:fill="auto"/>
            <w:vAlign w:val="center"/>
          </w:tcPr>
          <w:p w14:paraId="64A8B163" w14:textId="77777777" w:rsidR="008D6614" w:rsidRDefault="008D6614">
            <w:pPr>
              <w:rPr>
                <w:rFonts w:ascii="宋体"/>
                <w:vanish/>
              </w:rPr>
            </w:pPr>
          </w:p>
        </w:tc>
        <w:tc>
          <w:tcPr>
            <w:tcW w:w="0" w:type="auto"/>
            <w:shd w:val="clear" w:color="auto" w:fill="auto"/>
            <w:vAlign w:val="center"/>
          </w:tcPr>
          <w:p w14:paraId="64A8B164" w14:textId="77777777" w:rsidR="008D6614" w:rsidRDefault="008D6614">
            <w:pPr>
              <w:rPr>
                <w:rFonts w:ascii="宋体"/>
                <w:vanish/>
              </w:rPr>
            </w:pPr>
          </w:p>
        </w:tc>
        <w:tc>
          <w:tcPr>
            <w:tcW w:w="0" w:type="auto"/>
            <w:shd w:val="clear" w:color="auto" w:fill="auto"/>
            <w:vAlign w:val="center"/>
          </w:tcPr>
          <w:p w14:paraId="64A8B165" w14:textId="77777777" w:rsidR="008D6614" w:rsidRDefault="008D6614">
            <w:pPr>
              <w:rPr>
                <w:rFonts w:ascii="宋体"/>
                <w:vanish/>
              </w:rPr>
            </w:pPr>
          </w:p>
        </w:tc>
        <w:tc>
          <w:tcPr>
            <w:tcW w:w="0" w:type="auto"/>
            <w:shd w:val="clear" w:color="auto" w:fill="auto"/>
            <w:vAlign w:val="center"/>
          </w:tcPr>
          <w:p w14:paraId="64A8B166" w14:textId="77777777" w:rsidR="008D6614" w:rsidRDefault="008D6614">
            <w:pPr>
              <w:rPr>
                <w:rFonts w:ascii="宋体"/>
                <w:vanish/>
              </w:rPr>
            </w:pPr>
          </w:p>
        </w:tc>
        <w:tc>
          <w:tcPr>
            <w:tcW w:w="0" w:type="auto"/>
            <w:shd w:val="clear" w:color="auto" w:fill="auto"/>
            <w:vAlign w:val="center"/>
          </w:tcPr>
          <w:p w14:paraId="64A8B167" w14:textId="77777777" w:rsidR="008D6614" w:rsidRDefault="008D6614">
            <w:pPr>
              <w:rPr>
                <w:rFonts w:ascii="宋体"/>
                <w:vanish/>
              </w:rPr>
            </w:pPr>
          </w:p>
        </w:tc>
        <w:tc>
          <w:tcPr>
            <w:tcW w:w="0" w:type="auto"/>
            <w:shd w:val="clear" w:color="auto" w:fill="auto"/>
            <w:vAlign w:val="center"/>
          </w:tcPr>
          <w:p w14:paraId="64A8B168" w14:textId="77777777" w:rsidR="008D6614" w:rsidRDefault="008D6614">
            <w:pPr>
              <w:rPr>
                <w:rFonts w:ascii="宋体"/>
                <w:vanish/>
              </w:rPr>
            </w:pPr>
          </w:p>
        </w:tc>
        <w:tc>
          <w:tcPr>
            <w:tcW w:w="0" w:type="auto"/>
            <w:shd w:val="clear" w:color="auto" w:fill="auto"/>
            <w:vAlign w:val="center"/>
          </w:tcPr>
          <w:p w14:paraId="64A8B169" w14:textId="77777777" w:rsidR="008D6614" w:rsidRDefault="008D6614">
            <w:pPr>
              <w:rPr>
                <w:rFonts w:ascii="宋体"/>
              </w:rPr>
            </w:pPr>
          </w:p>
        </w:tc>
        <w:tc>
          <w:tcPr>
            <w:tcW w:w="0" w:type="auto"/>
            <w:shd w:val="clear" w:color="auto" w:fill="auto"/>
            <w:vAlign w:val="center"/>
          </w:tcPr>
          <w:p w14:paraId="64A8B16A" w14:textId="77777777" w:rsidR="008D6614" w:rsidRDefault="008D6614">
            <w:pPr>
              <w:rPr>
                <w:rFonts w:ascii="宋体"/>
              </w:rPr>
            </w:pPr>
          </w:p>
        </w:tc>
        <w:tc>
          <w:tcPr>
            <w:tcW w:w="0" w:type="auto"/>
            <w:shd w:val="clear" w:color="auto" w:fill="auto"/>
            <w:vAlign w:val="center"/>
          </w:tcPr>
          <w:p w14:paraId="64A8B16B" w14:textId="77777777" w:rsidR="008D6614" w:rsidRDefault="008D6614">
            <w:pPr>
              <w:rPr>
                <w:rFonts w:ascii="宋体"/>
              </w:rPr>
            </w:pPr>
          </w:p>
        </w:tc>
        <w:tc>
          <w:tcPr>
            <w:tcW w:w="0" w:type="auto"/>
            <w:shd w:val="clear" w:color="auto" w:fill="auto"/>
            <w:vAlign w:val="center"/>
          </w:tcPr>
          <w:p w14:paraId="64A8B16C" w14:textId="77777777" w:rsidR="008D6614" w:rsidRDefault="008D6614">
            <w:pPr>
              <w:rPr>
                <w:rFonts w:ascii="宋体"/>
              </w:rPr>
            </w:pPr>
          </w:p>
        </w:tc>
        <w:tc>
          <w:tcPr>
            <w:tcW w:w="0" w:type="auto"/>
            <w:shd w:val="clear" w:color="auto" w:fill="auto"/>
            <w:vAlign w:val="center"/>
          </w:tcPr>
          <w:p w14:paraId="64A8B16D" w14:textId="77777777" w:rsidR="008D6614" w:rsidRDefault="008D6614">
            <w:pPr>
              <w:rPr>
                <w:rFonts w:ascii="宋体"/>
              </w:rPr>
            </w:pPr>
          </w:p>
        </w:tc>
        <w:tc>
          <w:tcPr>
            <w:tcW w:w="0" w:type="auto"/>
            <w:shd w:val="clear" w:color="auto" w:fill="auto"/>
            <w:vAlign w:val="center"/>
          </w:tcPr>
          <w:p w14:paraId="64A8B16E" w14:textId="77777777" w:rsidR="008D6614" w:rsidRDefault="008D6614">
            <w:pPr>
              <w:rPr>
                <w:rFonts w:ascii="宋体"/>
              </w:rPr>
            </w:pPr>
          </w:p>
        </w:tc>
      </w:tr>
      <w:tr w:rsidR="008D6614" w14:paraId="64A8B182" w14:textId="77777777">
        <w:trPr>
          <w:jc w:val="center"/>
          <w:hidden/>
        </w:trPr>
        <w:tc>
          <w:tcPr>
            <w:tcW w:w="0" w:type="auto"/>
            <w:gridSpan w:val="3"/>
            <w:shd w:val="clear" w:color="auto" w:fill="auto"/>
            <w:vAlign w:val="center"/>
          </w:tcPr>
          <w:p w14:paraId="64A8B170" w14:textId="77777777" w:rsidR="008D6614" w:rsidRDefault="008D6614">
            <w:pPr>
              <w:rPr>
                <w:rFonts w:ascii="宋体"/>
                <w:vanish/>
              </w:rPr>
            </w:pPr>
          </w:p>
        </w:tc>
        <w:tc>
          <w:tcPr>
            <w:tcW w:w="0" w:type="auto"/>
            <w:gridSpan w:val="3"/>
            <w:shd w:val="clear" w:color="auto" w:fill="auto"/>
            <w:vAlign w:val="center"/>
          </w:tcPr>
          <w:p w14:paraId="64A8B171" w14:textId="77777777" w:rsidR="008D6614" w:rsidRDefault="008D6614">
            <w:pPr>
              <w:rPr>
                <w:rFonts w:ascii="宋体"/>
                <w:vanish/>
              </w:rPr>
            </w:pPr>
          </w:p>
        </w:tc>
        <w:tc>
          <w:tcPr>
            <w:tcW w:w="0" w:type="auto"/>
            <w:gridSpan w:val="3"/>
            <w:shd w:val="clear" w:color="auto" w:fill="auto"/>
            <w:vAlign w:val="center"/>
          </w:tcPr>
          <w:p w14:paraId="64A8B172" w14:textId="77777777" w:rsidR="008D6614" w:rsidRDefault="008D6614">
            <w:pPr>
              <w:rPr>
                <w:rFonts w:ascii="宋体"/>
                <w:vanish/>
              </w:rPr>
            </w:pPr>
          </w:p>
        </w:tc>
        <w:tc>
          <w:tcPr>
            <w:tcW w:w="0" w:type="auto"/>
            <w:gridSpan w:val="3"/>
            <w:shd w:val="clear" w:color="auto" w:fill="auto"/>
            <w:vAlign w:val="center"/>
          </w:tcPr>
          <w:p w14:paraId="64A8B173" w14:textId="77777777" w:rsidR="008D6614" w:rsidRDefault="008D6614">
            <w:pPr>
              <w:rPr>
                <w:rFonts w:ascii="宋体"/>
                <w:vanish/>
              </w:rPr>
            </w:pPr>
          </w:p>
        </w:tc>
        <w:tc>
          <w:tcPr>
            <w:tcW w:w="0" w:type="auto"/>
            <w:gridSpan w:val="3"/>
            <w:shd w:val="clear" w:color="auto" w:fill="auto"/>
            <w:vAlign w:val="center"/>
          </w:tcPr>
          <w:p w14:paraId="64A8B174" w14:textId="77777777" w:rsidR="008D6614" w:rsidRDefault="008D6614">
            <w:pPr>
              <w:rPr>
                <w:rFonts w:ascii="宋体"/>
                <w:vanish/>
              </w:rPr>
            </w:pPr>
          </w:p>
        </w:tc>
        <w:tc>
          <w:tcPr>
            <w:tcW w:w="0" w:type="auto"/>
            <w:gridSpan w:val="3"/>
            <w:shd w:val="clear" w:color="auto" w:fill="auto"/>
            <w:vAlign w:val="center"/>
          </w:tcPr>
          <w:p w14:paraId="64A8B175" w14:textId="77777777" w:rsidR="008D6614" w:rsidRDefault="008D6614">
            <w:pPr>
              <w:rPr>
                <w:rFonts w:ascii="宋体"/>
                <w:vanish/>
              </w:rPr>
            </w:pPr>
          </w:p>
        </w:tc>
        <w:tc>
          <w:tcPr>
            <w:tcW w:w="0" w:type="auto"/>
            <w:shd w:val="clear" w:color="auto" w:fill="auto"/>
            <w:vAlign w:val="center"/>
          </w:tcPr>
          <w:p w14:paraId="64A8B176" w14:textId="77777777" w:rsidR="008D6614" w:rsidRDefault="008D6614">
            <w:pPr>
              <w:rPr>
                <w:rFonts w:ascii="宋体"/>
                <w:vanish/>
              </w:rPr>
            </w:pPr>
          </w:p>
        </w:tc>
        <w:tc>
          <w:tcPr>
            <w:tcW w:w="0" w:type="auto"/>
            <w:shd w:val="clear" w:color="auto" w:fill="auto"/>
            <w:vAlign w:val="center"/>
          </w:tcPr>
          <w:p w14:paraId="64A8B177" w14:textId="77777777" w:rsidR="008D6614" w:rsidRDefault="008D6614">
            <w:pPr>
              <w:rPr>
                <w:rFonts w:ascii="宋体"/>
                <w:vanish/>
              </w:rPr>
            </w:pPr>
          </w:p>
        </w:tc>
        <w:tc>
          <w:tcPr>
            <w:tcW w:w="0" w:type="auto"/>
            <w:shd w:val="clear" w:color="auto" w:fill="auto"/>
            <w:vAlign w:val="center"/>
          </w:tcPr>
          <w:p w14:paraId="64A8B178" w14:textId="77777777" w:rsidR="008D6614" w:rsidRDefault="008D6614">
            <w:pPr>
              <w:rPr>
                <w:rFonts w:ascii="宋体"/>
                <w:vanish/>
              </w:rPr>
            </w:pPr>
          </w:p>
        </w:tc>
        <w:tc>
          <w:tcPr>
            <w:tcW w:w="0" w:type="auto"/>
            <w:shd w:val="clear" w:color="auto" w:fill="auto"/>
            <w:vAlign w:val="center"/>
          </w:tcPr>
          <w:p w14:paraId="64A8B179" w14:textId="77777777" w:rsidR="008D6614" w:rsidRDefault="008D6614">
            <w:pPr>
              <w:rPr>
                <w:rFonts w:ascii="宋体"/>
                <w:vanish/>
              </w:rPr>
            </w:pPr>
          </w:p>
        </w:tc>
        <w:tc>
          <w:tcPr>
            <w:tcW w:w="0" w:type="auto"/>
            <w:shd w:val="clear" w:color="auto" w:fill="auto"/>
            <w:vAlign w:val="center"/>
          </w:tcPr>
          <w:p w14:paraId="64A8B17A" w14:textId="77777777" w:rsidR="008D6614" w:rsidRDefault="008D6614">
            <w:pPr>
              <w:rPr>
                <w:rFonts w:ascii="宋体"/>
                <w:vanish/>
              </w:rPr>
            </w:pPr>
          </w:p>
        </w:tc>
        <w:tc>
          <w:tcPr>
            <w:tcW w:w="0" w:type="auto"/>
            <w:shd w:val="clear" w:color="auto" w:fill="auto"/>
            <w:vAlign w:val="center"/>
          </w:tcPr>
          <w:p w14:paraId="64A8B17B" w14:textId="77777777" w:rsidR="008D6614" w:rsidRDefault="008D6614">
            <w:pPr>
              <w:rPr>
                <w:rFonts w:ascii="宋体"/>
                <w:vanish/>
              </w:rPr>
            </w:pPr>
          </w:p>
        </w:tc>
        <w:tc>
          <w:tcPr>
            <w:tcW w:w="0" w:type="auto"/>
            <w:shd w:val="clear" w:color="auto" w:fill="auto"/>
            <w:vAlign w:val="center"/>
          </w:tcPr>
          <w:p w14:paraId="64A8B17C" w14:textId="77777777" w:rsidR="008D6614" w:rsidRDefault="008D6614">
            <w:pPr>
              <w:rPr>
                <w:rFonts w:ascii="宋体"/>
              </w:rPr>
            </w:pPr>
          </w:p>
        </w:tc>
        <w:tc>
          <w:tcPr>
            <w:tcW w:w="0" w:type="auto"/>
            <w:shd w:val="clear" w:color="auto" w:fill="auto"/>
            <w:vAlign w:val="center"/>
          </w:tcPr>
          <w:p w14:paraId="64A8B17D" w14:textId="77777777" w:rsidR="008D6614" w:rsidRDefault="008D6614">
            <w:pPr>
              <w:rPr>
                <w:rFonts w:ascii="宋体"/>
              </w:rPr>
            </w:pPr>
          </w:p>
        </w:tc>
        <w:tc>
          <w:tcPr>
            <w:tcW w:w="0" w:type="auto"/>
            <w:shd w:val="clear" w:color="auto" w:fill="auto"/>
            <w:vAlign w:val="center"/>
          </w:tcPr>
          <w:p w14:paraId="64A8B17E" w14:textId="77777777" w:rsidR="008D6614" w:rsidRDefault="008D6614">
            <w:pPr>
              <w:rPr>
                <w:rFonts w:ascii="宋体"/>
              </w:rPr>
            </w:pPr>
          </w:p>
        </w:tc>
        <w:tc>
          <w:tcPr>
            <w:tcW w:w="0" w:type="auto"/>
            <w:shd w:val="clear" w:color="auto" w:fill="auto"/>
            <w:vAlign w:val="center"/>
          </w:tcPr>
          <w:p w14:paraId="64A8B17F" w14:textId="77777777" w:rsidR="008D6614" w:rsidRDefault="008D6614">
            <w:pPr>
              <w:rPr>
                <w:rFonts w:ascii="宋体"/>
              </w:rPr>
            </w:pPr>
          </w:p>
        </w:tc>
        <w:tc>
          <w:tcPr>
            <w:tcW w:w="0" w:type="auto"/>
            <w:shd w:val="clear" w:color="auto" w:fill="auto"/>
            <w:vAlign w:val="center"/>
          </w:tcPr>
          <w:p w14:paraId="64A8B180" w14:textId="77777777" w:rsidR="008D6614" w:rsidRDefault="008D6614">
            <w:pPr>
              <w:rPr>
                <w:rFonts w:ascii="宋体"/>
              </w:rPr>
            </w:pPr>
          </w:p>
        </w:tc>
        <w:tc>
          <w:tcPr>
            <w:tcW w:w="0" w:type="auto"/>
            <w:shd w:val="clear" w:color="auto" w:fill="auto"/>
            <w:vAlign w:val="center"/>
          </w:tcPr>
          <w:p w14:paraId="64A8B181" w14:textId="77777777" w:rsidR="008D6614" w:rsidRDefault="008D6614">
            <w:pPr>
              <w:rPr>
                <w:rFonts w:ascii="宋体"/>
              </w:rPr>
            </w:pPr>
          </w:p>
        </w:tc>
      </w:tr>
      <w:tr w:rsidR="008D6614" w14:paraId="64A8B195" w14:textId="77777777">
        <w:trPr>
          <w:jc w:val="center"/>
          <w:hidden/>
        </w:trPr>
        <w:tc>
          <w:tcPr>
            <w:tcW w:w="0" w:type="auto"/>
            <w:gridSpan w:val="3"/>
            <w:shd w:val="clear" w:color="auto" w:fill="auto"/>
            <w:vAlign w:val="center"/>
          </w:tcPr>
          <w:p w14:paraId="64A8B183" w14:textId="77777777" w:rsidR="008D6614" w:rsidRDefault="008D6614">
            <w:pPr>
              <w:rPr>
                <w:rFonts w:ascii="宋体"/>
                <w:vanish/>
              </w:rPr>
            </w:pPr>
          </w:p>
        </w:tc>
        <w:tc>
          <w:tcPr>
            <w:tcW w:w="0" w:type="auto"/>
            <w:gridSpan w:val="3"/>
            <w:shd w:val="clear" w:color="auto" w:fill="auto"/>
            <w:vAlign w:val="center"/>
          </w:tcPr>
          <w:p w14:paraId="64A8B184" w14:textId="77777777" w:rsidR="008D6614" w:rsidRDefault="008D6614">
            <w:pPr>
              <w:rPr>
                <w:rFonts w:ascii="宋体"/>
                <w:vanish/>
              </w:rPr>
            </w:pPr>
          </w:p>
        </w:tc>
        <w:tc>
          <w:tcPr>
            <w:tcW w:w="0" w:type="auto"/>
            <w:gridSpan w:val="3"/>
            <w:shd w:val="clear" w:color="auto" w:fill="auto"/>
            <w:vAlign w:val="center"/>
          </w:tcPr>
          <w:p w14:paraId="64A8B185" w14:textId="77777777" w:rsidR="008D6614" w:rsidRDefault="008D6614">
            <w:pPr>
              <w:rPr>
                <w:rFonts w:ascii="宋体"/>
                <w:vanish/>
              </w:rPr>
            </w:pPr>
          </w:p>
        </w:tc>
        <w:tc>
          <w:tcPr>
            <w:tcW w:w="0" w:type="auto"/>
            <w:gridSpan w:val="3"/>
            <w:shd w:val="clear" w:color="auto" w:fill="auto"/>
            <w:vAlign w:val="center"/>
          </w:tcPr>
          <w:p w14:paraId="64A8B186" w14:textId="77777777" w:rsidR="008D6614" w:rsidRDefault="008D6614">
            <w:pPr>
              <w:rPr>
                <w:rFonts w:ascii="宋体"/>
                <w:vanish/>
              </w:rPr>
            </w:pPr>
          </w:p>
        </w:tc>
        <w:tc>
          <w:tcPr>
            <w:tcW w:w="0" w:type="auto"/>
            <w:gridSpan w:val="3"/>
            <w:shd w:val="clear" w:color="auto" w:fill="auto"/>
            <w:vAlign w:val="center"/>
          </w:tcPr>
          <w:p w14:paraId="64A8B187" w14:textId="77777777" w:rsidR="008D6614" w:rsidRDefault="008D6614">
            <w:pPr>
              <w:rPr>
                <w:rFonts w:ascii="宋体"/>
                <w:vanish/>
              </w:rPr>
            </w:pPr>
          </w:p>
        </w:tc>
        <w:tc>
          <w:tcPr>
            <w:tcW w:w="0" w:type="auto"/>
            <w:gridSpan w:val="3"/>
            <w:shd w:val="clear" w:color="auto" w:fill="auto"/>
            <w:vAlign w:val="center"/>
          </w:tcPr>
          <w:p w14:paraId="64A8B188" w14:textId="77777777" w:rsidR="008D6614" w:rsidRDefault="008D6614">
            <w:pPr>
              <w:rPr>
                <w:rFonts w:ascii="宋体"/>
                <w:vanish/>
              </w:rPr>
            </w:pPr>
          </w:p>
        </w:tc>
        <w:tc>
          <w:tcPr>
            <w:tcW w:w="0" w:type="auto"/>
            <w:shd w:val="clear" w:color="auto" w:fill="auto"/>
            <w:vAlign w:val="center"/>
          </w:tcPr>
          <w:p w14:paraId="64A8B189" w14:textId="77777777" w:rsidR="008D6614" w:rsidRDefault="008D6614">
            <w:pPr>
              <w:rPr>
                <w:rFonts w:ascii="宋体"/>
                <w:vanish/>
              </w:rPr>
            </w:pPr>
          </w:p>
        </w:tc>
        <w:tc>
          <w:tcPr>
            <w:tcW w:w="0" w:type="auto"/>
            <w:shd w:val="clear" w:color="auto" w:fill="auto"/>
            <w:vAlign w:val="center"/>
          </w:tcPr>
          <w:p w14:paraId="64A8B18A" w14:textId="77777777" w:rsidR="008D6614" w:rsidRDefault="008D6614">
            <w:pPr>
              <w:rPr>
                <w:rFonts w:ascii="宋体"/>
                <w:vanish/>
              </w:rPr>
            </w:pPr>
          </w:p>
        </w:tc>
        <w:tc>
          <w:tcPr>
            <w:tcW w:w="0" w:type="auto"/>
            <w:shd w:val="clear" w:color="auto" w:fill="auto"/>
            <w:vAlign w:val="center"/>
          </w:tcPr>
          <w:p w14:paraId="64A8B18B" w14:textId="77777777" w:rsidR="008D6614" w:rsidRDefault="008D6614">
            <w:pPr>
              <w:rPr>
                <w:rFonts w:ascii="宋体"/>
                <w:vanish/>
              </w:rPr>
            </w:pPr>
          </w:p>
        </w:tc>
        <w:tc>
          <w:tcPr>
            <w:tcW w:w="0" w:type="auto"/>
            <w:shd w:val="clear" w:color="auto" w:fill="auto"/>
            <w:vAlign w:val="center"/>
          </w:tcPr>
          <w:p w14:paraId="64A8B18C" w14:textId="77777777" w:rsidR="008D6614" w:rsidRDefault="008D6614">
            <w:pPr>
              <w:rPr>
                <w:rFonts w:ascii="宋体"/>
                <w:vanish/>
              </w:rPr>
            </w:pPr>
          </w:p>
        </w:tc>
        <w:tc>
          <w:tcPr>
            <w:tcW w:w="0" w:type="auto"/>
            <w:shd w:val="clear" w:color="auto" w:fill="auto"/>
            <w:vAlign w:val="center"/>
          </w:tcPr>
          <w:p w14:paraId="64A8B18D" w14:textId="77777777" w:rsidR="008D6614" w:rsidRDefault="008D6614">
            <w:pPr>
              <w:rPr>
                <w:rFonts w:ascii="宋体"/>
                <w:vanish/>
              </w:rPr>
            </w:pPr>
          </w:p>
        </w:tc>
        <w:tc>
          <w:tcPr>
            <w:tcW w:w="0" w:type="auto"/>
            <w:shd w:val="clear" w:color="auto" w:fill="auto"/>
            <w:vAlign w:val="center"/>
          </w:tcPr>
          <w:p w14:paraId="64A8B18E" w14:textId="77777777" w:rsidR="008D6614" w:rsidRDefault="008D6614">
            <w:pPr>
              <w:rPr>
                <w:rFonts w:ascii="宋体"/>
                <w:vanish/>
              </w:rPr>
            </w:pPr>
          </w:p>
        </w:tc>
        <w:tc>
          <w:tcPr>
            <w:tcW w:w="0" w:type="auto"/>
            <w:shd w:val="clear" w:color="auto" w:fill="auto"/>
            <w:vAlign w:val="center"/>
          </w:tcPr>
          <w:p w14:paraId="64A8B18F" w14:textId="77777777" w:rsidR="008D6614" w:rsidRDefault="008D6614">
            <w:pPr>
              <w:rPr>
                <w:rFonts w:ascii="宋体"/>
              </w:rPr>
            </w:pPr>
          </w:p>
        </w:tc>
        <w:tc>
          <w:tcPr>
            <w:tcW w:w="0" w:type="auto"/>
            <w:shd w:val="clear" w:color="auto" w:fill="auto"/>
            <w:vAlign w:val="center"/>
          </w:tcPr>
          <w:p w14:paraId="64A8B190" w14:textId="77777777" w:rsidR="008D6614" w:rsidRDefault="008D6614">
            <w:pPr>
              <w:rPr>
                <w:rFonts w:ascii="宋体"/>
              </w:rPr>
            </w:pPr>
          </w:p>
        </w:tc>
        <w:tc>
          <w:tcPr>
            <w:tcW w:w="0" w:type="auto"/>
            <w:shd w:val="clear" w:color="auto" w:fill="auto"/>
            <w:vAlign w:val="center"/>
          </w:tcPr>
          <w:p w14:paraId="64A8B191" w14:textId="77777777" w:rsidR="008D6614" w:rsidRDefault="008D6614">
            <w:pPr>
              <w:rPr>
                <w:rFonts w:ascii="宋体"/>
              </w:rPr>
            </w:pPr>
          </w:p>
        </w:tc>
        <w:tc>
          <w:tcPr>
            <w:tcW w:w="0" w:type="auto"/>
            <w:shd w:val="clear" w:color="auto" w:fill="auto"/>
            <w:vAlign w:val="center"/>
          </w:tcPr>
          <w:p w14:paraId="64A8B192" w14:textId="77777777" w:rsidR="008D6614" w:rsidRDefault="008D6614">
            <w:pPr>
              <w:rPr>
                <w:rFonts w:ascii="宋体"/>
              </w:rPr>
            </w:pPr>
          </w:p>
        </w:tc>
        <w:tc>
          <w:tcPr>
            <w:tcW w:w="0" w:type="auto"/>
            <w:shd w:val="clear" w:color="auto" w:fill="auto"/>
            <w:vAlign w:val="center"/>
          </w:tcPr>
          <w:p w14:paraId="64A8B193" w14:textId="77777777" w:rsidR="008D6614" w:rsidRDefault="008D6614">
            <w:pPr>
              <w:rPr>
                <w:rFonts w:ascii="宋体"/>
              </w:rPr>
            </w:pPr>
          </w:p>
        </w:tc>
        <w:tc>
          <w:tcPr>
            <w:tcW w:w="0" w:type="auto"/>
            <w:shd w:val="clear" w:color="auto" w:fill="auto"/>
            <w:vAlign w:val="center"/>
          </w:tcPr>
          <w:p w14:paraId="64A8B194" w14:textId="77777777" w:rsidR="008D6614" w:rsidRDefault="008D6614">
            <w:pPr>
              <w:rPr>
                <w:rFonts w:ascii="宋体"/>
              </w:rPr>
            </w:pPr>
          </w:p>
        </w:tc>
      </w:tr>
      <w:tr w:rsidR="008D6614" w14:paraId="64A8B1A8" w14:textId="77777777">
        <w:trPr>
          <w:jc w:val="center"/>
          <w:hidden/>
        </w:trPr>
        <w:tc>
          <w:tcPr>
            <w:tcW w:w="0" w:type="auto"/>
            <w:gridSpan w:val="3"/>
            <w:shd w:val="clear" w:color="auto" w:fill="auto"/>
            <w:vAlign w:val="center"/>
          </w:tcPr>
          <w:p w14:paraId="64A8B196" w14:textId="77777777" w:rsidR="008D6614" w:rsidRDefault="008D6614">
            <w:pPr>
              <w:rPr>
                <w:rFonts w:ascii="宋体"/>
                <w:vanish/>
              </w:rPr>
            </w:pPr>
          </w:p>
        </w:tc>
        <w:tc>
          <w:tcPr>
            <w:tcW w:w="0" w:type="auto"/>
            <w:gridSpan w:val="3"/>
            <w:shd w:val="clear" w:color="auto" w:fill="auto"/>
            <w:vAlign w:val="center"/>
          </w:tcPr>
          <w:p w14:paraId="64A8B197" w14:textId="77777777" w:rsidR="008D6614" w:rsidRDefault="008D6614">
            <w:pPr>
              <w:rPr>
                <w:rFonts w:ascii="宋体"/>
                <w:vanish/>
              </w:rPr>
            </w:pPr>
          </w:p>
        </w:tc>
        <w:tc>
          <w:tcPr>
            <w:tcW w:w="0" w:type="auto"/>
            <w:gridSpan w:val="3"/>
            <w:shd w:val="clear" w:color="auto" w:fill="auto"/>
            <w:vAlign w:val="center"/>
          </w:tcPr>
          <w:p w14:paraId="64A8B198" w14:textId="77777777" w:rsidR="008D6614" w:rsidRDefault="008D6614">
            <w:pPr>
              <w:rPr>
                <w:rFonts w:ascii="宋体"/>
                <w:vanish/>
              </w:rPr>
            </w:pPr>
          </w:p>
        </w:tc>
        <w:tc>
          <w:tcPr>
            <w:tcW w:w="0" w:type="auto"/>
            <w:gridSpan w:val="3"/>
            <w:shd w:val="clear" w:color="auto" w:fill="auto"/>
            <w:vAlign w:val="center"/>
          </w:tcPr>
          <w:p w14:paraId="64A8B199" w14:textId="77777777" w:rsidR="008D6614" w:rsidRDefault="008D6614">
            <w:pPr>
              <w:rPr>
                <w:rFonts w:ascii="宋体"/>
                <w:vanish/>
              </w:rPr>
            </w:pPr>
          </w:p>
        </w:tc>
        <w:tc>
          <w:tcPr>
            <w:tcW w:w="0" w:type="auto"/>
            <w:gridSpan w:val="3"/>
            <w:shd w:val="clear" w:color="auto" w:fill="auto"/>
            <w:vAlign w:val="center"/>
          </w:tcPr>
          <w:p w14:paraId="64A8B19A" w14:textId="77777777" w:rsidR="008D6614" w:rsidRDefault="008D6614">
            <w:pPr>
              <w:rPr>
                <w:rFonts w:ascii="宋体"/>
                <w:vanish/>
              </w:rPr>
            </w:pPr>
          </w:p>
        </w:tc>
        <w:tc>
          <w:tcPr>
            <w:tcW w:w="0" w:type="auto"/>
            <w:gridSpan w:val="3"/>
            <w:shd w:val="clear" w:color="auto" w:fill="auto"/>
            <w:vAlign w:val="center"/>
          </w:tcPr>
          <w:p w14:paraId="64A8B19B" w14:textId="77777777" w:rsidR="008D6614" w:rsidRDefault="008D6614">
            <w:pPr>
              <w:rPr>
                <w:rFonts w:ascii="宋体"/>
                <w:vanish/>
              </w:rPr>
            </w:pPr>
          </w:p>
        </w:tc>
        <w:tc>
          <w:tcPr>
            <w:tcW w:w="0" w:type="auto"/>
            <w:shd w:val="clear" w:color="auto" w:fill="auto"/>
            <w:vAlign w:val="center"/>
          </w:tcPr>
          <w:p w14:paraId="64A8B19C" w14:textId="77777777" w:rsidR="008D6614" w:rsidRDefault="008D6614">
            <w:pPr>
              <w:rPr>
                <w:rFonts w:ascii="宋体"/>
                <w:vanish/>
              </w:rPr>
            </w:pPr>
          </w:p>
        </w:tc>
        <w:tc>
          <w:tcPr>
            <w:tcW w:w="0" w:type="auto"/>
            <w:shd w:val="clear" w:color="auto" w:fill="auto"/>
            <w:vAlign w:val="center"/>
          </w:tcPr>
          <w:p w14:paraId="64A8B19D" w14:textId="77777777" w:rsidR="008D6614" w:rsidRDefault="008D6614">
            <w:pPr>
              <w:rPr>
                <w:rFonts w:ascii="宋体"/>
                <w:vanish/>
              </w:rPr>
            </w:pPr>
          </w:p>
        </w:tc>
        <w:tc>
          <w:tcPr>
            <w:tcW w:w="0" w:type="auto"/>
            <w:shd w:val="clear" w:color="auto" w:fill="auto"/>
            <w:vAlign w:val="center"/>
          </w:tcPr>
          <w:p w14:paraId="64A8B19E" w14:textId="77777777" w:rsidR="008D6614" w:rsidRDefault="008D6614">
            <w:pPr>
              <w:rPr>
                <w:rFonts w:ascii="宋体"/>
                <w:vanish/>
              </w:rPr>
            </w:pPr>
          </w:p>
        </w:tc>
        <w:tc>
          <w:tcPr>
            <w:tcW w:w="0" w:type="auto"/>
            <w:shd w:val="clear" w:color="auto" w:fill="auto"/>
            <w:vAlign w:val="center"/>
          </w:tcPr>
          <w:p w14:paraId="64A8B19F" w14:textId="77777777" w:rsidR="008D6614" w:rsidRDefault="008D6614">
            <w:pPr>
              <w:rPr>
                <w:rFonts w:ascii="宋体"/>
                <w:vanish/>
              </w:rPr>
            </w:pPr>
          </w:p>
        </w:tc>
        <w:tc>
          <w:tcPr>
            <w:tcW w:w="0" w:type="auto"/>
            <w:shd w:val="clear" w:color="auto" w:fill="auto"/>
            <w:vAlign w:val="center"/>
          </w:tcPr>
          <w:p w14:paraId="64A8B1A0" w14:textId="77777777" w:rsidR="008D6614" w:rsidRDefault="008D6614">
            <w:pPr>
              <w:rPr>
                <w:rFonts w:ascii="宋体"/>
                <w:vanish/>
              </w:rPr>
            </w:pPr>
          </w:p>
        </w:tc>
        <w:tc>
          <w:tcPr>
            <w:tcW w:w="0" w:type="auto"/>
            <w:shd w:val="clear" w:color="auto" w:fill="auto"/>
            <w:vAlign w:val="center"/>
          </w:tcPr>
          <w:p w14:paraId="64A8B1A1" w14:textId="77777777" w:rsidR="008D6614" w:rsidRDefault="008D6614">
            <w:pPr>
              <w:rPr>
                <w:rFonts w:ascii="宋体"/>
                <w:vanish/>
              </w:rPr>
            </w:pPr>
          </w:p>
        </w:tc>
        <w:tc>
          <w:tcPr>
            <w:tcW w:w="0" w:type="auto"/>
            <w:shd w:val="clear" w:color="auto" w:fill="auto"/>
            <w:vAlign w:val="center"/>
          </w:tcPr>
          <w:p w14:paraId="64A8B1A2" w14:textId="77777777" w:rsidR="008D6614" w:rsidRDefault="008D6614">
            <w:pPr>
              <w:rPr>
                <w:rFonts w:ascii="宋体"/>
              </w:rPr>
            </w:pPr>
          </w:p>
        </w:tc>
        <w:tc>
          <w:tcPr>
            <w:tcW w:w="0" w:type="auto"/>
            <w:shd w:val="clear" w:color="auto" w:fill="auto"/>
            <w:vAlign w:val="center"/>
          </w:tcPr>
          <w:p w14:paraId="64A8B1A3" w14:textId="77777777" w:rsidR="008D6614" w:rsidRDefault="008D6614">
            <w:pPr>
              <w:rPr>
                <w:rFonts w:ascii="宋体"/>
              </w:rPr>
            </w:pPr>
          </w:p>
        </w:tc>
        <w:tc>
          <w:tcPr>
            <w:tcW w:w="0" w:type="auto"/>
            <w:shd w:val="clear" w:color="auto" w:fill="auto"/>
            <w:vAlign w:val="center"/>
          </w:tcPr>
          <w:p w14:paraId="64A8B1A4" w14:textId="77777777" w:rsidR="008D6614" w:rsidRDefault="008D6614">
            <w:pPr>
              <w:rPr>
                <w:rFonts w:ascii="宋体"/>
              </w:rPr>
            </w:pPr>
          </w:p>
        </w:tc>
        <w:tc>
          <w:tcPr>
            <w:tcW w:w="0" w:type="auto"/>
            <w:shd w:val="clear" w:color="auto" w:fill="auto"/>
            <w:vAlign w:val="center"/>
          </w:tcPr>
          <w:p w14:paraId="64A8B1A5" w14:textId="77777777" w:rsidR="008D6614" w:rsidRDefault="008D6614">
            <w:pPr>
              <w:rPr>
                <w:rFonts w:ascii="宋体"/>
              </w:rPr>
            </w:pPr>
          </w:p>
        </w:tc>
        <w:tc>
          <w:tcPr>
            <w:tcW w:w="0" w:type="auto"/>
            <w:shd w:val="clear" w:color="auto" w:fill="auto"/>
            <w:vAlign w:val="center"/>
          </w:tcPr>
          <w:p w14:paraId="64A8B1A6" w14:textId="77777777" w:rsidR="008D6614" w:rsidRDefault="008D6614">
            <w:pPr>
              <w:rPr>
                <w:rFonts w:ascii="宋体"/>
              </w:rPr>
            </w:pPr>
          </w:p>
        </w:tc>
        <w:tc>
          <w:tcPr>
            <w:tcW w:w="0" w:type="auto"/>
            <w:shd w:val="clear" w:color="auto" w:fill="auto"/>
            <w:vAlign w:val="center"/>
          </w:tcPr>
          <w:p w14:paraId="64A8B1A7" w14:textId="77777777" w:rsidR="008D6614" w:rsidRDefault="008D6614">
            <w:pPr>
              <w:rPr>
                <w:rFonts w:ascii="宋体"/>
              </w:rPr>
            </w:pPr>
          </w:p>
        </w:tc>
      </w:tr>
      <w:tr w:rsidR="008D6614" w14:paraId="64A8B1C0" w14:textId="77777777">
        <w:trPr>
          <w:jc w:val="center"/>
        </w:trPr>
        <w:tc>
          <w:tcPr>
            <w:tcW w:w="0" w:type="auto"/>
            <w:gridSpan w:val="3"/>
            <w:shd w:val="clear" w:color="auto" w:fill="E2E2E2"/>
            <w:tcMar>
              <w:top w:w="40" w:type="dxa"/>
              <w:left w:w="20" w:type="dxa"/>
              <w:bottom w:w="40" w:type="dxa"/>
              <w:right w:w="20" w:type="dxa"/>
            </w:tcMar>
            <w:vAlign w:val="bottom"/>
          </w:tcPr>
          <w:p w14:paraId="64A8B1A9" w14:textId="77777777" w:rsidR="008D6614" w:rsidRDefault="00866AF2">
            <w:pPr>
              <w:textAlignment w:val="bottom"/>
            </w:pPr>
            <w:r>
              <w:rPr>
                <w:rFonts w:ascii="Arial" w:eastAsia="宋体" w:hAnsi="Arial" w:cs="Arial"/>
                <w:color w:val="000000"/>
                <w:sz w:val="16"/>
                <w:szCs w:val="16"/>
              </w:rPr>
              <w:t>Total interest and other, net</w:t>
            </w:r>
          </w:p>
        </w:tc>
        <w:tc>
          <w:tcPr>
            <w:tcW w:w="0" w:type="auto"/>
            <w:tcBorders>
              <w:top w:val="single" w:sz="8" w:space="0" w:color="000000"/>
            </w:tcBorders>
            <w:shd w:val="clear" w:color="auto" w:fill="E2E2E2"/>
            <w:tcMar>
              <w:top w:w="40" w:type="dxa"/>
              <w:left w:w="20" w:type="dxa"/>
              <w:bottom w:w="40" w:type="dxa"/>
            </w:tcMar>
            <w:vAlign w:val="bottom"/>
          </w:tcPr>
          <w:p w14:paraId="64A8B1AA"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B1AB" w14:textId="77777777" w:rsidR="008D6614" w:rsidRDefault="00866AF2">
            <w:pPr>
              <w:jc w:val="right"/>
              <w:textAlignment w:val="bottom"/>
            </w:pPr>
            <w:r>
              <w:rPr>
                <w:rFonts w:ascii="Arial" w:eastAsia="宋体" w:hAnsi="Arial" w:cs="Arial"/>
                <w:color w:val="000000"/>
                <w:sz w:val="16"/>
                <w:szCs w:val="16"/>
              </w:rPr>
              <w:t>2 </w:t>
            </w:r>
          </w:p>
        </w:tc>
        <w:tc>
          <w:tcPr>
            <w:tcW w:w="0" w:type="auto"/>
            <w:tcBorders>
              <w:top w:val="single" w:sz="8" w:space="0" w:color="000000"/>
            </w:tcBorders>
            <w:shd w:val="clear" w:color="auto" w:fill="E2E2E2"/>
            <w:tcMar>
              <w:top w:w="40" w:type="dxa"/>
              <w:bottom w:w="40" w:type="dxa"/>
              <w:right w:w="20" w:type="dxa"/>
            </w:tcMar>
            <w:vAlign w:val="bottom"/>
          </w:tcPr>
          <w:p w14:paraId="64A8B1AC"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1AD"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B1AE"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B1AF" w14:textId="77777777" w:rsidR="008D6614" w:rsidRDefault="00866AF2">
            <w:pPr>
              <w:jc w:val="right"/>
              <w:textAlignment w:val="bottom"/>
            </w:pPr>
            <w:r>
              <w:rPr>
                <w:rFonts w:ascii="Arial" w:eastAsia="宋体" w:hAnsi="Arial" w:cs="Arial"/>
                <w:color w:val="000000"/>
                <w:sz w:val="16"/>
                <w:szCs w:val="16"/>
              </w:rPr>
              <w:t>64 </w:t>
            </w:r>
          </w:p>
        </w:tc>
        <w:tc>
          <w:tcPr>
            <w:tcW w:w="0" w:type="auto"/>
            <w:tcBorders>
              <w:top w:val="single" w:sz="8" w:space="0" w:color="000000"/>
            </w:tcBorders>
            <w:shd w:val="clear" w:color="auto" w:fill="E2E2E2"/>
            <w:tcMar>
              <w:top w:w="40" w:type="dxa"/>
              <w:bottom w:w="40" w:type="dxa"/>
              <w:right w:w="20" w:type="dxa"/>
            </w:tcMar>
            <w:vAlign w:val="bottom"/>
          </w:tcPr>
          <w:p w14:paraId="64A8B1B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1B1"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B1B2" w14:textId="77777777" w:rsidR="008D6614" w:rsidRDefault="00866AF2">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E2E2E2"/>
            <w:tcMar>
              <w:top w:w="40" w:type="dxa"/>
              <w:bottom w:w="40" w:type="dxa"/>
              <w:right w:w="20" w:type="dxa"/>
            </w:tcMar>
            <w:vAlign w:val="bottom"/>
          </w:tcPr>
          <w:p w14:paraId="64A8B1B3"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auto"/>
            <w:vAlign w:val="center"/>
          </w:tcPr>
          <w:p w14:paraId="64A8B1B4" w14:textId="77777777" w:rsidR="008D6614" w:rsidRDefault="008D6614">
            <w:pPr>
              <w:rPr>
                <w:rFonts w:ascii="宋体"/>
                <w:vanish/>
              </w:rPr>
            </w:pPr>
          </w:p>
        </w:tc>
        <w:tc>
          <w:tcPr>
            <w:tcW w:w="0" w:type="auto"/>
            <w:shd w:val="clear" w:color="auto" w:fill="auto"/>
            <w:vAlign w:val="center"/>
          </w:tcPr>
          <w:p w14:paraId="64A8B1B5" w14:textId="77777777" w:rsidR="008D6614" w:rsidRDefault="008D6614">
            <w:pPr>
              <w:rPr>
                <w:rFonts w:ascii="宋体"/>
                <w:vanish/>
              </w:rPr>
            </w:pPr>
          </w:p>
        </w:tc>
        <w:tc>
          <w:tcPr>
            <w:tcW w:w="0" w:type="auto"/>
            <w:shd w:val="clear" w:color="auto" w:fill="auto"/>
            <w:vAlign w:val="center"/>
          </w:tcPr>
          <w:p w14:paraId="64A8B1B6" w14:textId="77777777" w:rsidR="008D6614" w:rsidRDefault="008D6614">
            <w:pPr>
              <w:rPr>
                <w:rFonts w:ascii="宋体"/>
                <w:vanish/>
              </w:rPr>
            </w:pPr>
          </w:p>
        </w:tc>
        <w:tc>
          <w:tcPr>
            <w:tcW w:w="0" w:type="auto"/>
            <w:shd w:val="clear" w:color="auto" w:fill="auto"/>
            <w:vAlign w:val="center"/>
          </w:tcPr>
          <w:p w14:paraId="64A8B1B7" w14:textId="77777777" w:rsidR="008D6614" w:rsidRDefault="008D6614">
            <w:pPr>
              <w:rPr>
                <w:rFonts w:ascii="宋体"/>
                <w:vanish/>
              </w:rPr>
            </w:pPr>
          </w:p>
        </w:tc>
        <w:tc>
          <w:tcPr>
            <w:tcW w:w="0" w:type="auto"/>
            <w:shd w:val="clear" w:color="auto" w:fill="auto"/>
            <w:vAlign w:val="center"/>
          </w:tcPr>
          <w:p w14:paraId="64A8B1B8" w14:textId="77777777" w:rsidR="008D6614" w:rsidRDefault="008D6614">
            <w:pPr>
              <w:rPr>
                <w:rFonts w:ascii="宋体"/>
                <w:vanish/>
              </w:rPr>
            </w:pPr>
          </w:p>
        </w:tc>
        <w:tc>
          <w:tcPr>
            <w:tcW w:w="0" w:type="auto"/>
            <w:shd w:val="clear" w:color="auto" w:fill="auto"/>
            <w:vAlign w:val="center"/>
          </w:tcPr>
          <w:p w14:paraId="64A8B1B9" w14:textId="77777777" w:rsidR="008D6614" w:rsidRDefault="008D6614">
            <w:pPr>
              <w:rPr>
                <w:rFonts w:ascii="宋体"/>
                <w:vanish/>
              </w:rPr>
            </w:pPr>
          </w:p>
        </w:tc>
        <w:tc>
          <w:tcPr>
            <w:tcW w:w="0" w:type="auto"/>
            <w:shd w:val="clear" w:color="auto" w:fill="auto"/>
            <w:vAlign w:val="center"/>
          </w:tcPr>
          <w:p w14:paraId="64A8B1BA" w14:textId="77777777" w:rsidR="008D6614" w:rsidRDefault="008D6614">
            <w:pPr>
              <w:rPr>
                <w:rFonts w:ascii="宋体"/>
              </w:rPr>
            </w:pPr>
          </w:p>
        </w:tc>
        <w:tc>
          <w:tcPr>
            <w:tcW w:w="0" w:type="auto"/>
            <w:shd w:val="clear" w:color="auto" w:fill="auto"/>
            <w:vAlign w:val="center"/>
          </w:tcPr>
          <w:p w14:paraId="64A8B1BB" w14:textId="77777777" w:rsidR="008D6614" w:rsidRDefault="008D6614">
            <w:pPr>
              <w:rPr>
                <w:rFonts w:ascii="宋体"/>
              </w:rPr>
            </w:pPr>
          </w:p>
        </w:tc>
        <w:tc>
          <w:tcPr>
            <w:tcW w:w="0" w:type="auto"/>
            <w:shd w:val="clear" w:color="auto" w:fill="auto"/>
            <w:vAlign w:val="center"/>
          </w:tcPr>
          <w:p w14:paraId="64A8B1BC" w14:textId="77777777" w:rsidR="008D6614" w:rsidRDefault="008D6614">
            <w:pPr>
              <w:rPr>
                <w:rFonts w:ascii="宋体"/>
              </w:rPr>
            </w:pPr>
          </w:p>
        </w:tc>
        <w:tc>
          <w:tcPr>
            <w:tcW w:w="0" w:type="auto"/>
            <w:shd w:val="clear" w:color="auto" w:fill="auto"/>
            <w:vAlign w:val="center"/>
          </w:tcPr>
          <w:p w14:paraId="64A8B1BD" w14:textId="77777777" w:rsidR="008D6614" w:rsidRDefault="008D6614">
            <w:pPr>
              <w:rPr>
                <w:rFonts w:ascii="宋体"/>
              </w:rPr>
            </w:pPr>
          </w:p>
        </w:tc>
        <w:tc>
          <w:tcPr>
            <w:tcW w:w="0" w:type="auto"/>
            <w:shd w:val="clear" w:color="auto" w:fill="auto"/>
            <w:vAlign w:val="center"/>
          </w:tcPr>
          <w:p w14:paraId="64A8B1BE" w14:textId="77777777" w:rsidR="008D6614" w:rsidRDefault="008D6614">
            <w:pPr>
              <w:rPr>
                <w:rFonts w:ascii="宋体"/>
              </w:rPr>
            </w:pPr>
          </w:p>
        </w:tc>
        <w:tc>
          <w:tcPr>
            <w:tcW w:w="0" w:type="auto"/>
            <w:shd w:val="clear" w:color="auto" w:fill="auto"/>
            <w:vAlign w:val="center"/>
          </w:tcPr>
          <w:p w14:paraId="64A8B1BF" w14:textId="77777777" w:rsidR="008D6614" w:rsidRDefault="008D6614">
            <w:pPr>
              <w:rPr>
                <w:rFonts w:ascii="宋体"/>
              </w:rPr>
            </w:pPr>
          </w:p>
        </w:tc>
      </w:tr>
      <w:tr w:rsidR="008D6614" w14:paraId="64A8B1D5" w14:textId="77777777">
        <w:trPr>
          <w:jc w:val="center"/>
        </w:trPr>
        <w:tc>
          <w:tcPr>
            <w:tcW w:w="0" w:type="auto"/>
            <w:gridSpan w:val="3"/>
            <w:shd w:val="clear" w:color="auto" w:fill="FFFFFF"/>
            <w:tcMar>
              <w:top w:w="40" w:type="dxa"/>
              <w:left w:w="135" w:type="dxa"/>
              <w:bottom w:w="40" w:type="dxa"/>
              <w:right w:w="20" w:type="dxa"/>
            </w:tcMar>
            <w:vAlign w:val="bottom"/>
          </w:tcPr>
          <w:p w14:paraId="64A8B1C1" w14:textId="77777777" w:rsidR="008D6614" w:rsidRDefault="00866AF2">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A8B1C2" w14:textId="77777777" w:rsidR="008D6614" w:rsidRDefault="00866AF2">
            <w:pPr>
              <w:jc w:val="right"/>
              <w:textAlignment w:val="bottom"/>
            </w:pPr>
            <w:r>
              <w:rPr>
                <w:rFonts w:ascii="Arial" w:eastAsia="宋体" w:hAnsi="Arial" w:cs="Arial"/>
                <w:i/>
                <w:iCs/>
                <w:color w:val="000000"/>
                <w:sz w:val="16"/>
                <w:szCs w:val="16"/>
              </w:rPr>
              <w:t>— </w:t>
            </w:r>
          </w:p>
        </w:tc>
        <w:tc>
          <w:tcPr>
            <w:tcW w:w="0" w:type="auto"/>
            <w:shd w:val="clear" w:color="auto" w:fill="FFFFFF"/>
            <w:tcMar>
              <w:top w:w="40" w:type="dxa"/>
              <w:bottom w:w="40" w:type="dxa"/>
              <w:right w:w="20" w:type="dxa"/>
            </w:tcMar>
            <w:vAlign w:val="bottom"/>
          </w:tcPr>
          <w:p w14:paraId="64A8B1C3"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B1C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1C5" w14:textId="77777777" w:rsidR="008D6614" w:rsidRDefault="00866AF2">
            <w:pPr>
              <w:jc w:val="right"/>
              <w:textAlignment w:val="bottom"/>
            </w:pPr>
            <w:r>
              <w:rPr>
                <w:rFonts w:ascii="Arial" w:eastAsia="宋体" w:hAnsi="Arial" w:cs="Arial"/>
                <w:i/>
                <w:iCs/>
                <w:color w:val="000000"/>
                <w:sz w:val="16"/>
                <w:szCs w:val="16"/>
              </w:rPr>
              <w:t>3 </w:t>
            </w:r>
          </w:p>
        </w:tc>
        <w:tc>
          <w:tcPr>
            <w:tcW w:w="0" w:type="auto"/>
            <w:shd w:val="clear" w:color="auto" w:fill="FFFFFF"/>
            <w:tcMar>
              <w:top w:w="40" w:type="dxa"/>
              <w:bottom w:w="40" w:type="dxa"/>
              <w:right w:w="20" w:type="dxa"/>
            </w:tcMar>
            <w:vAlign w:val="bottom"/>
          </w:tcPr>
          <w:p w14:paraId="64A8B1C6"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FFFFFF"/>
            <w:tcMar>
              <w:left w:w="20" w:type="dxa"/>
              <w:right w:w="20" w:type="dxa"/>
            </w:tcMar>
            <w:vAlign w:val="bottom"/>
          </w:tcPr>
          <w:p w14:paraId="64A8B1C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1C8" w14:textId="77777777" w:rsidR="008D6614" w:rsidRDefault="008D6614">
            <w:pPr>
              <w:rPr>
                <w:rFonts w:ascii="宋体"/>
              </w:rPr>
            </w:pPr>
          </w:p>
        </w:tc>
        <w:tc>
          <w:tcPr>
            <w:tcW w:w="0" w:type="auto"/>
            <w:shd w:val="clear" w:color="auto" w:fill="auto"/>
            <w:vAlign w:val="center"/>
          </w:tcPr>
          <w:p w14:paraId="64A8B1C9" w14:textId="77777777" w:rsidR="008D6614" w:rsidRDefault="008D6614">
            <w:pPr>
              <w:rPr>
                <w:rFonts w:ascii="宋体"/>
                <w:vanish/>
              </w:rPr>
            </w:pPr>
          </w:p>
        </w:tc>
        <w:tc>
          <w:tcPr>
            <w:tcW w:w="0" w:type="auto"/>
            <w:shd w:val="clear" w:color="auto" w:fill="auto"/>
            <w:vAlign w:val="center"/>
          </w:tcPr>
          <w:p w14:paraId="64A8B1CA" w14:textId="77777777" w:rsidR="008D6614" w:rsidRDefault="008D6614">
            <w:pPr>
              <w:rPr>
                <w:rFonts w:ascii="宋体"/>
                <w:vanish/>
              </w:rPr>
            </w:pPr>
          </w:p>
        </w:tc>
        <w:tc>
          <w:tcPr>
            <w:tcW w:w="0" w:type="auto"/>
            <w:shd w:val="clear" w:color="auto" w:fill="auto"/>
            <w:vAlign w:val="center"/>
          </w:tcPr>
          <w:p w14:paraId="64A8B1CB" w14:textId="77777777" w:rsidR="008D6614" w:rsidRDefault="008D6614">
            <w:pPr>
              <w:rPr>
                <w:rFonts w:ascii="宋体"/>
                <w:vanish/>
              </w:rPr>
            </w:pPr>
          </w:p>
        </w:tc>
        <w:tc>
          <w:tcPr>
            <w:tcW w:w="0" w:type="auto"/>
            <w:shd w:val="clear" w:color="auto" w:fill="auto"/>
            <w:vAlign w:val="center"/>
          </w:tcPr>
          <w:p w14:paraId="64A8B1CC" w14:textId="77777777" w:rsidR="008D6614" w:rsidRDefault="008D6614">
            <w:pPr>
              <w:rPr>
                <w:rFonts w:ascii="宋体"/>
                <w:vanish/>
              </w:rPr>
            </w:pPr>
          </w:p>
        </w:tc>
        <w:tc>
          <w:tcPr>
            <w:tcW w:w="0" w:type="auto"/>
            <w:shd w:val="clear" w:color="auto" w:fill="auto"/>
            <w:vAlign w:val="center"/>
          </w:tcPr>
          <w:p w14:paraId="64A8B1CD" w14:textId="77777777" w:rsidR="008D6614" w:rsidRDefault="008D6614">
            <w:pPr>
              <w:rPr>
                <w:rFonts w:ascii="宋体"/>
                <w:vanish/>
              </w:rPr>
            </w:pPr>
          </w:p>
        </w:tc>
        <w:tc>
          <w:tcPr>
            <w:tcW w:w="0" w:type="auto"/>
            <w:shd w:val="clear" w:color="auto" w:fill="auto"/>
            <w:vAlign w:val="center"/>
          </w:tcPr>
          <w:p w14:paraId="64A8B1CE" w14:textId="77777777" w:rsidR="008D6614" w:rsidRDefault="008D6614">
            <w:pPr>
              <w:rPr>
                <w:rFonts w:ascii="宋体"/>
                <w:vanish/>
              </w:rPr>
            </w:pPr>
          </w:p>
        </w:tc>
        <w:tc>
          <w:tcPr>
            <w:tcW w:w="0" w:type="auto"/>
            <w:shd w:val="clear" w:color="auto" w:fill="auto"/>
            <w:vAlign w:val="center"/>
          </w:tcPr>
          <w:p w14:paraId="64A8B1CF" w14:textId="77777777" w:rsidR="008D6614" w:rsidRDefault="008D6614">
            <w:pPr>
              <w:rPr>
                <w:rFonts w:ascii="宋体"/>
              </w:rPr>
            </w:pPr>
          </w:p>
        </w:tc>
        <w:tc>
          <w:tcPr>
            <w:tcW w:w="0" w:type="auto"/>
            <w:shd w:val="clear" w:color="auto" w:fill="auto"/>
            <w:vAlign w:val="center"/>
          </w:tcPr>
          <w:p w14:paraId="64A8B1D0" w14:textId="77777777" w:rsidR="008D6614" w:rsidRDefault="008D6614">
            <w:pPr>
              <w:rPr>
                <w:rFonts w:ascii="宋体"/>
              </w:rPr>
            </w:pPr>
          </w:p>
        </w:tc>
        <w:tc>
          <w:tcPr>
            <w:tcW w:w="0" w:type="auto"/>
            <w:shd w:val="clear" w:color="auto" w:fill="auto"/>
            <w:vAlign w:val="center"/>
          </w:tcPr>
          <w:p w14:paraId="64A8B1D1" w14:textId="77777777" w:rsidR="008D6614" w:rsidRDefault="008D6614">
            <w:pPr>
              <w:rPr>
                <w:rFonts w:ascii="宋体"/>
              </w:rPr>
            </w:pPr>
          </w:p>
        </w:tc>
        <w:tc>
          <w:tcPr>
            <w:tcW w:w="0" w:type="auto"/>
            <w:shd w:val="clear" w:color="auto" w:fill="auto"/>
            <w:vAlign w:val="center"/>
          </w:tcPr>
          <w:p w14:paraId="64A8B1D2" w14:textId="77777777" w:rsidR="008D6614" w:rsidRDefault="008D6614">
            <w:pPr>
              <w:rPr>
                <w:rFonts w:ascii="宋体"/>
              </w:rPr>
            </w:pPr>
          </w:p>
        </w:tc>
        <w:tc>
          <w:tcPr>
            <w:tcW w:w="0" w:type="auto"/>
            <w:shd w:val="clear" w:color="auto" w:fill="auto"/>
            <w:vAlign w:val="center"/>
          </w:tcPr>
          <w:p w14:paraId="64A8B1D3" w14:textId="77777777" w:rsidR="008D6614" w:rsidRDefault="008D6614">
            <w:pPr>
              <w:rPr>
                <w:rFonts w:ascii="宋体"/>
              </w:rPr>
            </w:pPr>
          </w:p>
        </w:tc>
        <w:tc>
          <w:tcPr>
            <w:tcW w:w="0" w:type="auto"/>
            <w:shd w:val="clear" w:color="auto" w:fill="auto"/>
            <w:vAlign w:val="center"/>
          </w:tcPr>
          <w:p w14:paraId="64A8B1D4" w14:textId="77777777" w:rsidR="008D6614" w:rsidRDefault="008D6614">
            <w:pPr>
              <w:rPr>
                <w:rFonts w:ascii="宋体"/>
              </w:rPr>
            </w:pPr>
          </w:p>
        </w:tc>
      </w:tr>
    </w:tbl>
    <w:p w14:paraId="64A8B1D6" w14:textId="77777777" w:rsidR="008D6614" w:rsidRDefault="008D6614">
      <w:pPr>
        <w:ind w:firstLine="495"/>
        <w:jc w:val="both"/>
      </w:pPr>
    </w:p>
    <w:p w14:paraId="64A8B1D7" w14:textId="77777777" w:rsidR="008D6614" w:rsidRDefault="00866AF2">
      <w:pPr>
        <w:ind w:firstLine="540"/>
        <w:jc w:val="both"/>
      </w:pPr>
      <w:r>
        <w:rPr>
          <w:rFonts w:ascii="Arial" w:eastAsia="宋体" w:hAnsi="Arial" w:cs="Arial"/>
          <w:color w:val="000000"/>
          <w:sz w:val="20"/>
          <w:szCs w:val="20"/>
        </w:rPr>
        <w:t xml:space="preserve">The decrease in interest and other, net during the three months ended March 31, 2020 compared to the same period in 2019 was </w:t>
      </w:r>
      <w:r>
        <w:rPr>
          <w:rFonts w:ascii="Arial" w:eastAsia="宋体" w:hAnsi="Arial" w:cs="Arial"/>
          <w:color w:val="000000"/>
          <w:sz w:val="20"/>
          <w:szCs w:val="20"/>
        </w:rPr>
        <w:t>primarily attributable to the change in the fair value of the Adyen warrant from 2019 partially offset by a gain recorded for the receipt of proceeds that were held in escrow related to a long-term investment that was sold in 2018.</w:t>
      </w:r>
    </w:p>
    <w:p w14:paraId="64A8B1D8" w14:textId="77777777" w:rsidR="008D6614" w:rsidRDefault="008D6614">
      <w:pPr>
        <w:jc w:val="center"/>
      </w:pPr>
    </w:p>
    <w:p w14:paraId="64A8B1D9" w14:textId="77777777" w:rsidR="008D6614" w:rsidRDefault="00866AF2">
      <w:pPr>
        <w:jc w:val="center"/>
      </w:pPr>
      <w:r>
        <w:rPr>
          <w:rFonts w:ascii="Arial" w:eastAsia="宋体" w:hAnsi="Arial" w:cs="Arial"/>
          <w:color w:val="000000"/>
          <w:sz w:val="20"/>
          <w:szCs w:val="20"/>
        </w:rPr>
        <w:t>39</w:t>
      </w:r>
    </w:p>
    <w:p w14:paraId="64A8B1DA" w14:textId="77777777" w:rsidR="008D6614" w:rsidRDefault="00866AF2">
      <w:r>
        <w:pict w14:anchorId="64A8BA04">
          <v:rect id="_x0000_i1063" style="width:415.3pt;height:1.5pt" o:hralign="center" o:hrstd="t" o:hr="t" fillcolor="#a0a0a0" stroked="f"/>
        </w:pict>
      </w:r>
    </w:p>
    <w:p w14:paraId="64A8B1DB" w14:textId="77777777" w:rsidR="008D6614" w:rsidRDefault="008D6614"/>
    <w:p w14:paraId="64A8B1DC" w14:textId="77777777" w:rsidR="008D6614" w:rsidRDefault="00866AF2">
      <w:pPr>
        <w:jc w:val="both"/>
      </w:pPr>
      <w:r>
        <w:rPr>
          <w:rFonts w:ascii="Arial" w:eastAsia="宋体" w:hAnsi="Arial" w:cs="Arial"/>
          <w:b/>
          <w:bCs/>
          <w:i/>
          <w:iCs/>
          <w:color w:val="000000"/>
          <w:sz w:val="20"/>
          <w:szCs w:val="20"/>
        </w:rPr>
        <w:t>Income Tax Provis</w:t>
      </w:r>
      <w:r>
        <w:rPr>
          <w:rFonts w:ascii="Arial" w:eastAsia="宋体" w:hAnsi="Arial" w:cs="Arial"/>
          <w:b/>
          <w:bCs/>
          <w:i/>
          <w:iCs/>
          <w:color w:val="000000"/>
          <w:sz w:val="20"/>
          <w:szCs w:val="20"/>
        </w:rPr>
        <w:t xml:space="preserve">ion </w:t>
      </w:r>
    </w:p>
    <w:p w14:paraId="64A8B1DD" w14:textId="77777777" w:rsidR="008D6614" w:rsidRDefault="008D6614"/>
    <w:p w14:paraId="64A8B1DE" w14:textId="77777777" w:rsidR="008D6614" w:rsidRDefault="00866AF2">
      <w:pPr>
        <w:ind w:firstLine="540"/>
        <w:jc w:val="both"/>
      </w:pPr>
      <w:r>
        <w:rPr>
          <w:rFonts w:ascii="Arial" w:eastAsia="宋体" w:hAnsi="Arial" w:cs="Arial"/>
          <w:color w:val="000000"/>
          <w:sz w:val="20"/>
          <w:szCs w:val="20"/>
        </w:rPr>
        <w:t>The following table presents provision for income taxes (in millions, except percentages):</w:t>
      </w:r>
    </w:p>
    <w:p w14:paraId="64A8B1DF" w14:textId="77777777" w:rsidR="008D6614" w:rsidRDefault="008D6614"/>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5596"/>
        <w:gridCol w:w="37"/>
        <w:gridCol w:w="124"/>
        <w:gridCol w:w="784"/>
        <w:gridCol w:w="178"/>
        <w:gridCol w:w="36"/>
        <w:gridCol w:w="36"/>
        <w:gridCol w:w="36"/>
        <w:gridCol w:w="124"/>
        <w:gridCol w:w="747"/>
        <w:gridCol w:w="178"/>
        <w:gridCol w:w="36"/>
        <w:gridCol w:w="36"/>
        <w:gridCol w:w="36"/>
        <w:gridCol w:w="36"/>
        <w:gridCol w:w="36"/>
        <w:gridCol w:w="36"/>
        <w:gridCol w:w="36"/>
        <w:gridCol w:w="36"/>
        <w:gridCol w:w="36"/>
        <w:gridCol w:w="36"/>
      </w:tblGrid>
      <w:tr w:rsidR="008D6614" w14:paraId="64A8B1F0" w14:textId="77777777">
        <w:trPr>
          <w:gridAfter w:val="6"/>
          <w:jc w:val="center"/>
        </w:trPr>
        <w:tc>
          <w:tcPr>
            <w:tcW w:w="50" w:type="pct"/>
            <w:shd w:val="clear" w:color="auto" w:fill="auto"/>
            <w:vAlign w:val="center"/>
          </w:tcPr>
          <w:p w14:paraId="64A8B1E0" w14:textId="77777777" w:rsidR="008D6614" w:rsidRDefault="008D6614">
            <w:pPr>
              <w:rPr>
                <w:rFonts w:ascii="宋体"/>
              </w:rPr>
            </w:pPr>
          </w:p>
        </w:tc>
        <w:tc>
          <w:tcPr>
            <w:tcW w:w="3581" w:type="pct"/>
            <w:shd w:val="clear" w:color="auto" w:fill="auto"/>
            <w:vAlign w:val="center"/>
          </w:tcPr>
          <w:p w14:paraId="64A8B1E1" w14:textId="77777777" w:rsidR="008D6614" w:rsidRDefault="008D6614">
            <w:pPr>
              <w:rPr>
                <w:rFonts w:ascii="宋体"/>
              </w:rPr>
            </w:pPr>
          </w:p>
        </w:tc>
        <w:tc>
          <w:tcPr>
            <w:tcW w:w="50" w:type="pct"/>
            <w:shd w:val="clear" w:color="auto" w:fill="auto"/>
            <w:vAlign w:val="center"/>
          </w:tcPr>
          <w:p w14:paraId="64A8B1E2" w14:textId="77777777" w:rsidR="008D6614" w:rsidRDefault="008D6614">
            <w:pPr>
              <w:rPr>
                <w:rFonts w:ascii="宋体"/>
              </w:rPr>
            </w:pPr>
          </w:p>
        </w:tc>
        <w:tc>
          <w:tcPr>
            <w:tcW w:w="50" w:type="pct"/>
            <w:shd w:val="clear" w:color="auto" w:fill="auto"/>
            <w:vAlign w:val="center"/>
          </w:tcPr>
          <w:p w14:paraId="64A8B1E3" w14:textId="77777777" w:rsidR="008D6614" w:rsidRDefault="008D6614">
            <w:pPr>
              <w:rPr>
                <w:rFonts w:ascii="宋体"/>
              </w:rPr>
            </w:pPr>
          </w:p>
        </w:tc>
        <w:tc>
          <w:tcPr>
            <w:tcW w:w="540" w:type="pct"/>
            <w:shd w:val="clear" w:color="auto" w:fill="auto"/>
            <w:vAlign w:val="center"/>
          </w:tcPr>
          <w:p w14:paraId="64A8B1E4" w14:textId="77777777" w:rsidR="008D6614" w:rsidRDefault="008D6614">
            <w:pPr>
              <w:rPr>
                <w:rFonts w:ascii="宋体"/>
              </w:rPr>
            </w:pPr>
          </w:p>
        </w:tc>
        <w:tc>
          <w:tcPr>
            <w:tcW w:w="50" w:type="pct"/>
            <w:shd w:val="clear" w:color="auto" w:fill="auto"/>
            <w:vAlign w:val="center"/>
          </w:tcPr>
          <w:p w14:paraId="64A8B1E5" w14:textId="77777777" w:rsidR="008D6614" w:rsidRDefault="008D6614">
            <w:pPr>
              <w:rPr>
                <w:rFonts w:ascii="宋体"/>
              </w:rPr>
            </w:pPr>
          </w:p>
        </w:tc>
        <w:tc>
          <w:tcPr>
            <w:tcW w:w="5" w:type="pct"/>
            <w:shd w:val="clear" w:color="auto" w:fill="auto"/>
            <w:vAlign w:val="center"/>
          </w:tcPr>
          <w:p w14:paraId="64A8B1E6" w14:textId="77777777" w:rsidR="008D6614" w:rsidRDefault="008D6614">
            <w:pPr>
              <w:rPr>
                <w:rFonts w:ascii="宋体"/>
              </w:rPr>
            </w:pPr>
          </w:p>
        </w:tc>
        <w:tc>
          <w:tcPr>
            <w:tcW w:w="26" w:type="pct"/>
            <w:shd w:val="clear" w:color="auto" w:fill="auto"/>
            <w:vAlign w:val="center"/>
          </w:tcPr>
          <w:p w14:paraId="64A8B1E7" w14:textId="77777777" w:rsidR="008D6614" w:rsidRDefault="008D6614">
            <w:pPr>
              <w:rPr>
                <w:rFonts w:ascii="宋体"/>
              </w:rPr>
            </w:pPr>
          </w:p>
        </w:tc>
        <w:tc>
          <w:tcPr>
            <w:tcW w:w="5" w:type="pct"/>
            <w:shd w:val="clear" w:color="auto" w:fill="auto"/>
            <w:vAlign w:val="center"/>
          </w:tcPr>
          <w:p w14:paraId="64A8B1E8" w14:textId="77777777" w:rsidR="008D6614" w:rsidRDefault="008D6614">
            <w:pPr>
              <w:rPr>
                <w:rFonts w:ascii="宋体"/>
              </w:rPr>
            </w:pPr>
          </w:p>
        </w:tc>
        <w:tc>
          <w:tcPr>
            <w:tcW w:w="50" w:type="pct"/>
            <w:shd w:val="clear" w:color="auto" w:fill="auto"/>
            <w:vAlign w:val="center"/>
          </w:tcPr>
          <w:p w14:paraId="64A8B1E9" w14:textId="77777777" w:rsidR="008D6614" w:rsidRDefault="008D6614">
            <w:pPr>
              <w:rPr>
                <w:rFonts w:ascii="宋体"/>
              </w:rPr>
            </w:pPr>
          </w:p>
        </w:tc>
        <w:tc>
          <w:tcPr>
            <w:tcW w:w="540" w:type="pct"/>
            <w:shd w:val="clear" w:color="auto" w:fill="auto"/>
            <w:vAlign w:val="center"/>
          </w:tcPr>
          <w:p w14:paraId="64A8B1EA" w14:textId="77777777" w:rsidR="008D6614" w:rsidRDefault="008D6614">
            <w:pPr>
              <w:rPr>
                <w:rFonts w:ascii="宋体"/>
              </w:rPr>
            </w:pPr>
          </w:p>
        </w:tc>
        <w:tc>
          <w:tcPr>
            <w:tcW w:w="50" w:type="pct"/>
            <w:shd w:val="clear" w:color="auto" w:fill="auto"/>
            <w:vAlign w:val="center"/>
          </w:tcPr>
          <w:p w14:paraId="64A8B1EB" w14:textId="77777777" w:rsidR="008D6614" w:rsidRDefault="008D6614">
            <w:pPr>
              <w:rPr>
                <w:rFonts w:ascii="宋体"/>
              </w:rPr>
            </w:pPr>
          </w:p>
        </w:tc>
        <w:tc>
          <w:tcPr>
            <w:tcW w:w="0" w:type="auto"/>
            <w:shd w:val="clear" w:color="auto" w:fill="auto"/>
            <w:vAlign w:val="center"/>
          </w:tcPr>
          <w:p w14:paraId="64A8B1EC" w14:textId="77777777" w:rsidR="008D6614" w:rsidRDefault="008D6614">
            <w:pPr>
              <w:rPr>
                <w:rFonts w:ascii="宋体"/>
                <w:vanish/>
              </w:rPr>
            </w:pPr>
          </w:p>
        </w:tc>
        <w:tc>
          <w:tcPr>
            <w:tcW w:w="0" w:type="auto"/>
            <w:shd w:val="clear" w:color="auto" w:fill="auto"/>
            <w:vAlign w:val="center"/>
          </w:tcPr>
          <w:p w14:paraId="64A8B1ED" w14:textId="77777777" w:rsidR="008D6614" w:rsidRDefault="008D6614">
            <w:pPr>
              <w:rPr>
                <w:rFonts w:ascii="宋体"/>
                <w:vanish/>
              </w:rPr>
            </w:pPr>
          </w:p>
        </w:tc>
        <w:tc>
          <w:tcPr>
            <w:tcW w:w="0" w:type="auto"/>
            <w:shd w:val="clear" w:color="auto" w:fill="auto"/>
            <w:vAlign w:val="center"/>
          </w:tcPr>
          <w:p w14:paraId="64A8B1EE" w14:textId="77777777" w:rsidR="008D6614" w:rsidRDefault="008D6614">
            <w:pPr>
              <w:rPr>
                <w:rFonts w:ascii="宋体"/>
                <w:vanish/>
              </w:rPr>
            </w:pPr>
          </w:p>
        </w:tc>
        <w:tc>
          <w:tcPr>
            <w:tcW w:w="0" w:type="auto"/>
            <w:shd w:val="clear" w:color="auto" w:fill="auto"/>
            <w:vAlign w:val="center"/>
          </w:tcPr>
          <w:p w14:paraId="64A8B1EF" w14:textId="77777777" w:rsidR="008D6614" w:rsidRDefault="008D6614">
            <w:pPr>
              <w:rPr>
                <w:rFonts w:ascii="宋体"/>
                <w:vanish/>
              </w:rPr>
            </w:pPr>
          </w:p>
        </w:tc>
      </w:tr>
      <w:tr w:rsidR="008D6614" w14:paraId="64A8B1F9" w14:textId="77777777">
        <w:trPr>
          <w:jc w:val="center"/>
        </w:trPr>
        <w:tc>
          <w:tcPr>
            <w:tcW w:w="0" w:type="auto"/>
            <w:gridSpan w:val="3"/>
            <w:shd w:val="clear" w:color="auto" w:fill="auto"/>
            <w:tcMar>
              <w:top w:w="40" w:type="dxa"/>
              <w:left w:w="20" w:type="dxa"/>
              <w:bottom w:w="40" w:type="dxa"/>
              <w:right w:w="20" w:type="dxa"/>
            </w:tcMar>
            <w:vAlign w:val="bottom"/>
          </w:tcPr>
          <w:p w14:paraId="64A8B1F1" w14:textId="77777777" w:rsidR="008D6614" w:rsidRDefault="00866AF2">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A8B1F2"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shd w:val="clear" w:color="auto" w:fill="auto"/>
            <w:vAlign w:val="center"/>
          </w:tcPr>
          <w:p w14:paraId="64A8B1F3" w14:textId="77777777" w:rsidR="008D6614" w:rsidRDefault="008D6614">
            <w:pPr>
              <w:rPr>
                <w:rFonts w:ascii="宋体"/>
                <w:vanish/>
              </w:rPr>
            </w:pPr>
          </w:p>
        </w:tc>
        <w:tc>
          <w:tcPr>
            <w:tcW w:w="0" w:type="auto"/>
            <w:shd w:val="clear" w:color="auto" w:fill="auto"/>
            <w:vAlign w:val="center"/>
          </w:tcPr>
          <w:p w14:paraId="64A8B1F4" w14:textId="77777777" w:rsidR="008D6614" w:rsidRDefault="008D6614">
            <w:pPr>
              <w:rPr>
                <w:rFonts w:ascii="宋体"/>
                <w:vanish/>
              </w:rPr>
            </w:pPr>
          </w:p>
        </w:tc>
        <w:tc>
          <w:tcPr>
            <w:tcW w:w="0" w:type="auto"/>
            <w:shd w:val="clear" w:color="auto" w:fill="auto"/>
            <w:vAlign w:val="center"/>
          </w:tcPr>
          <w:p w14:paraId="64A8B1F5" w14:textId="77777777" w:rsidR="008D6614" w:rsidRDefault="008D6614">
            <w:pPr>
              <w:rPr>
                <w:rFonts w:ascii="宋体"/>
                <w:vanish/>
              </w:rPr>
            </w:pPr>
          </w:p>
        </w:tc>
        <w:tc>
          <w:tcPr>
            <w:tcW w:w="0" w:type="auto"/>
            <w:shd w:val="clear" w:color="auto" w:fill="auto"/>
            <w:vAlign w:val="center"/>
          </w:tcPr>
          <w:p w14:paraId="64A8B1F6" w14:textId="77777777" w:rsidR="008D6614" w:rsidRDefault="008D6614">
            <w:pPr>
              <w:rPr>
                <w:rFonts w:ascii="宋体"/>
                <w:vanish/>
              </w:rPr>
            </w:pPr>
          </w:p>
        </w:tc>
        <w:tc>
          <w:tcPr>
            <w:tcW w:w="0" w:type="auto"/>
            <w:gridSpan w:val="3"/>
            <w:shd w:val="clear" w:color="auto" w:fill="auto"/>
            <w:vAlign w:val="center"/>
          </w:tcPr>
          <w:p w14:paraId="64A8B1F7" w14:textId="77777777" w:rsidR="008D6614" w:rsidRDefault="008D6614">
            <w:pPr>
              <w:rPr>
                <w:rFonts w:ascii="宋体"/>
                <w:vanish/>
              </w:rPr>
            </w:pPr>
          </w:p>
        </w:tc>
        <w:tc>
          <w:tcPr>
            <w:tcW w:w="0" w:type="auto"/>
            <w:gridSpan w:val="3"/>
            <w:shd w:val="clear" w:color="auto" w:fill="auto"/>
            <w:vAlign w:val="center"/>
          </w:tcPr>
          <w:p w14:paraId="64A8B1F8" w14:textId="77777777" w:rsidR="008D6614" w:rsidRDefault="008D6614">
            <w:pPr>
              <w:rPr>
                <w:rFonts w:ascii="宋体"/>
                <w:vanish/>
              </w:rPr>
            </w:pPr>
          </w:p>
        </w:tc>
      </w:tr>
      <w:tr w:rsidR="008D6614" w14:paraId="64A8B208" w14:textId="77777777">
        <w:trPr>
          <w:jc w:val="center"/>
        </w:trPr>
        <w:tc>
          <w:tcPr>
            <w:tcW w:w="0" w:type="auto"/>
            <w:gridSpan w:val="3"/>
            <w:shd w:val="clear" w:color="auto" w:fill="auto"/>
            <w:tcMar>
              <w:top w:w="40" w:type="dxa"/>
              <w:left w:w="20" w:type="dxa"/>
              <w:bottom w:w="40" w:type="dxa"/>
              <w:right w:w="20" w:type="dxa"/>
            </w:tcMar>
            <w:vAlign w:val="bottom"/>
          </w:tcPr>
          <w:p w14:paraId="64A8B1FA" w14:textId="77777777" w:rsidR="008D6614" w:rsidRDefault="00866AF2">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1FB" w14:textId="77777777" w:rsidR="008D6614" w:rsidRDefault="00866AF2">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left w:w="20" w:type="dxa"/>
              <w:right w:w="20" w:type="dxa"/>
            </w:tcMar>
            <w:vAlign w:val="bottom"/>
          </w:tcPr>
          <w:p w14:paraId="64A8B1FC"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1FD" w14:textId="77777777" w:rsidR="008D6614" w:rsidRDefault="00866AF2">
            <w:pPr>
              <w:jc w:val="center"/>
              <w:textAlignment w:val="bottom"/>
            </w:pPr>
            <w:r>
              <w:rPr>
                <w:rFonts w:ascii="Arial" w:eastAsia="宋体" w:hAnsi="Arial" w:cs="Arial"/>
                <w:b/>
                <w:bCs/>
                <w:color w:val="000000"/>
                <w:sz w:val="14"/>
                <w:szCs w:val="14"/>
              </w:rPr>
              <w:t>2019</w:t>
            </w:r>
          </w:p>
        </w:tc>
        <w:tc>
          <w:tcPr>
            <w:tcW w:w="0" w:type="auto"/>
            <w:shd w:val="clear" w:color="auto" w:fill="auto"/>
            <w:vAlign w:val="center"/>
          </w:tcPr>
          <w:p w14:paraId="64A8B1FE" w14:textId="77777777" w:rsidR="008D6614" w:rsidRDefault="008D6614">
            <w:pPr>
              <w:rPr>
                <w:rFonts w:ascii="宋体"/>
                <w:vanish/>
              </w:rPr>
            </w:pPr>
          </w:p>
        </w:tc>
        <w:tc>
          <w:tcPr>
            <w:tcW w:w="0" w:type="auto"/>
            <w:shd w:val="clear" w:color="auto" w:fill="auto"/>
            <w:vAlign w:val="center"/>
          </w:tcPr>
          <w:p w14:paraId="64A8B1FF" w14:textId="77777777" w:rsidR="008D6614" w:rsidRDefault="008D6614">
            <w:pPr>
              <w:rPr>
                <w:rFonts w:ascii="宋体"/>
                <w:vanish/>
              </w:rPr>
            </w:pPr>
          </w:p>
        </w:tc>
        <w:tc>
          <w:tcPr>
            <w:tcW w:w="0" w:type="auto"/>
            <w:shd w:val="clear" w:color="auto" w:fill="auto"/>
            <w:vAlign w:val="center"/>
          </w:tcPr>
          <w:p w14:paraId="64A8B200" w14:textId="77777777" w:rsidR="008D6614" w:rsidRDefault="008D6614">
            <w:pPr>
              <w:rPr>
                <w:rFonts w:ascii="宋体"/>
                <w:vanish/>
              </w:rPr>
            </w:pPr>
          </w:p>
        </w:tc>
        <w:tc>
          <w:tcPr>
            <w:tcW w:w="0" w:type="auto"/>
            <w:shd w:val="clear" w:color="auto" w:fill="auto"/>
            <w:vAlign w:val="center"/>
          </w:tcPr>
          <w:p w14:paraId="64A8B201" w14:textId="77777777" w:rsidR="008D6614" w:rsidRDefault="008D6614">
            <w:pPr>
              <w:rPr>
                <w:rFonts w:ascii="宋体"/>
                <w:vanish/>
              </w:rPr>
            </w:pPr>
          </w:p>
        </w:tc>
        <w:tc>
          <w:tcPr>
            <w:tcW w:w="0" w:type="auto"/>
            <w:shd w:val="clear" w:color="auto" w:fill="auto"/>
            <w:vAlign w:val="center"/>
          </w:tcPr>
          <w:p w14:paraId="64A8B202" w14:textId="77777777" w:rsidR="008D6614" w:rsidRDefault="008D6614">
            <w:pPr>
              <w:rPr>
                <w:rFonts w:ascii="宋体"/>
              </w:rPr>
            </w:pPr>
          </w:p>
        </w:tc>
        <w:tc>
          <w:tcPr>
            <w:tcW w:w="0" w:type="auto"/>
            <w:shd w:val="clear" w:color="auto" w:fill="auto"/>
            <w:vAlign w:val="center"/>
          </w:tcPr>
          <w:p w14:paraId="64A8B203" w14:textId="77777777" w:rsidR="008D6614" w:rsidRDefault="008D6614">
            <w:pPr>
              <w:rPr>
                <w:rFonts w:ascii="宋体"/>
              </w:rPr>
            </w:pPr>
          </w:p>
        </w:tc>
        <w:tc>
          <w:tcPr>
            <w:tcW w:w="0" w:type="auto"/>
            <w:shd w:val="clear" w:color="auto" w:fill="auto"/>
            <w:vAlign w:val="center"/>
          </w:tcPr>
          <w:p w14:paraId="64A8B204" w14:textId="77777777" w:rsidR="008D6614" w:rsidRDefault="008D6614">
            <w:pPr>
              <w:rPr>
                <w:rFonts w:ascii="宋体"/>
              </w:rPr>
            </w:pPr>
          </w:p>
        </w:tc>
        <w:tc>
          <w:tcPr>
            <w:tcW w:w="0" w:type="auto"/>
            <w:shd w:val="clear" w:color="auto" w:fill="auto"/>
            <w:vAlign w:val="center"/>
          </w:tcPr>
          <w:p w14:paraId="64A8B205" w14:textId="77777777" w:rsidR="008D6614" w:rsidRDefault="008D6614">
            <w:pPr>
              <w:rPr>
                <w:rFonts w:ascii="宋体"/>
              </w:rPr>
            </w:pPr>
          </w:p>
        </w:tc>
        <w:tc>
          <w:tcPr>
            <w:tcW w:w="0" w:type="auto"/>
            <w:shd w:val="clear" w:color="auto" w:fill="auto"/>
            <w:vAlign w:val="center"/>
          </w:tcPr>
          <w:p w14:paraId="64A8B206" w14:textId="77777777" w:rsidR="008D6614" w:rsidRDefault="008D6614">
            <w:pPr>
              <w:rPr>
                <w:rFonts w:ascii="宋体"/>
              </w:rPr>
            </w:pPr>
          </w:p>
        </w:tc>
        <w:tc>
          <w:tcPr>
            <w:tcW w:w="0" w:type="auto"/>
            <w:shd w:val="clear" w:color="auto" w:fill="auto"/>
            <w:vAlign w:val="center"/>
          </w:tcPr>
          <w:p w14:paraId="64A8B207" w14:textId="77777777" w:rsidR="008D6614" w:rsidRDefault="008D6614">
            <w:pPr>
              <w:rPr>
                <w:rFonts w:ascii="宋体"/>
              </w:rPr>
            </w:pPr>
          </w:p>
        </w:tc>
      </w:tr>
      <w:tr w:rsidR="008D6614" w14:paraId="64A8B217" w14:textId="77777777">
        <w:trPr>
          <w:jc w:val="center"/>
          <w:hidden/>
        </w:trPr>
        <w:tc>
          <w:tcPr>
            <w:tcW w:w="0" w:type="auto"/>
            <w:gridSpan w:val="3"/>
            <w:shd w:val="clear" w:color="auto" w:fill="auto"/>
            <w:vAlign w:val="center"/>
          </w:tcPr>
          <w:p w14:paraId="64A8B209" w14:textId="77777777" w:rsidR="008D6614" w:rsidRDefault="008D6614">
            <w:pPr>
              <w:rPr>
                <w:rFonts w:ascii="宋体"/>
                <w:vanish/>
              </w:rPr>
            </w:pPr>
          </w:p>
        </w:tc>
        <w:tc>
          <w:tcPr>
            <w:tcW w:w="0" w:type="auto"/>
            <w:gridSpan w:val="3"/>
            <w:shd w:val="clear" w:color="auto" w:fill="auto"/>
            <w:vAlign w:val="center"/>
          </w:tcPr>
          <w:p w14:paraId="64A8B20A" w14:textId="77777777" w:rsidR="008D6614" w:rsidRDefault="008D6614">
            <w:pPr>
              <w:rPr>
                <w:rFonts w:ascii="宋体"/>
                <w:vanish/>
              </w:rPr>
            </w:pPr>
          </w:p>
        </w:tc>
        <w:tc>
          <w:tcPr>
            <w:tcW w:w="0" w:type="auto"/>
            <w:gridSpan w:val="3"/>
            <w:shd w:val="clear" w:color="auto" w:fill="auto"/>
            <w:vAlign w:val="center"/>
          </w:tcPr>
          <w:p w14:paraId="64A8B20B" w14:textId="77777777" w:rsidR="008D6614" w:rsidRDefault="008D6614">
            <w:pPr>
              <w:rPr>
                <w:rFonts w:ascii="宋体"/>
                <w:vanish/>
              </w:rPr>
            </w:pPr>
          </w:p>
        </w:tc>
        <w:tc>
          <w:tcPr>
            <w:tcW w:w="0" w:type="auto"/>
            <w:gridSpan w:val="3"/>
            <w:shd w:val="clear" w:color="auto" w:fill="auto"/>
            <w:vAlign w:val="center"/>
          </w:tcPr>
          <w:p w14:paraId="64A8B20C" w14:textId="77777777" w:rsidR="008D6614" w:rsidRDefault="008D6614">
            <w:pPr>
              <w:rPr>
                <w:rFonts w:ascii="宋体"/>
                <w:vanish/>
              </w:rPr>
            </w:pPr>
          </w:p>
        </w:tc>
        <w:tc>
          <w:tcPr>
            <w:tcW w:w="0" w:type="auto"/>
            <w:shd w:val="clear" w:color="auto" w:fill="auto"/>
            <w:vAlign w:val="center"/>
          </w:tcPr>
          <w:p w14:paraId="64A8B20D" w14:textId="77777777" w:rsidR="008D6614" w:rsidRDefault="008D6614">
            <w:pPr>
              <w:rPr>
                <w:rFonts w:ascii="宋体"/>
                <w:vanish/>
              </w:rPr>
            </w:pPr>
          </w:p>
        </w:tc>
        <w:tc>
          <w:tcPr>
            <w:tcW w:w="0" w:type="auto"/>
            <w:shd w:val="clear" w:color="auto" w:fill="auto"/>
            <w:vAlign w:val="center"/>
          </w:tcPr>
          <w:p w14:paraId="64A8B20E" w14:textId="77777777" w:rsidR="008D6614" w:rsidRDefault="008D6614">
            <w:pPr>
              <w:rPr>
                <w:rFonts w:ascii="宋体"/>
                <w:vanish/>
              </w:rPr>
            </w:pPr>
          </w:p>
        </w:tc>
        <w:tc>
          <w:tcPr>
            <w:tcW w:w="0" w:type="auto"/>
            <w:shd w:val="clear" w:color="auto" w:fill="auto"/>
            <w:vAlign w:val="center"/>
          </w:tcPr>
          <w:p w14:paraId="64A8B20F" w14:textId="77777777" w:rsidR="008D6614" w:rsidRDefault="008D6614">
            <w:pPr>
              <w:rPr>
                <w:rFonts w:ascii="宋体"/>
                <w:vanish/>
              </w:rPr>
            </w:pPr>
          </w:p>
        </w:tc>
        <w:tc>
          <w:tcPr>
            <w:tcW w:w="0" w:type="auto"/>
            <w:shd w:val="clear" w:color="auto" w:fill="auto"/>
            <w:vAlign w:val="center"/>
          </w:tcPr>
          <w:p w14:paraId="64A8B210" w14:textId="77777777" w:rsidR="008D6614" w:rsidRDefault="008D6614">
            <w:pPr>
              <w:rPr>
                <w:rFonts w:ascii="宋体"/>
                <w:vanish/>
              </w:rPr>
            </w:pPr>
          </w:p>
        </w:tc>
        <w:tc>
          <w:tcPr>
            <w:tcW w:w="0" w:type="auto"/>
            <w:shd w:val="clear" w:color="auto" w:fill="auto"/>
            <w:vAlign w:val="center"/>
          </w:tcPr>
          <w:p w14:paraId="64A8B211" w14:textId="77777777" w:rsidR="008D6614" w:rsidRDefault="008D6614">
            <w:pPr>
              <w:rPr>
                <w:rFonts w:ascii="宋体"/>
              </w:rPr>
            </w:pPr>
          </w:p>
        </w:tc>
        <w:tc>
          <w:tcPr>
            <w:tcW w:w="0" w:type="auto"/>
            <w:shd w:val="clear" w:color="auto" w:fill="auto"/>
            <w:vAlign w:val="center"/>
          </w:tcPr>
          <w:p w14:paraId="64A8B212" w14:textId="77777777" w:rsidR="008D6614" w:rsidRDefault="008D6614">
            <w:pPr>
              <w:rPr>
                <w:rFonts w:ascii="宋体"/>
              </w:rPr>
            </w:pPr>
          </w:p>
        </w:tc>
        <w:tc>
          <w:tcPr>
            <w:tcW w:w="0" w:type="auto"/>
            <w:shd w:val="clear" w:color="auto" w:fill="auto"/>
            <w:vAlign w:val="center"/>
          </w:tcPr>
          <w:p w14:paraId="64A8B213" w14:textId="77777777" w:rsidR="008D6614" w:rsidRDefault="008D6614">
            <w:pPr>
              <w:rPr>
                <w:rFonts w:ascii="宋体"/>
              </w:rPr>
            </w:pPr>
          </w:p>
        </w:tc>
        <w:tc>
          <w:tcPr>
            <w:tcW w:w="0" w:type="auto"/>
            <w:shd w:val="clear" w:color="auto" w:fill="auto"/>
            <w:vAlign w:val="center"/>
          </w:tcPr>
          <w:p w14:paraId="64A8B214" w14:textId="77777777" w:rsidR="008D6614" w:rsidRDefault="008D6614">
            <w:pPr>
              <w:rPr>
                <w:rFonts w:ascii="宋体"/>
              </w:rPr>
            </w:pPr>
          </w:p>
        </w:tc>
        <w:tc>
          <w:tcPr>
            <w:tcW w:w="0" w:type="auto"/>
            <w:shd w:val="clear" w:color="auto" w:fill="auto"/>
            <w:vAlign w:val="center"/>
          </w:tcPr>
          <w:p w14:paraId="64A8B215" w14:textId="77777777" w:rsidR="008D6614" w:rsidRDefault="008D6614">
            <w:pPr>
              <w:rPr>
                <w:rFonts w:ascii="宋体"/>
              </w:rPr>
            </w:pPr>
          </w:p>
        </w:tc>
        <w:tc>
          <w:tcPr>
            <w:tcW w:w="0" w:type="auto"/>
            <w:shd w:val="clear" w:color="auto" w:fill="auto"/>
            <w:vAlign w:val="center"/>
          </w:tcPr>
          <w:p w14:paraId="64A8B216" w14:textId="77777777" w:rsidR="008D6614" w:rsidRDefault="008D6614">
            <w:pPr>
              <w:rPr>
                <w:rFonts w:ascii="宋体"/>
              </w:rPr>
            </w:pPr>
          </w:p>
        </w:tc>
      </w:tr>
      <w:tr w:rsidR="008D6614" w14:paraId="64A8B22A" w14:textId="77777777">
        <w:trPr>
          <w:jc w:val="center"/>
        </w:trPr>
        <w:tc>
          <w:tcPr>
            <w:tcW w:w="0" w:type="auto"/>
            <w:gridSpan w:val="3"/>
            <w:shd w:val="clear" w:color="auto" w:fill="E2E2E2"/>
            <w:tcMar>
              <w:top w:w="40" w:type="dxa"/>
              <w:left w:w="20" w:type="dxa"/>
              <w:bottom w:w="40" w:type="dxa"/>
              <w:right w:w="20" w:type="dxa"/>
            </w:tcMar>
            <w:vAlign w:val="bottom"/>
          </w:tcPr>
          <w:p w14:paraId="64A8B218" w14:textId="77777777" w:rsidR="008D6614" w:rsidRDefault="00866AF2">
            <w:pPr>
              <w:textAlignment w:val="bottom"/>
            </w:pPr>
            <w:r>
              <w:rPr>
                <w:rFonts w:ascii="Arial" w:eastAsia="宋体" w:hAnsi="Arial" w:cs="Arial"/>
                <w:color w:val="000000"/>
                <w:sz w:val="16"/>
                <w:szCs w:val="16"/>
              </w:rPr>
              <w:t>Income tax provision</w:t>
            </w:r>
          </w:p>
        </w:tc>
        <w:tc>
          <w:tcPr>
            <w:tcW w:w="0" w:type="auto"/>
            <w:tcBorders>
              <w:top w:val="single" w:sz="8" w:space="0" w:color="000000"/>
            </w:tcBorders>
            <w:shd w:val="clear" w:color="auto" w:fill="E2E2E2"/>
            <w:tcMar>
              <w:top w:w="40" w:type="dxa"/>
              <w:left w:w="20" w:type="dxa"/>
              <w:bottom w:w="40" w:type="dxa"/>
            </w:tcMar>
            <w:vAlign w:val="bottom"/>
          </w:tcPr>
          <w:p w14:paraId="64A8B219"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B21A" w14:textId="77777777" w:rsidR="008D6614" w:rsidRDefault="00866AF2">
            <w:pPr>
              <w:jc w:val="right"/>
              <w:textAlignment w:val="bottom"/>
            </w:pPr>
            <w:r>
              <w:rPr>
                <w:rFonts w:ascii="Arial" w:eastAsia="宋体" w:hAnsi="Arial" w:cs="Arial"/>
                <w:color w:val="000000"/>
                <w:sz w:val="16"/>
                <w:szCs w:val="16"/>
              </w:rPr>
              <w:t>146 </w:t>
            </w:r>
          </w:p>
        </w:tc>
        <w:tc>
          <w:tcPr>
            <w:tcW w:w="0" w:type="auto"/>
            <w:tcBorders>
              <w:top w:val="single" w:sz="8" w:space="0" w:color="000000"/>
            </w:tcBorders>
            <w:shd w:val="clear" w:color="auto" w:fill="E2E2E2"/>
            <w:tcMar>
              <w:top w:w="40" w:type="dxa"/>
              <w:bottom w:w="40" w:type="dxa"/>
              <w:right w:w="20" w:type="dxa"/>
            </w:tcMar>
            <w:vAlign w:val="bottom"/>
          </w:tcPr>
          <w:p w14:paraId="64A8B21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21C" w14:textId="77777777" w:rsidR="008D6614" w:rsidRDefault="008D6614">
            <w:pPr>
              <w:rPr>
                <w:rFonts w:ascii="宋体"/>
              </w:rPr>
            </w:pPr>
          </w:p>
        </w:tc>
        <w:tc>
          <w:tcPr>
            <w:tcW w:w="0" w:type="auto"/>
            <w:tcBorders>
              <w:top w:val="single" w:sz="8" w:space="0" w:color="000000"/>
            </w:tcBorders>
            <w:shd w:val="clear" w:color="auto" w:fill="E2E2E2"/>
            <w:tcMar>
              <w:top w:w="40" w:type="dxa"/>
              <w:left w:w="20" w:type="dxa"/>
              <w:bottom w:w="40" w:type="dxa"/>
            </w:tcMar>
            <w:vAlign w:val="bottom"/>
          </w:tcPr>
          <w:p w14:paraId="64A8B21D"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bottom w:w="40" w:type="dxa"/>
              <w:right w:w="0" w:type="dxa"/>
            </w:tcMar>
            <w:vAlign w:val="bottom"/>
          </w:tcPr>
          <w:p w14:paraId="64A8B21E" w14:textId="77777777" w:rsidR="008D6614" w:rsidRDefault="00866AF2">
            <w:pPr>
              <w:jc w:val="right"/>
              <w:textAlignment w:val="bottom"/>
            </w:pPr>
            <w:r>
              <w:rPr>
                <w:rFonts w:ascii="Arial" w:eastAsia="宋体" w:hAnsi="Arial" w:cs="Arial"/>
                <w:color w:val="000000"/>
                <w:sz w:val="16"/>
                <w:szCs w:val="16"/>
              </w:rPr>
              <w:t>141 </w:t>
            </w:r>
          </w:p>
        </w:tc>
        <w:tc>
          <w:tcPr>
            <w:tcW w:w="0" w:type="auto"/>
            <w:tcBorders>
              <w:top w:val="single" w:sz="8" w:space="0" w:color="000000"/>
            </w:tcBorders>
            <w:shd w:val="clear" w:color="auto" w:fill="E2E2E2"/>
            <w:tcMar>
              <w:top w:w="40" w:type="dxa"/>
              <w:bottom w:w="40" w:type="dxa"/>
              <w:right w:w="20" w:type="dxa"/>
            </w:tcMar>
            <w:vAlign w:val="bottom"/>
          </w:tcPr>
          <w:p w14:paraId="64A8B21F"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auto"/>
            <w:vAlign w:val="center"/>
          </w:tcPr>
          <w:p w14:paraId="64A8B220" w14:textId="77777777" w:rsidR="008D6614" w:rsidRDefault="008D6614">
            <w:pPr>
              <w:rPr>
                <w:rFonts w:ascii="宋体"/>
                <w:vanish/>
              </w:rPr>
            </w:pPr>
          </w:p>
        </w:tc>
        <w:tc>
          <w:tcPr>
            <w:tcW w:w="0" w:type="auto"/>
            <w:shd w:val="clear" w:color="auto" w:fill="auto"/>
            <w:vAlign w:val="center"/>
          </w:tcPr>
          <w:p w14:paraId="64A8B221" w14:textId="77777777" w:rsidR="008D6614" w:rsidRDefault="008D6614">
            <w:pPr>
              <w:rPr>
                <w:rFonts w:ascii="宋体"/>
                <w:vanish/>
              </w:rPr>
            </w:pPr>
          </w:p>
        </w:tc>
        <w:tc>
          <w:tcPr>
            <w:tcW w:w="0" w:type="auto"/>
            <w:shd w:val="clear" w:color="auto" w:fill="auto"/>
            <w:vAlign w:val="center"/>
          </w:tcPr>
          <w:p w14:paraId="64A8B222" w14:textId="77777777" w:rsidR="008D6614" w:rsidRDefault="008D6614">
            <w:pPr>
              <w:rPr>
                <w:rFonts w:ascii="宋体"/>
                <w:vanish/>
              </w:rPr>
            </w:pPr>
          </w:p>
        </w:tc>
        <w:tc>
          <w:tcPr>
            <w:tcW w:w="0" w:type="auto"/>
            <w:shd w:val="clear" w:color="auto" w:fill="auto"/>
            <w:vAlign w:val="center"/>
          </w:tcPr>
          <w:p w14:paraId="64A8B223" w14:textId="77777777" w:rsidR="008D6614" w:rsidRDefault="008D6614">
            <w:pPr>
              <w:rPr>
                <w:rFonts w:ascii="宋体"/>
                <w:vanish/>
              </w:rPr>
            </w:pPr>
          </w:p>
        </w:tc>
        <w:tc>
          <w:tcPr>
            <w:tcW w:w="0" w:type="auto"/>
            <w:shd w:val="clear" w:color="auto" w:fill="auto"/>
            <w:vAlign w:val="center"/>
          </w:tcPr>
          <w:p w14:paraId="64A8B224" w14:textId="77777777" w:rsidR="008D6614" w:rsidRDefault="008D6614">
            <w:pPr>
              <w:rPr>
                <w:rFonts w:ascii="宋体"/>
              </w:rPr>
            </w:pPr>
          </w:p>
        </w:tc>
        <w:tc>
          <w:tcPr>
            <w:tcW w:w="0" w:type="auto"/>
            <w:shd w:val="clear" w:color="auto" w:fill="auto"/>
            <w:vAlign w:val="center"/>
          </w:tcPr>
          <w:p w14:paraId="64A8B225" w14:textId="77777777" w:rsidR="008D6614" w:rsidRDefault="008D6614">
            <w:pPr>
              <w:rPr>
                <w:rFonts w:ascii="宋体"/>
              </w:rPr>
            </w:pPr>
          </w:p>
        </w:tc>
        <w:tc>
          <w:tcPr>
            <w:tcW w:w="0" w:type="auto"/>
            <w:shd w:val="clear" w:color="auto" w:fill="auto"/>
            <w:vAlign w:val="center"/>
          </w:tcPr>
          <w:p w14:paraId="64A8B226" w14:textId="77777777" w:rsidR="008D6614" w:rsidRDefault="008D6614">
            <w:pPr>
              <w:rPr>
                <w:rFonts w:ascii="宋体"/>
              </w:rPr>
            </w:pPr>
          </w:p>
        </w:tc>
        <w:tc>
          <w:tcPr>
            <w:tcW w:w="0" w:type="auto"/>
            <w:shd w:val="clear" w:color="auto" w:fill="auto"/>
            <w:vAlign w:val="center"/>
          </w:tcPr>
          <w:p w14:paraId="64A8B227" w14:textId="77777777" w:rsidR="008D6614" w:rsidRDefault="008D6614">
            <w:pPr>
              <w:rPr>
                <w:rFonts w:ascii="宋体"/>
              </w:rPr>
            </w:pPr>
          </w:p>
        </w:tc>
        <w:tc>
          <w:tcPr>
            <w:tcW w:w="0" w:type="auto"/>
            <w:shd w:val="clear" w:color="auto" w:fill="auto"/>
            <w:vAlign w:val="center"/>
          </w:tcPr>
          <w:p w14:paraId="64A8B228" w14:textId="77777777" w:rsidR="008D6614" w:rsidRDefault="008D6614">
            <w:pPr>
              <w:rPr>
                <w:rFonts w:ascii="宋体"/>
              </w:rPr>
            </w:pPr>
          </w:p>
        </w:tc>
        <w:tc>
          <w:tcPr>
            <w:tcW w:w="0" w:type="auto"/>
            <w:shd w:val="clear" w:color="auto" w:fill="auto"/>
            <w:vAlign w:val="center"/>
          </w:tcPr>
          <w:p w14:paraId="64A8B229" w14:textId="77777777" w:rsidR="008D6614" w:rsidRDefault="008D6614">
            <w:pPr>
              <w:rPr>
                <w:rFonts w:ascii="宋体"/>
              </w:rPr>
            </w:pPr>
          </w:p>
        </w:tc>
      </w:tr>
      <w:tr w:rsidR="008D6614" w14:paraId="64A8B23B" w14:textId="77777777">
        <w:trPr>
          <w:jc w:val="center"/>
        </w:trPr>
        <w:tc>
          <w:tcPr>
            <w:tcW w:w="0" w:type="auto"/>
            <w:gridSpan w:val="3"/>
            <w:shd w:val="clear" w:color="auto" w:fill="auto"/>
            <w:tcMar>
              <w:top w:w="40" w:type="dxa"/>
              <w:left w:w="135" w:type="dxa"/>
              <w:bottom w:w="40" w:type="dxa"/>
              <w:right w:w="20" w:type="dxa"/>
            </w:tcMar>
            <w:vAlign w:val="bottom"/>
          </w:tcPr>
          <w:p w14:paraId="64A8B22B" w14:textId="77777777" w:rsidR="008D6614" w:rsidRDefault="00866AF2">
            <w:pPr>
              <w:textAlignment w:val="bottom"/>
            </w:pPr>
            <w:r>
              <w:rPr>
                <w:rFonts w:ascii="Arial" w:eastAsia="宋体" w:hAnsi="Arial" w:cs="Arial"/>
                <w:i/>
                <w:iCs/>
                <w:color w:val="000000"/>
                <w:sz w:val="16"/>
                <w:szCs w:val="16"/>
              </w:rPr>
              <w:t>Effective tax rate</w:t>
            </w:r>
          </w:p>
        </w:tc>
        <w:tc>
          <w:tcPr>
            <w:tcW w:w="0" w:type="auto"/>
            <w:gridSpan w:val="2"/>
            <w:shd w:val="clear" w:color="auto" w:fill="auto"/>
            <w:tcMar>
              <w:top w:w="40" w:type="dxa"/>
              <w:left w:w="20" w:type="dxa"/>
              <w:bottom w:w="40" w:type="dxa"/>
              <w:right w:w="0" w:type="dxa"/>
            </w:tcMar>
            <w:vAlign w:val="bottom"/>
          </w:tcPr>
          <w:p w14:paraId="64A8B22C" w14:textId="77777777" w:rsidR="008D6614" w:rsidRDefault="00866AF2">
            <w:pPr>
              <w:jc w:val="right"/>
              <w:textAlignment w:val="bottom"/>
            </w:pPr>
            <w:r>
              <w:rPr>
                <w:rFonts w:ascii="Arial" w:eastAsia="宋体" w:hAnsi="Arial" w:cs="Arial"/>
                <w:i/>
                <w:iCs/>
                <w:color w:val="000000"/>
                <w:sz w:val="16"/>
                <w:szCs w:val="16"/>
              </w:rPr>
              <w:t>23.2 </w:t>
            </w:r>
          </w:p>
        </w:tc>
        <w:tc>
          <w:tcPr>
            <w:tcW w:w="0" w:type="auto"/>
            <w:shd w:val="clear" w:color="auto" w:fill="auto"/>
            <w:tcMar>
              <w:top w:w="40" w:type="dxa"/>
              <w:bottom w:w="40" w:type="dxa"/>
              <w:right w:w="20" w:type="dxa"/>
            </w:tcMar>
            <w:vAlign w:val="bottom"/>
          </w:tcPr>
          <w:p w14:paraId="64A8B22D" w14:textId="77777777" w:rsidR="008D6614" w:rsidRDefault="00866AF2">
            <w:pPr>
              <w:jc w:val="right"/>
              <w:textAlignment w:val="bottom"/>
            </w:pPr>
            <w:r>
              <w:rPr>
                <w:rFonts w:ascii="Arial" w:eastAsia="宋体" w:hAnsi="Arial" w:cs="Arial"/>
                <w:i/>
                <w:iCs/>
                <w:color w:val="000000"/>
                <w:sz w:val="16"/>
                <w:szCs w:val="16"/>
              </w:rPr>
              <w:t>%</w:t>
            </w:r>
          </w:p>
        </w:tc>
        <w:tc>
          <w:tcPr>
            <w:tcW w:w="0" w:type="auto"/>
            <w:gridSpan w:val="3"/>
            <w:shd w:val="clear" w:color="auto" w:fill="auto"/>
            <w:tcMar>
              <w:left w:w="20" w:type="dxa"/>
              <w:right w:w="20" w:type="dxa"/>
            </w:tcMar>
            <w:vAlign w:val="bottom"/>
          </w:tcPr>
          <w:p w14:paraId="64A8B22E" w14:textId="77777777" w:rsidR="008D6614" w:rsidRDefault="008D6614">
            <w:pPr>
              <w:rPr>
                <w:rFonts w:ascii="宋体"/>
              </w:rPr>
            </w:pPr>
          </w:p>
        </w:tc>
        <w:tc>
          <w:tcPr>
            <w:tcW w:w="0" w:type="auto"/>
            <w:gridSpan w:val="2"/>
            <w:shd w:val="clear" w:color="auto" w:fill="auto"/>
            <w:tcMar>
              <w:top w:w="40" w:type="dxa"/>
              <w:left w:w="20" w:type="dxa"/>
              <w:bottom w:w="40" w:type="dxa"/>
              <w:right w:w="0" w:type="dxa"/>
            </w:tcMar>
            <w:vAlign w:val="bottom"/>
          </w:tcPr>
          <w:p w14:paraId="64A8B22F" w14:textId="77777777" w:rsidR="008D6614" w:rsidRDefault="00866AF2">
            <w:pPr>
              <w:jc w:val="right"/>
              <w:textAlignment w:val="bottom"/>
            </w:pPr>
            <w:r>
              <w:rPr>
                <w:rFonts w:ascii="Arial" w:eastAsia="宋体" w:hAnsi="Arial" w:cs="Arial"/>
                <w:i/>
                <w:iCs/>
                <w:color w:val="000000"/>
                <w:sz w:val="16"/>
                <w:szCs w:val="16"/>
              </w:rPr>
              <w:t>21.3 </w:t>
            </w:r>
          </w:p>
        </w:tc>
        <w:tc>
          <w:tcPr>
            <w:tcW w:w="0" w:type="auto"/>
            <w:shd w:val="clear" w:color="auto" w:fill="auto"/>
            <w:tcMar>
              <w:top w:w="40" w:type="dxa"/>
              <w:bottom w:w="40" w:type="dxa"/>
              <w:right w:w="20" w:type="dxa"/>
            </w:tcMar>
            <w:vAlign w:val="bottom"/>
          </w:tcPr>
          <w:p w14:paraId="64A8B230" w14:textId="77777777" w:rsidR="008D6614" w:rsidRDefault="00866AF2">
            <w:pPr>
              <w:jc w:val="right"/>
              <w:textAlignment w:val="bottom"/>
            </w:pPr>
            <w:r>
              <w:rPr>
                <w:rFonts w:ascii="Arial" w:eastAsia="宋体" w:hAnsi="Arial" w:cs="Arial"/>
                <w:i/>
                <w:iCs/>
                <w:color w:val="000000"/>
                <w:sz w:val="16"/>
                <w:szCs w:val="16"/>
              </w:rPr>
              <w:t>%</w:t>
            </w:r>
          </w:p>
        </w:tc>
        <w:tc>
          <w:tcPr>
            <w:tcW w:w="0" w:type="auto"/>
            <w:shd w:val="clear" w:color="auto" w:fill="auto"/>
            <w:vAlign w:val="center"/>
          </w:tcPr>
          <w:p w14:paraId="64A8B231" w14:textId="77777777" w:rsidR="008D6614" w:rsidRDefault="008D6614">
            <w:pPr>
              <w:rPr>
                <w:rFonts w:ascii="宋体"/>
                <w:vanish/>
              </w:rPr>
            </w:pPr>
          </w:p>
        </w:tc>
        <w:tc>
          <w:tcPr>
            <w:tcW w:w="0" w:type="auto"/>
            <w:shd w:val="clear" w:color="auto" w:fill="auto"/>
            <w:vAlign w:val="center"/>
          </w:tcPr>
          <w:p w14:paraId="64A8B232" w14:textId="77777777" w:rsidR="008D6614" w:rsidRDefault="008D6614">
            <w:pPr>
              <w:rPr>
                <w:rFonts w:ascii="宋体"/>
                <w:vanish/>
              </w:rPr>
            </w:pPr>
          </w:p>
        </w:tc>
        <w:tc>
          <w:tcPr>
            <w:tcW w:w="0" w:type="auto"/>
            <w:shd w:val="clear" w:color="auto" w:fill="auto"/>
            <w:vAlign w:val="center"/>
          </w:tcPr>
          <w:p w14:paraId="64A8B233" w14:textId="77777777" w:rsidR="008D6614" w:rsidRDefault="008D6614">
            <w:pPr>
              <w:rPr>
                <w:rFonts w:ascii="宋体"/>
                <w:vanish/>
              </w:rPr>
            </w:pPr>
          </w:p>
        </w:tc>
        <w:tc>
          <w:tcPr>
            <w:tcW w:w="0" w:type="auto"/>
            <w:shd w:val="clear" w:color="auto" w:fill="auto"/>
            <w:vAlign w:val="center"/>
          </w:tcPr>
          <w:p w14:paraId="64A8B234" w14:textId="77777777" w:rsidR="008D6614" w:rsidRDefault="008D6614">
            <w:pPr>
              <w:rPr>
                <w:rFonts w:ascii="宋体"/>
                <w:vanish/>
              </w:rPr>
            </w:pPr>
          </w:p>
        </w:tc>
        <w:tc>
          <w:tcPr>
            <w:tcW w:w="0" w:type="auto"/>
            <w:shd w:val="clear" w:color="auto" w:fill="auto"/>
            <w:vAlign w:val="center"/>
          </w:tcPr>
          <w:p w14:paraId="64A8B235" w14:textId="77777777" w:rsidR="008D6614" w:rsidRDefault="008D6614">
            <w:pPr>
              <w:rPr>
                <w:rFonts w:ascii="宋体"/>
              </w:rPr>
            </w:pPr>
          </w:p>
        </w:tc>
        <w:tc>
          <w:tcPr>
            <w:tcW w:w="0" w:type="auto"/>
            <w:shd w:val="clear" w:color="auto" w:fill="auto"/>
            <w:vAlign w:val="center"/>
          </w:tcPr>
          <w:p w14:paraId="64A8B236" w14:textId="77777777" w:rsidR="008D6614" w:rsidRDefault="008D6614">
            <w:pPr>
              <w:rPr>
                <w:rFonts w:ascii="宋体"/>
              </w:rPr>
            </w:pPr>
          </w:p>
        </w:tc>
        <w:tc>
          <w:tcPr>
            <w:tcW w:w="0" w:type="auto"/>
            <w:shd w:val="clear" w:color="auto" w:fill="auto"/>
            <w:vAlign w:val="center"/>
          </w:tcPr>
          <w:p w14:paraId="64A8B237" w14:textId="77777777" w:rsidR="008D6614" w:rsidRDefault="008D6614">
            <w:pPr>
              <w:rPr>
                <w:rFonts w:ascii="宋体"/>
              </w:rPr>
            </w:pPr>
          </w:p>
        </w:tc>
        <w:tc>
          <w:tcPr>
            <w:tcW w:w="0" w:type="auto"/>
            <w:shd w:val="clear" w:color="auto" w:fill="auto"/>
            <w:vAlign w:val="center"/>
          </w:tcPr>
          <w:p w14:paraId="64A8B238" w14:textId="77777777" w:rsidR="008D6614" w:rsidRDefault="008D6614">
            <w:pPr>
              <w:rPr>
                <w:rFonts w:ascii="宋体"/>
              </w:rPr>
            </w:pPr>
          </w:p>
        </w:tc>
        <w:tc>
          <w:tcPr>
            <w:tcW w:w="0" w:type="auto"/>
            <w:shd w:val="clear" w:color="auto" w:fill="auto"/>
            <w:vAlign w:val="center"/>
          </w:tcPr>
          <w:p w14:paraId="64A8B239" w14:textId="77777777" w:rsidR="008D6614" w:rsidRDefault="008D6614">
            <w:pPr>
              <w:rPr>
                <w:rFonts w:ascii="宋体"/>
              </w:rPr>
            </w:pPr>
          </w:p>
        </w:tc>
        <w:tc>
          <w:tcPr>
            <w:tcW w:w="0" w:type="auto"/>
            <w:shd w:val="clear" w:color="auto" w:fill="auto"/>
            <w:vAlign w:val="center"/>
          </w:tcPr>
          <w:p w14:paraId="64A8B23A" w14:textId="77777777" w:rsidR="008D6614" w:rsidRDefault="008D6614">
            <w:pPr>
              <w:rPr>
                <w:rFonts w:ascii="宋体"/>
              </w:rPr>
            </w:pPr>
          </w:p>
        </w:tc>
      </w:tr>
    </w:tbl>
    <w:p w14:paraId="64A8B23C" w14:textId="77777777" w:rsidR="008D6614" w:rsidRDefault="008D6614">
      <w:pPr>
        <w:ind w:firstLine="540"/>
      </w:pPr>
    </w:p>
    <w:p w14:paraId="64A8B23D" w14:textId="77777777" w:rsidR="008D6614" w:rsidRDefault="00866AF2">
      <w:pPr>
        <w:ind w:firstLine="540"/>
        <w:jc w:val="both"/>
      </w:pPr>
      <w:r>
        <w:rPr>
          <w:rFonts w:ascii="Arial" w:eastAsia="宋体" w:hAnsi="Arial" w:cs="Arial"/>
          <w:color w:val="000000"/>
          <w:sz w:val="20"/>
          <w:szCs w:val="20"/>
        </w:rPr>
        <w:t xml:space="preserve">The increase in our effective tax rate for the three months ended March 31, 2020 compared to the same period in 2019 was primarily due to changes in the jurisdictional mix and character of earnings in </w:t>
      </w:r>
      <w:r>
        <w:rPr>
          <w:rFonts w:ascii="Arial" w:eastAsia="宋体" w:hAnsi="Arial" w:cs="Arial"/>
          <w:color w:val="000000"/>
          <w:sz w:val="20"/>
          <w:szCs w:val="20"/>
        </w:rPr>
        <w:t>foreign jurisdictions and related U.S. tax implications.</w:t>
      </w:r>
    </w:p>
    <w:p w14:paraId="64A8B23E" w14:textId="77777777" w:rsidR="008D6614" w:rsidRDefault="008D6614">
      <w:pPr>
        <w:ind w:firstLine="540"/>
        <w:jc w:val="both"/>
      </w:pPr>
    </w:p>
    <w:p w14:paraId="64A8B23F" w14:textId="77777777" w:rsidR="008D6614" w:rsidRDefault="00866AF2">
      <w:pPr>
        <w:ind w:firstLine="540"/>
        <w:jc w:val="both"/>
      </w:pPr>
      <w:r>
        <w:rPr>
          <w:rFonts w:ascii="Arial" w:eastAsia="宋体" w:hAnsi="Arial" w:cs="Arial"/>
          <w:color w:val="000000"/>
          <w:sz w:val="20"/>
          <w:szCs w:val="20"/>
        </w:rPr>
        <w:t xml:space="preserve">The realignment of our legal structure, substantially completed in 2018, allows us to achieve certain foreign cash tax benefits due to the step-up in tax basis achieved in certain foreign </w:t>
      </w:r>
      <w:r>
        <w:rPr>
          <w:rFonts w:ascii="Arial" w:eastAsia="宋体" w:hAnsi="Arial" w:cs="Arial"/>
          <w:color w:val="000000"/>
          <w:sz w:val="20"/>
          <w:szCs w:val="20"/>
        </w:rPr>
        <w:t>jurisdictions. We expect these cash tax benefits to remain consistent, subject to the performance of our foreign platforms</w:t>
      </w:r>
      <w:r>
        <w:rPr>
          <w:rFonts w:ascii="Times New Roman" w:eastAsia="宋体" w:hAnsi="Times New Roman"/>
          <w:color w:val="000000"/>
          <w:sz w:val="20"/>
          <w:szCs w:val="20"/>
        </w:rPr>
        <w:t>,</w:t>
      </w:r>
      <w:r>
        <w:rPr>
          <w:rFonts w:ascii="Arial" w:eastAsia="宋体" w:hAnsi="Arial" w:cs="Arial"/>
          <w:color w:val="000000"/>
          <w:sz w:val="20"/>
          <w:szCs w:val="20"/>
        </w:rPr>
        <w:t xml:space="preserve"> for a period in excess of 10 years. The realignment primarily impacted our international entities. However, U.S. tax reform and the </w:t>
      </w:r>
      <w:r>
        <w:rPr>
          <w:rFonts w:ascii="Arial" w:eastAsia="宋体" w:hAnsi="Arial" w:cs="Arial"/>
          <w:color w:val="000000"/>
          <w:sz w:val="20"/>
          <w:szCs w:val="20"/>
        </w:rPr>
        <w:t xml:space="preserve">new U.S. minimum tax on foreign earnings will reduce our expected consolidated cash tax benefits. </w:t>
      </w:r>
    </w:p>
    <w:p w14:paraId="64A8B240" w14:textId="77777777" w:rsidR="008D6614" w:rsidRDefault="008D6614">
      <w:pPr>
        <w:ind w:firstLine="540"/>
        <w:jc w:val="both"/>
      </w:pPr>
    </w:p>
    <w:p w14:paraId="64A8B241" w14:textId="77777777" w:rsidR="008D6614" w:rsidRDefault="00866AF2">
      <w:pPr>
        <w:ind w:firstLine="540"/>
        <w:jc w:val="both"/>
      </w:pPr>
      <w:r>
        <w:rPr>
          <w:rFonts w:ascii="Arial" w:eastAsia="宋体" w:hAnsi="Arial" w:cs="Arial"/>
          <w:color w:val="000000"/>
          <w:sz w:val="20"/>
          <w:szCs w:val="20"/>
        </w:rPr>
        <w:t>We are regularly under examination by tax authorities both domestically and internationally. We believe that adequate amounts have been reserved for any adj</w:t>
      </w:r>
      <w:r>
        <w:rPr>
          <w:rFonts w:ascii="Arial" w:eastAsia="宋体" w:hAnsi="Arial" w:cs="Arial"/>
          <w:color w:val="000000"/>
          <w:sz w:val="20"/>
          <w:szCs w:val="20"/>
        </w:rPr>
        <w:t>ustments that may ultimately result from these examinations, although we cannot assure you that this will be the case given the inherent uncertainties in these examinations. Due to the ongoing tax examinations, we believe it is impractical to determine the</w:t>
      </w:r>
      <w:r>
        <w:rPr>
          <w:rFonts w:ascii="Arial" w:eastAsia="宋体" w:hAnsi="Arial" w:cs="Arial"/>
          <w:color w:val="000000"/>
          <w:sz w:val="20"/>
          <w:szCs w:val="20"/>
        </w:rPr>
        <w:t xml:space="preserve"> amount and timing of these adjustments.</w:t>
      </w:r>
    </w:p>
    <w:p w14:paraId="64A8B242" w14:textId="77777777" w:rsidR="008D6614" w:rsidRDefault="008D6614"/>
    <w:p w14:paraId="64A8B243" w14:textId="77777777" w:rsidR="008D6614" w:rsidRDefault="00866AF2">
      <w:r>
        <w:rPr>
          <w:rFonts w:ascii="Arial" w:eastAsia="宋体" w:hAnsi="Arial" w:cs="Arial"/>
          <w:b/>
          <w:bCs/>
          <w:i/>
          <w:iCs/>
          <w:color w:val="000000"/>
          <w:sz w:val="20"/>
          <w:szCs w:val="20"/>
        </w:rPr>
        <w:t>Discontinued Operations</w:t>
      </w:r>
    </w:p>
    <w:p w14:paraId="64A8B244" w14:textId="77777777" w:rsidR="008D6614" w:rsidRDefault="008D6614"/>
    <w:p w14:paraId="64A8B245" w14:textId="77777777" w:rsidR="008D6614" w:rsidRDefault="00866AF2">
      <w:pPr>
        <w:ind w:firstLine="540"/>
        <w:jc w:val="both"/>
      </w:pPr>
      <w:r>
        <w:rPr>
          <w:rFonts w:ascii="Arial" w:eastAsia="宋体" w:hAnsi="Arial" w:cs="Arial"/>
          <w:color w:val="000000"/>
          <w:sz w:val="20"/>
          <w:szCs w:val="20"/>
        </w:rPr>
        <w:t>On February 13, 2020, we closed the previously announced sale of our StubHub business to an affiliate of viagogo. Beginning in the first quarter of 2020, StubHub’s financial results for per</w:t>
      </w:r>
      <w:r>
        <w:rPr>
          <w:rFonts w:ascii="Arial" w:eastAsia="宋体" w:hAnsi="Arial" w:cs="Arial"/>
          <w:color w:val="000000"/>
          <w:sz w:val="20"/>
          <w:szCs w:val="20"/>
        </w:rPr>
        <w:t>iods prior to the sale have been reflected in our condensed consolidated statement of income as discontinued operations. Additionally, the related assets and liabilities associated with the discontinued operations in the prior year are classified as discon</w:t>
      </w:r>
      <w:r>
        <w:rPr>
          <w:rFonts w:ascii="Arial" w:eastAsia="宋体" w:hAnsi="Arial" w:cs="Arial"/>
          <w:color w:val="000000"/>
          <w:sz w:val="20"/>
          <w:szCs w:val="20"/>
        </w:rPr>
        <w:t>tinued operations in our condensed consolidated balance sheet. See “Note 4 – Discontinued Operations” for additional information.</w:t>
      </w:r>
    </w:p>
    <w:p w14:paraId="64A8B246" w14:textId="77777777" w:rsidR="008D6614" w:rsidRDefault="008D6614">
      <w:pPr>
        <w:jc w:val="center"/>
      </w:pPr>
    </w:p>
    <w:p w14:paraId="64A8B247" w14:textId="77777777" w:rsidR="008D6614" w:rsidRDefault="00866AF2">
      <w:pPr>
        <w:jc w:val="center"/>
      </w:pPr>
      <w:r>
        <w:rPr>
          <w:rFonts w:ascii="Arial" w:eastAsia="宋体" w:hAnsi="Arial" w:cs="Arial"/>
          <w:color w:val="000000"/>
          <w:sz w:val="20"/>
          <w:szCs w:val="20"/>
        </w:rPr>
        <w:t>40</w:t>
      </w:r>
    </w:p>
    <w:p w14:paraId="64A8B248" w14:textId="77777777" w:rsidR="008D6614" w:rsidRDefault="00866AF2">
      <w:r>
        <w:pict w14:anchorId="64A8BA05">
          <v:rect id="_x0000_i1064" style="width:415.3pt;height:1.5pt" o:hralign="center" o:hrstd="t" o:hr="t" fillcolor="#a0a0a0" stroked="f"/>
        </w:pict>
      </w:r>
    </w:p>
    <w:p w14:paraId="64A8B249" w14:textId="77777777" w:rsidR="008D6614" w:rsidRDefault="008D6614"/>
    <w:p w14:paraId="64A8B24A" w14:textId="77777777" w:rsidR="008D6614" w:rsidRDefault="00866AF2">
      <w:r>
        <w:rPr>
          <w:rFonts w:ascii="Arial" w:eastAsia="宋体" w:hAnsi="Arial" w:cs="Arial"/>
          <w:b/>
          <w:bCs/>
          <w:i/>
          <w:iCs/>
          <w:color w:val="000000"/>
          <w:sz w:val="20"/>
          <w:szCs w:val="20"/>
        </w:rPr>
        <w:t>Non-GAAP Measures of Financial Performance</w:t>
      </w:r>
    </w:p>
    <w:p w14:paraId="64A8B24B" w14:textId="77777777" w:rsidR="008D6614" w:rsidRDefault="008D6614">
      <w:pPr>
        <w:jc w:val="both"/>
      </w:pPr>
    </w:p>
    <w:p w14:paraId="64A8B24C" w14:textId="77777777" w:rsidR="008D6614" w:rsidRDefault="00866AF2">
      <w:pPr>
        <w:ind w:firstLine="540"/>
        <w:jc w:val="both"/>
      </w:pPr>
      <w:r>
        <w:rPr>
          <w:rFonts w:ascii="Arial" w:eastAsia="宋体" w:hAnsi="Arial" w:cs="Arial"/>
          <w:color w:val="000000"/>
          <w:sz w:val="20"/>
          <w:szCs w:val="20"/>
        </w:rPr>
        <w:t xml:space="preserve">To supplement our condensed consolidated financial statements </w:t>
      </w:r>
      <w:r>
        <w:rPr>
          <w:rFonts w:ascii="Arial" w:eastAsia="宋体" w:hAnsi="Arial" w:cs="Arial"/>
          <w:color w:val="000000"/>
          <w:sz w:val="20"/>
          <w:szCs w:val="20"/>
        </w:rPr>
        <w:t>presented in accordance with generally accepted accounting principles, we use FX-Neutral net revenues, which are non-GAAP financial measures. Management uses the foregoing non-GAAP measures in reviewing our financial results. We define FX-Neutral net reven</w:t>
      </w:r>
      <w:r>
        <w:rPr>
          <w:rFonts w:ascii="Arial" w:eastAsia="宋体" w:hAnsi="Arial" w:cs="Arial"/>
          <w:color w:val="000000"/>
          <w:sz w:val="20"/>
          <w:szCs w:val="20"/>
        </w:rPr>
        <w:t>ues as net revenues minus the exchange rate effect. We define exchange rate effect as the year-over-year impact of foreign currency movements using prior period foreign currency rates applied to current year transactional currency amounts, excluding hedgin</w:t>
      </w:r>
      <w:r>
        <w:rPr>
          <w:rFonts w:ascii="Arial" w:eastAsia="宋体" w:hAnsi="Arial" w:cs="Arial"/>
          <w:color w:val="000000"/>
          <w:sz w:val="20"/>
          <w:szCs w:val="20"/>
        </w:rPr>
        <w:t>g activity.</w:t>
      </w:r>
    </w:p>
    <w:p w14:paraId="64A8B24D" w14:textId="77777777" w:rsidR="008D6614" w:rsidRDefault="008D6614">
      <w:pPr>
        <w:ind w:firstLine="540"/>
        <w:jc w:val="both"/>
      </w:pPr>
    </w:p>
    <w:p w14:paraId="64A8B24E" w14:textId="77777777" w:rsidR="008D6614" w:rsidRDefault="00866AF2">
      <w:pPr>
        <w:ind w:firstLine="540"/>
        <w:jc w:val="both"/>
      </w:pPr>
      <w:r>
        <w:rPr>
          <w:rFonts w:ascii="Arial" w:eastAsia="宋体" w:hAnsi="Arial" w:cs="Arial"/>
          <w:color w:val="000000"/>
          <w:sz w:val="20"/>
          <w:szCs w:val="20"/>
        </w:rPr>
        <w:t xml:space="preserve">These non-GAAP measures are not in accordance with, or an alternative to, measures prepared in accordance with GAAP and may be different from non-GAAP measures used by other companies. In addition, these non-GAAP measures are not based on any </w:t>
      </w:r>
      <w:r>
        <w:rPr>
          <w:rFonts w:ascii="Arial" w:eastAsia="宋体" w:hAnsi="Arial" w:cs="Arial"/>
          <w:color w:val="000000"/>
          <w:sz w:val="20"/>
          <w:szCs w:val="20"/>
        </w:rPr>
        <w:t>comprehensive set of accounting rules or principles. Non-GAAP measures have limitations in that they do not reflect all of the amounts associated with our results of operations as determined in accordance with GAAP. These measures should only be used to ev</w:t>
      </w:r>
      <w:r>
        <w:rPr>
          <w:rFonts w:ascii="Arial" w:eastAsia="宋体" w:hAnsi="Arial" w:cs="Arial"/>
          <w:color w:val="000000"/>
          <w:sz w:val="20"/>
          <w:szCs w:val="20"/>
        </w:rPr>
        <w:t xml:space="preserve">aluate our results of operations in conjunction with the corresponding GAAP measures. </w:t>
      </w:r>
    </w:p>
    <w:p w14:paraId="64A8B24F" w14:textId="77777777" w:rsidR="008D6614" w:rsidRDefault="008D6614">
      <w:pPr>
        <w:ind w:firstLine="540"/>
        <w:jc w:val="both"/>
      </w:pPr>
    </w:p>
    <w:p w14:paraId="64A8B250" w14:textId="77777777" w:rsidR="008D6614" w:rsidRDefault="00866AF2">
      <w:pPr>
        <w:ind w:firstLine="540"/>
        <w:jc w:val="both"/>
      </w:pPr>
      <w:r>
        <w:rPr>
          <w:rFonts w:ascii="Arial" w:eastAsia="宋体" w:hAnsi="Arial" w:cs="Arial"/>
          <w:color w:val="000000"/>
          <w:sz w:val="20"/>
          <w:szCs w:val="20"/>
        </w:rPr>
        <w:t>These non-GAAP measures are provided to enhance investors’ overall understanding of our current financial performance and its prospects for the future. Specifically, we</w:t>
      </w:r>
      <w:r>
        <w:rPr>
          <w:rFonts w:ascii="Arial" w:eastAsia="宋体" w:hAnsi="Arial" w:cs="Arial"/>
          <w:color w:val="000000"/>
          <w:sz w:val="20"/>
          <w:szCs w:val="20"/>
        </w:rPr>
        <w:t xml:space="preserve"> believe these non-GAAP measures provide useful information to both management and investors by excluding the foreign currency exchange rate impact that may not be indicative of our core operating results and business outlook. In addition, because we have </w:t>
      </w:r>
      <w:r>
        <w:rPr>
          <w:rFonts w:ascii="Arial" w:eastAsia="宋体" w:hAnsi="Arial" w:cs="Arial"/>
          <w:color w:val="000000"/>
          <w:sz w:val="20"/>
          <w:szCs w:val="20"/>
        </w:rPr>
        <w:t xml:space="preserve">historically reported certain non-GAAP results to investors, we believe that the inclusion of these non-GAAP measures provide consistency in our financial reporting. </w:t>
      </w:r>
    </w:p>
    <w:p w14:paraId="64A8B251" w14:textId="77777777" w:rsidR="008D6614" w:rsidRDefault="008D6614">
      <w:pPr>
        <w:ind w:firstLine="540"/>
        <w:jc w:val="both"/>
      </w:pPr>
    </w:p>
    <w:p w14:paraId="64A8B252" w14:textId="77777777" w:rsidR="008D6614" w:rsidRDefault="00866AF2">
      <w:pPr>
        <w:ind w:firstLine="540"/>
        <w:jc w:val="both"/>
      </w:pPr>
      <w:r>
        <w:rPr>
          <w:rFonts w:ascii="Arial" w:eastAsia="宋体" w:hAnsi="Arial" w:cs="Arial"/>
          <w:color w:val="000000"/>
          <w:sz w:val="20"/>
          <w:szCs w:val="20"/>
        </w:rPr>
        <w:t>The following tables set forth a reconciliation of FX-Neutral GMV and FX-Neutral net rev</w:t>
      </w:r>
      <w:r>
        <w:rPr>
          <w:rFonts w:ascii="Arial" w:eastAsia="宋体" w:hAnsi="Arial" w:cs="Arial"/>
          <w:color w:val="000000"/>
          <w:sz w:val="20"/>
          <w:szCs w:val="20"/>
        </w:rPr>
        <w:t>enues (each as defined below) to our reported GMV and net revenues for the periods presented (in millions, except percentages):</w:t>
      </w:r>
    </w:p>
    <w:p w14:paraId="64A8B253" w14:textId="77777777" w:rsidR="008D6614" w:rsidRDefault="008D6614">
      <w:pPr>
        <w:ind w:firstLine="540"/>
        <w:jc w:val="both"/>
      </w:pPr>
    </w:p>
    <w:tbl>
      <w:tblPr>
        <w:tblW w:w="4985" w:type="pct"/>
        <w:tblCellMar>
          <w:top w:w="15" w:type="dxa"/>
          <w:left w:w="15" w:type="dxa"/>
          <w:bottom w:w="15" w:type="dxa"/>
          <w:right w:w="15" w:type="dxa"/>
        </w:tblCellMar>
        <w:tblLook w:val="04A0" w:firstRow="1" w:lastRow="0" w:firstColumn="1" w:lastColumn="0" w:noHBand="0" w:noVBand="1"/>
      </w:tblPr>
      <w:tblGrid>
        <w:gridCol w:w="49"/>
        <w:gridCol w:w="1625"/>
        <w:gridCol w:w="49"/>
        <w:gridCol w:w="124"/>
        <w:gridCol w:w="631"/>
        <w:gridCol w:w="80"/>
        <w:gridCol w:w="36"/>
        <w:gridCol w:w="36"/>
        <w:gridCol w:w="36"/>
        <w:gridCol w:w="125"/>
        <w:gridCol w:w="688"/>
        <w:gridCol w:w="80"/>
        <w:gridCol w:w="36"/>
        <w:gridCol w:w="36"/>
        <w:gridCol w:w="36"/>
        <w:gridCol w:w="125"/>
        <w:gridCol w:w="711"/>
        <w:gridCol w:w="80"/>
        <w:gridCol w:w="36"/>
        <w:gridCol w:w="36"/>
        <w:gridCol w:w="36"/>
        <w:gridCol w:w="124"/>
        <w:gridCol w:w="957"/>
        <w:gridCol w:w="80"/>
        <w:gridCol w:w="36"/>
        <w:gridCol w:w="36"/>
        <w:gridCol w:w="36"/>
        <w:gridCol w:w="70"/>
        <w:gridCol w:w="679"/>
        <w:gridCol w:w="178"/>
        <w:gridCol w:w="36"/>
        <w:gridCol w:w="36"/>
        <w:gridCol w:w="36"/>
        <w:gridCol w:w="64"/>
        <w:gridCol w:w="641"/>
        <w:gridCol w:w="179"/>
        <w:gridCol w:w="36"/>
        <w:gridCol w:w="36"/>
        <w:gridCol w:w="36"/>
        <w:gridCol w:w="36"/>
        <w:gridCol w:w="36"/>
        <w:gridCol w:w="36"/>
        <w:gridCol w:w="36"/>
        <w:gridCol w:w="36"/>
        <w:gridCol w:w="36"/>
        <w:gridCol w:w="36"/>
        <w:gridCol w:w="36"/>
        <w:gridCol w:w="36"/>
      </w:tblGrid>
      <w:tr w:rsidR="008D6614" w14:paraId="64A8B278" w14:textId="77777777">
        <w:trPr>
          <w:gridAfter w:val="12"/>
        </w:trPr>
        <w:tc>
          <w:tcPr>
            <w:tcW w:w="50" w:type="pct"/>
            <w:shd w:val="clear" w:color="auto" w:fill="auto"/>
            <w:vAlign w:val="center"/>
          </w:tcPr>
          <w:p w14:paraId="64A8B254" w14:textId="77777777" w:rsidR="008D6614" w:rsidRDefault="008D6614">
            <w:pPr>
              <w:rPr>
                <w:rFonts w:ascii="宋体"/>
              </w:rPr>
            </w:pPr>
          </w:p>
        </w:tc>
        <w:tc>
          <w:tcPr>
            <w:tcW w:w="1065" w:type="pct"/>
            <w:shd w:val="clear" w:color="auto" w:fill="auto"/>
            <w:vAlign w:val="center"/>
          </w:tcPr>
          <w:p w14:paraId="64A8B255" w14:textId="77777777" w:rsidR="008D6614" w:rsidRDefault="008D6614">
            <w:pPr>
              <w:rPr>
                <w:rFonts w:ascii="宋体"/>
              </w:rPr>
            </w:pPr>
          </w:p>
        </w:tc>
        <w:tc>
          <w:tcPr>
            <w:tcW w:w="50" w:type="pct"/>
            <w:shd w:val="clear" w:color="auto" w:fill="auto"/>
            <w:vAlign w:val="center"/>
          </w:tcPr>
          <w:p w14:paraId="64A8B256" w14:textId="77777777" w:rsidR="008D6614" w:rsidRDefault="008D6614">
            <w:pPr>
              <w:rPr>
                <w:rFonts w:ascii="宋体"/>
              </w:rPr>
            </w:pPr>
          </w:p>
        </w:tc>
        <w:tc>
          <w:tcPr>
            <w:tcW w:w="50" w:type="pct"/>
            <w:shd w:val="clear" w:color="auto" w:fill="auto"/>
            <w:vAlign w:val="center"/>
          </w:tcPr>
          <w:p w14:paraId="64A8B257" w14:textId="77777777" w:rsidR="008D6614" w:rsidRDefault="008D6614">
            <w:pPr>
              <w:rPr>
                <w:rFonts w:ascii="宋体"/>
              </w:rPr>
            </w:pPr>
          </w:p>
        </w:tc>
        <w:tc>
          <w:tcPr>
            <w:tcW w:w="435" w:type="pct"/>
            <w:shd w:val="clear" w:color="auto" w:fill="auto"/>
            <w:vAlign w:val="center"/>
          </w:tcPr>
          <w:p w14:paraId="64A8B258" w14:textId="77777777" w:rsidR="008D6614" w:rsidRDefault="008D6614">
            <w:pPr>
              <w:rPr>
                <w:rFonts w:ascii="宋体"/>
              </w:rPr>
            </w:pPr>
          </w:p>
        </w:tc>
        <w:tc>
          <w:tcPr>
            <w:tcW w:w="50" w:type="pct"/>
            <w:shd w:val="clear" w:color="auto" w:fill="auto"/>
            <w:vAlign w:val="center"/>
          </w:tcPr>
          <w:p w14:paraId="64A8B259" w14:textId="77777777" w:rsidR="008D6614" w:rsidRDefault="008D6614">
            <w:pPr>
              <w:rPr>
                <w:rFonts w:ascii="宋体"/>
              </w:rPr>
            </w:pPr>
          </w:p>
        </w:tc>
        <w:tc>
          <w:tcPr>
            <w:tcW w:w="5" w:type="pct"/>
            <w:shd w:val="clear" w:color="auto" w:fill="auto"/>
            <w:vAlign w:val="center"/>
          </w:tcPr>
          <w:p w14:paraId="64A8B25A" w14:textId="77777777" w:rsidR="008D6614" w:rsidRDefault="008D6614">
            <w:pPr>
              <w:rPr>
                <w:rFonts w:ascii="宋体"/>
              </w:rPr>
            </w:pPr>
          </w:p>
        </w:tc>
        <w:tc>
          <w:tcPr>
            <w:tcW w:w="26" w:type="pct"/>
            <w:shd w:val="clear" w:color="auto" w:fill="auto"/>
            <w:vAlign w:val="center"/>
          </w:tcPr>
          <w:p w14:paraId="64A8B25B" w14:textId="77777777" w:rsidR="008D6614" w:rsidRDefault="008D6614">
            <w:pPr>
              <w:rPr>
                <w:rFonts w:ascii="宋体"/>
              </w:rPr>
            </w:pPr>
          </w:p>
        </w:tc>
        <w:tc>
          <w:tcPr>
            <w:tcW w:w="5" w:type="pct"/>
            <w:shd w:val="clear" w:color="auto" w:fill="auto"/>
            <w:vAlign w:val="center"/>
          </w:tcPr>
          <w:p w14:paraId="64A8B25C" w14:textId="77777777" w:rsidR="008D6614" w:rsidRDefault="008D6614">
            <w:pPr>
              <w:rPr>
                <w:rFonts w:ascii="宋体"/>
              </w:rPr>
            </w:pPr>
          </w:p>
        </w:tc>
        <w:tc>
          <w:tcPr>
            <w:tcW w:w="50" w:type="pct"/>
            <w:shd w:val="clear" w:color="auto" w:fill="auto"/>
            <w:vAlign w:val="center"/>
          </w:tcPr>
          <w:p w14:paraId="64A8B25D" w14:textId="77777777" w:rsidR="008D6614" w:rsidRDefault="008D6614">
            <w:pPr>
              <w:rPr>
                <w:rFonts w:ascii="宋体"/>
              </w:rPr>
            </w:pPr>
          </w:p>
        </w:tc>
        <w:tc>
          <w:tcPr>
            <w:tcW w:w="486" w:type="pct"/>
            <w:shd w:val="clear" w:color="auto" w:fill="auto"/>
            <w:vAlign w:val="center"/>
          </w:tcPr>
          <w:p w14:paraId="64A8B25E" w14:textId="77777777" w:rsidR="008D6614" w:rsidRDefault="008D6614">
            <w:pPr>
              <w:rPr>
                <w:rFonts w:ascii="宋体"/>
              </w:rPr>
            </w:pPr>
          </w:p>
        </w:tc>
        <w:tc>
          <w:tcPr>
            <w:tcW w:w="50" w:type="pct"/>
            <w:shd w:val="clear" w:color="auto" w:fill="auto"/>
            <w:vAlign w:val="center"/>
          </w:tcPr>
          <w:p w14:paraId="64A8B25F" w14:textId="77777777" w:rsidR="008D6614" w:rsidRDefault="008D6614">
            <w:pPr>
              <w:rPr>
                <w:rFonts w:ascii="宋体"/>
              </w:rPr>
            </w:pPr>
          </w:p>
        </w:tc>
        <w:tc>
          <w:tcPr>
            <w:tcW w:w="5" w:type="pct"/>
            <w:shd w:val="clear" w:color="auto" w:fill="auto"/>
            <w:vAlign w:val="center"/>
          </w:tcPr>
          <w:p w14:paraId="64A8B260" w14:textId="77777777" w:rsidR="008D6614" w:rsidRDefault="008D6614">
            <w:pPr>
              <w:rPr>
                <w:rFonts w:ascii="宋体"/>
              </w:rPr>
            </w:pPr>
          </w:p>
        </w:tc>
        <w:tc>
          <w:tcPr>
            <w:tcW w:w="26" w:type="pct"/>
            <w:shd w:val="clear" w:color="auto" w:fill="auto"/>
            <w:vAlign w:val="center"/>
          </w:tcPr>
          <w:p w14:paraId="64A8B261" w14:textId="77777777" w:rsidR="008D6614" w:rsidRDefault="008D6614">
            <w:pPr>
              <w:rPr>
                <w:rFonts w:ascii="宋体"/>
              </w:rPr>
            </w:pPr>
          </w:p>
        </w:tc>
        <w:tc>
          <w:tcPr>
            <w:tcW w:w="5" w:type="pct"/>
            <w:shd w:val="clear" w:color="auto" w:fill="auto"/>
            <w:vAlign w:val="center"/>
          </w:tcPr>
          <w:p w14:paraId="64A8B262" w14:textId="77777777" w:rsidR="008D6614" w:rsidRDefault="008D6614">
            <w:pPr>
              <w:rPr>
                <w:rFonts w:ascii="宋体"/>
              </w:rPr>
            </w:pPr>
          </w:p>
        </w:tc>
        <w:tc>
          <w:tcPr>
            <w:tcW w:w="50" w:type="pct"/>
            <w:shd w:val="clear" w:color="auto" w:fill="auto"/>
            <w:vAlign w:val="center"/>
          </w:tcPr>
          <w:p w14:paraId="64A8B263" w14:textId="77777777" w:rsidR="008D6614" w:rsidRDefault="008D6614">
            <w:pPr>
              <w:rPr>
                <w:rFonts w:ascii="宋体"/>
              </w:rPr>
            </w:pPr>
          </w:p>
        </w:tc>
        <w:tc>
          <w:tcPr>
            <w:tcW w:w="486" w:type="pct"/>
            <w:shd w:val="clear" w:color="auto" w:fill="auto"/>
            <w:vAlign w:val="center"/>
          </w:tcPr>
          <w:p w14:paraId="64A8B264" w14:textId="77777777" w:rsidR="008D6614" w:rsidRDefault="008D6614">
            <w:pPr>
              <w:rPr>
                <w:rFonts w:ascii="宋体"/>
              </w:rPr>
            </w:pPr>
          </w:p>
        </w:tc>
        <w:tc>
          <w:tcPr>
            <w:tcW w:w="50" w:type="pct"/>
            <w:shd w:val="clear" w:color="auto" w:fill="auto"/>
            <w:vAlign w:val="center"/>
          </w:tcPr>
          <w:p w14:paraId="64A8B265" w14:textId="77777777" w:rsidR="008D6614" w:rsidRDefault="008D6614">
            <w:pPr>
              <w:rPr>
                <w:rFonts w:ascii="宋体"/>
              </w:rPr>
            </w:pPr>
          </w:p>
        </w:tc>
        <w:tc>
          <w:tcPr>
            <w:tcW w:w="5" w:type="pct"/>
            <w:shd w:val="clear" w:color="auto" w:fill="auto"/>
            <w:vAlign w:val="center"/>
          </w:tcPr>
          <w:p w14:paraId="64A8B266" w14:textId="77777777" w:rsidR="008D6614" w:rsidRDefault="008D6614">
            <w:pPr>
              <w:rPr>
                <w:rFonts w:ascii="宋体"/>
              </w:rPr>
            </w:pPr>
          </w:p>
        </w:tc>
        <w:tc>
          <w:tcPr>
            <w:tcW w:w="26" w:type="pct"/>
            <w:shd w:val="clear" w:color="auto" w:fill="auto"/>
            <w:vAlign w:val="center"/>
          </w:tcPr>
          <w:p w14:paraId="64A8B267" w14:textId="77777777" w:rsidR="008D6614" w:rsidRDefault="008D6614">
            <w:pPr>
              <w:rPr>
                <w:rFonts w:ascii="宋体"/>
              </w:rPr>
            </w:pPr>
          </w:p>
        </w:tc>
        <w:tc>
          <w:tcPr>
            <w:tcW w:w="5" w:type="pct"/>
            <w:shd w:val="clear" w:color="auto" w:fill="auto"/>
            <w:vAlign w:val="center"/>
          </w:tcPr>
          <w:p w14:paraId="64A8B268" w14:textId="77777777" w:rsidR="008D6614" w:rsidRDefault="008D6614">
            <w:pPr>
              <w:rPr>
                <w:rFonts w:ascii="宋体"/>
              </w:rPr>
            </w:pPr>
          </w:p>
        </w:tc>
        <w:tc>
          <w:tcPr>
            <w:tcW w:w="50" w:type="pct"/>
            <w:shd w:val="clear" w:color="auto" w:fill="auto"/>
            <w:vAlign w:val="center"/>
          </w:tcPr>
          <w:p w14:paraId="64A8B269" w14:textId="77777777" w:rsidR="008D6614" w:rsidRDefault="008D6614">
            <w:pPr>
              <w:rPr>
                <w:rFonts w:ascii="宋体"/>
              </w:rPr>
            </w:pPr>
          </w:p>
        </w:tc>
        <w:tc>
          <w:tcPr>
            <w:tcW w:w="669" w:type="pct"/>
            <w:shd w:val="clear" w:color="auto" w:fill="auto"/>
            <w:vAlign w:val="center"/>
          </w:tcPr>
          <w:p w14:paraId="64A8B26A" w14:textId="77777777" w:rsidR="008D6614" w:rsidRDefault="008D6614">
            <w:pPr>
              <w:rPr>
                <w:rFonts w:ascii="宋体"/>
              </w:rPr>
            </w:pPr>
          </w:p>
        </w:tc>
        <w:tc>
          <w:tcPr>
            <w:tcW w:w="50" w:type="pct"/>
            <w:shd w:val="clear" w:color="auto" w:fill="auto"/>
            <w:vAlign w:val="center"/>
          </w:tcPr>
          <w:p w14:paraId="64A8B26B" w14:textId="77777777" w:rsidR="008D6614" w:rsidRDefault="008D6614">
            <w:pPr>
              <w:rPr>
                <w:rFonts w:ascii="宋体"/>
              </w:rPr>
            </w:pPr>
          </w:p>
        </w:tc>
        <w:tc>
          <w:tcPr>
            <w:tcW w:w="5" w:type="pct"/>
            <w:shd w:val="clear" w:color="auto" w:fill="auto"/>
            <w:vAlign w:val="center"/>
          </w:tcPr>
          <w:p w14:paraId="64A8B26C" w14:textId="77777777" w:rsidR="008D6614" w:rsidRDefault="008D6614">
            <w:pPr>
              <w:rPr>
                <w:rFonts w:ascii="宋体"/>
              </w:rPr>
            </w:pPr>
          </w:p>
        </w:tc>
        <w:tc>
          <w:tcPr>
            <w:tcW w:w="26" w:type="pct"/>
            <w:shd w:val="clear" w:color="auto" w:fill="auto"/>
            <w:vAlign w:val="center"/>
          </w:tcPr>
          <w:p w14:paraId="64A8B26D" w14:textId="77777777" w:rsidR="008D6614" w:rsidRDefault="008D6614">
            <w:pPr>
              <w:rPr>
                <w:rFonts w:ascii="宋体"/>
              </w:rPr>
            </w:pPr>
          </w:p>
        </w:tc>
        <w:tc>
          <w:tcPr>
            <w:tcW w:w="5" w:type="pct"/>
            <w:shd w:val="clear" w:color="auto" w:fill="auto"/>
            <w:vAlign w:val="center"/>
          </w:tcPr>
          <w:p w14:paraId="64A8B26E" w14:textId="77777777" w:rsidR="008D6614" w:rsidRDefault="008D6614">
            <w:pPr>
              <w:rPr>
                <w:rFonts w:ascii="宋体"/>
              </w:rPr>
            </w:pPr>
          </w:p>
        </w:tc>
        <w:tc>
          <w:tcPr>
            <w:tcW w:w="50" w:type="pct"/>
            <w:shd w:val="clear" w:color="auto" w:fill="auto"/>
            <w:vAlign w:val="center"/>
          </w:tcPr>
          <w:p w14:paraId="64A8B26F" w14:textId="77777777" w:rsidR="008D6614" w:rsidRDefault="008D6614">
            <w:pPr>
              <w:rPr>
                <w:rFonts w:ascii="宋体"/>
              </w:rPr>
            </w:pPr>
          </w:p>
        </w:tc>
        <w:tc>
          <w:tcPr>
            <w:tcW w:w="486" w:type="pct"/>
            <w:shd w:val="clear" w:color="auto" w:fill="auto"/>
            <w:vAlign w:val="center"/>
          </w:tcPr>
          <w:p w14:paraId="64A8B270" w14:textId="77777777" w:rsidR="008D6614" w:rsidRDefault="008D6614">
            <w:pPr>
              <w:rPr>
                <w:rFonts w:ascii="宋体"/>
              </w:rPr>
            </w:pPr>
          </w:p>
        </w:tc>
        <w:tc>
          <w:tcPr>
            <w:tcW w:w="50" w:type="pct"/>
            <w:shd w:val="clear" w:color="auto" w:fill="auto"/>
            <w:vAlign w:val="center"/>
          </w:tcPr>
          <w:p w14:paraId="64A8B271" w14:textId="77777777" w:rsidR="008D6614" w:rsidRDefault="008D6614">
            <w:pPr>
              <w:rPr>
                <w:rFonts w:ascii="宋体"/>
              </w:rPr>
            </w:pPr>
          </w:p>
        </w:tc>
        <w:tc>
          <w:tcPr>
            <w:tcW w:w="5" w:type="pct"/>
            <w:shd w:val="clear" w:color="auto" w:fill="auto"/>
            <w:vAlign w:val="center"/>
          </w:tcPr>
          <w:p w14:paraId="64A8B272" w14:textId="77777777" w:rsidR="008D6614" w:rsidRDefault="008D6614">
            <w:pPr>
              <w:rPr>
                <w:rFonts w:ascii="宋体"/>
              </w:rPr>
            </w:pPr>
          </w:p>
        </w:tc>
        <w:tc>
          <w:tcPr>
            <w:tcW w:w="26" w:type="pct"/>
            <w:shd w:val="clear" w:color="auto" w:fill="auto"/>
            <w:vAlign w:val="center"/>
          </w:tcPr>
          <w:p w14:paraId="64A8B273" w14:textId="77777777" w:rsidR="008D6614" w:rsidRDefault="008D6614">
            <w:pPr>
              <w:rPr>
                <w:rFonts w:ascii="宋体"/>
              </w:rPr>
            </w:pPr>
          </w:p>
        </w:tc>
        <w:tc>
          <w:tcPr>
            <w:tcW w:w="5" w:type="pct"/>
            <w:shd w:val="clear" w:color="auto" w:fill="auto"/>
            <w:vAlign w:val="center"/>
          </w:tcPr>
          <w:p w14:paraId="64A8B274" w14:textId="77777777" w:rsidR="008D6614" w:rsidRDefault="008D6614">
            <w:pPr>
              <w:rPr>
                <w:rFonts w:ascii="宋体"/>
              </w:rPr>
            </w:pPr>
          </w:p>
        </w:tc>
        <w:tc>
          <w:tcPr>
            <w:tcW w:w="50" w:type="pct"/>
            <w:shd w:val="clear" w:color="auto" w:fill="auto"/>
            <w:vAlign w:val="center"/>
          </w:tcPr>
          <w:p w14:paraId="64A8B275" w14:textId="77777777" w:rsidR="008D6614" w:rsidRDefault="008D6614">
            <w:pPr>
              <w:rPr>
                <w:rFonts w:ascii="宋体"/>
              </w:rPr>
            </w:pPr>
          </w:p>
        </w:tc>
        <w:tc>
          <w:tcPr>
            <w:tcW w:w="486" w:type="pct"/>
            <w:shd w:val="clear" w:color="auto" w:fill="auto"/>
            <w:vAlign w:val="center"/>
          </w:tcPr>
          <w:p w14:paraId="64A8B276" w14:textId="77777777" w:rsidR="008D6614" w:rsidRDefault="008D6614">
            <w:pPr>
              <w:rPr>
                <w:rFonts w:ascii="宋体"/>
              </w:rPr>
            </w:pPr>
          </w:p>
        </w:tc>
        <w:tc>
          <w:tcPr>
            <w:tcW w:w="50" w:type="pct"/>
            <w:shd w:val="clear" w:color="auto" w:fill="auto"/>
            <w:vAlign w:val="center"/>
          </w:tcPr>
          <w:p w14:paraId="64A8B277" w14:textId="77777777" w:rsidR="008D6614" w:rsidRDefault="008D6614">
            <w:pPr>
              <w:rPr>
                <w:rFonts w:ascii="宋体"/>
              </w:rPr>
            </w:pPr>
          </w:p>
        </w:tc>
      </w:tr>
      <w:tr w:rsidR="008D6614" w14:paraId="64A8B285" w14:textId="77777777">
        <w:tc>
          <w:tcPr>
            <w:tcW w:w="0" w:type="auto"/>
            <w:gridSpan w:val="3"/>
            <w:shd w:val="clear" w:color="auto" w:fill="auto"/>
            <w:tcMar>
              <w:top w:w="40" w:type="dxa"/>
              <w:left w:w="20" w:type="dxa"/>
              <w:bottom w:w="40" w:type="dxa"/>
              <w:right w:w="20" w:type="dxa"/>
            </w:tcMar>
            <w:vAlign w:val="bottom"/>
          </w:tcPr>
          <w:p w14:paraId="64A8B279" w14:textId="77777777" w:rsidR="008D6614" w:rsidRDefault="00866AF2">
            <w:pPr>
              <w:textAlignment w:val="bottom"/>
            </w:pPr>
            <w:r>
              <w:rPr>
                <w:rFonts w:ascii="Arial" w:eastAsia="宋体" w:hAnsi="Arial" w:cs="Arial"/>
                <w:b/>
                <w:bCs/>
                <w:color w:val="000000"/>
                <w:sz w:val="16"/>
                <w:szCs w:val="16"/>
              </w:rPr>
              <w:t> </w:t>
            </w:r>
          </w:p>
        </w:tc>
        <w:tc>
          <w:tcPr>
            <w:tcW w:w="0" w:type="auto"/>
            <w:gridSpan w:val="15"/>
            <w:shd w:val="clear" w:color="auto" w:fill="auto"/>
            <w:tcMar>
              <w:top w:w="40" w:type="dxa"/>
              <w:left w:w="20" w:type="dxa"/>
              <w:bottom w:w="40" w:type="dxa"/>
              <w:right w:w="20" w:type="dxa"/>
            </w:tcMar>
            <w:vAlign w:val="bottom"/>
          </w:tcPr>
          <w:p w14:paraId="64A8B27A"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 2020</w:t>
            </w:r>
          </w:p>
        </w:tc>
        <w:tc>
          <w:tcPr>
            <w:tcW w:w="0" w:type="auto"/>
            <w:gridSpan w:val="3"/>
            <w:shd w:val="clear" w:color="auto" w:fill="auto"/>
            <w:vAlign w:val="center"/>
          </w:tcPr>
          <w:p w14:paraId="64A8B27B" w14:textId="77777777" w:rsidR="008D6614" w:rsidRDefault="008D6614">
            <w:pPr>
              <w:rPr>
                <w:rFonts w:ascii="宋体"/>
                <w:vanish/>
              </w:rPr>
            </w:pPr>
          </w:p>
        </w:tc>
        <w:tc>
          <w:tcPr>
            <w:tcW w:w="0" w:type="auto"/>
            <w:gridSpan w:val="3"/>
            <w:shd w:val="clear" w:color="auto" w:fill="auto"/>
            <w:vAlign w:val="center"/>
          </w:tcPr>
          <w:p w14:paraId="64A8B27C" w14:textId="77777777" w:rsidR="008D6614" w:rsidRDefault="008D6614">
            <w:pPr>
              <w:rPr>
                <w:rFonts w:ascii="宋体"/>
                <w:vanish/>
              </w:rPr>
            </w:pPr>
          </w:p>
        </w:tc>
        <w:tc>
          <w:tcPr>
            <w:tcW w:w="0" w:type="auto"/>
            <w:gridSpan w:val="3"/>
            <w:shd w:val="clear" w:color="auto" w:fill="auto"/>
            <w:vAlign w:val="center"/>
          </w:tcPr>
          <w:p w14:paraId="64A8B27D" w14:textId="77777777" w:rsidR="008D6614" w:rsidRDefault="008D6614">
            <w:pPr>
              <w:rPr>
                <w:rFonts w:ascii="宋体"/>
                <w:vanish/>
              </w:rPr>
            </w:pPr>
          </w:p>
        </w:tc>
        <w:tc>
          <w:tcPr>
            <w:tcW w:w="0" w:type="auto"/>
            <w:gridSpan w:val="3"/>
            <w:shd w:val="clear" w:color="auto" w:fill="auto"/>
            <w:vAlign w:val="center"/>
          </w:tcPr>
          <w:p w14:paraId="64A8B27E" w14:textId="77777777" w:rsidR="008D6614" w:rsidRDefault="008D6614">
            <w:pPr>
              <w:rPr>
                <w:rFonts w:ascii="宋体"/>
                <w:vanish/>
              </w:rPr>
            </w:pPr>
          </w:p>
        </w:tc>
        <w:tc>
          <w:tcPr>
            <w:tcW w:w="0" w:type="auto"/>
            <w:gridSpan w:val="3"/>
            <w:shd w:val="clear" w:color="auto" w:fill="auto"/>
            <w:tcMar>
              <w:left w:w="20" w:type="dxa"/>
              <w:right w:w="20" w:type="dxa"/>
            </w:tcMar>
            <w:vAlign w:val="bottom"/>
          </w:tcPr>
          <w:p w14:paraId="64A8B27F"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B280" w14:textId="77777777" w:rsidR="008D6614" w:rsidRDefault="00866AF2">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 2019</w:t>
            </w:r>
          </w:p>
        </w:tc>
        <w:tc>
          <w:tcPr>
            <w:tcW w:w="0" w:type="auto"/>
            <w:gridSpan w:val="3"/>
            <w:shd w:val="clear" w:color="auto" w:fill="auto"/>
            <w:tcMar>
              <w:left w:w="20" w:type="dxa"/>
              <w:right w:w="20" w:type="dxa"/>
            </w:tcMar>
            <w:vAlign w:val="bottom"/>
          </w:tcPr>
          <w:p w14:paraId="64A8B281"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282"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283"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284" w14:textId="77777777" w:rsidR="008D6614" w:rsidRDefault="008D6614">
            <w:pPr>
              <w:rPr>
                <w:rFonts w:ascii="宋体"/>
              </w:rPr>
            </w:pPr>
          </w:p>
        </w:tc>
      </w:tr>
      <w:tr w:rsidR="008D6614" w14:paraId="64A8B29F" w14:textId="77777777">
        <w:tc>
          <w:tcPr>
            <w:tcW w:w="0" w:type="auto"/>
            <w:gridSpan w:val="3"/>
            <w:shd w:val="clear" w:color="auto" w:fill="auto"/>
            <w:tcMar>
              <w:top w:w="40" w:type="dxa"/>
              <w:left w:w="20" w:type="dxa"/>
              <w:bottom w:w="40" w:type="dxa"/>
              <w:right w:w="20" w:type="dxa"/>
            </w:tcMar>
            <w:vAlign w:val="bottom"/>
          </w:tcPr>
          <w:p w14:paraId="64A8B286" w14:textId="77777777" w:rsidR="008D6614" w:rsidRDefault="00866AF2">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287" w14:textId="77777777" w:rsidR="008D6614" w:rsidRDefault="00866AF2">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left w:w="20" w:type="dxa"/>
              <w:right w:w="20" w:type="dxa"/>
            </w:tcMar>
            <w:vAlign w:val="bottom"/>
          </w:tcPr>
          <w:p w14:paraId="64A8B288"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289" w14:textId="77777777" w:rsidR="008D6614" w:rsidRDefault="00866AF2">
            <w:pPr>
              <w:jc w:val="center"/>
              <w:textAlignment w:val="bottom"/>
            </w:pPr>
            <w:r>
              <w:rPr>
                <w:rFonts w:ascii="Arial" w:eastAsia="宋体" w:hAnsi="Arial" w:cs="Arial"/>
                <w:b/>
                <w:bCs/>
                <w:color w:val="000000"/>
                <w:sz w:val="14"/>
                <w:szCs w:val="14"/>
              </w:rPr>
              <w:t>Exchange Rate Effect</w:t>
            </w:r>
            <w:r>
              <w:rPr>
                <w:rFonts w:ascii="Arial" w:eastAsia="宋体" w:hAnsi="Arial" w:cs="Arial"/>
                <w:b/>
                <w:bCs/>
                <w:color w:val="000000"/>
                <w:sz w:val="9"/>
                <w:szCs w:val="9"/>
              </w:rPr>
              <w:t>(1)(3)</w:t>
            </w:r>
          </w:p>
        </w:tc>
        <w:tc>
          <w:tcPr>
            <w:tcW w:w="0" w:type="auto"/>
            <w:gridSpan w:val="3"/>
            <w:tcBorders>
              <w:top w:val="single" w:sz="8" w:space="0" w:color="000000"/>
            </w:tcBorders>
            <w:shd w:val="clear" w:color="auto" w:fill="auto"/>
            <w:tcMar>
              <w:left w:w="20" w:type="dxa"/>
              <w:right w:w="20" w:type="dxa"/>
            </w:tcMar>
            <w:vAlign w:val="bottom"/>
          </w:tcPr>
          <w:p w14:paraId="64A8B28A"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28B" w14:textId="77777777" w:rsidR="008D6614" w:rsidRDefault="00866AF2">
            <w:pPr>
              <w:jc w:val="center"/>
              <w:textAlignment w:val="bottom"/>
            </w:pPr>
            <w:r>
              <w:rPr>
                <w:rFonts w:ascii="Arial" w:eastAsia="宋体" w:hAnsi="Arial" w:cs="Arial"/>
                <w:b/>
                <w:bCs/>
                <w:color w:val="000000"/>
                <w:sz w:val="14"/>
                <w:szCs w:val="14"/>
              </w:rPr>
              <w:t>FX-Neutral</w:t>
            </w:r>
            <w:r>
              <w:rPr>
                <w:rFonts w:ascii="Arial" w:eastAsia="宋体" w:hAnsi="Arial" w:cs="Arial"/>
                <w:b/>
                <w:bCs/>
                <w:color w:val="000000"/>
                <w:sz w:val="9"/>
                <w:szCs w:val="9"/>
              </w:rPr>
              <w:t>(2)</w:t>
            </w:r>
          </w:p>
        </w:tc>
        <w:tc>
          <w:tcPr>
            <w:tcW w:w="0" w:type="auto"/>
            <w:gridSpan w:val="3"/>
            <w:shd w:val="clear" w:color="auto" w:fill="auto"/>
            <w:tcMar>
              <w:left w:w="20" w:type="dxa"/>
              <w:right w:w="20" w:type="dxa"/>
            </w:tcMar>
            <w:vAlign w:val="bottom"/>
          </w:tcPr>
          <w:p w14:paraId="64A8B28C" w14:textId="77777777" w:rsidR="008D6614" w:rsidRDefault="008D661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28D" w14:textId="77777777" w:rsidR="008D6614" w:rsidRDefault="00866AF2">
            <w:pP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left w:w="20" w:type="dxa"/>
              <w:right w:w="20" w:type="dxa"/>
            </w:tcMar>
            <w:vAlign w:val="bottom"/>
          </w:tcPr>
          <w:p w14:paraId="64A8B28E"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B28F" w14:textId="77777777" w:rsidR="008D6614" w:rsidRDefault="00866AF2">
            <w:pPr>
              <w:jc w:val="center"/>
              <w:textAlignment w:val="bottom"/>
            </w:pPr>
            <w:r>
              <w:rPr>
                <w:rFonts w:ascii="Arial" w:eastAsia="宋体" w:hAnsi="Arial" w:cs="Arial"/>
                <w:b/>
                <w:bCs/>
                <w:color w:val="000000"/>
                <w:sz w:val="14"/>
                <w:szCs w:val="14"/>
              </w:rPr>
              <w:t>As Reported % Change</w:t>
            </w:r>
          </w:p>
        </w:tc>
        <w:tc>
          <w:tcPr>
            <w:tcW w:w="0" w:type="auto"/>
            <w:gridSpan w:val="3"/>
            <w:shd w:val="clear" w:color="auto" w:fill="auto"/>
            <w:tcMar>
              <w:left w:w="20" w:type="dxa"/>
              <w:right w:w="20" w:type="dxa"/>
            </w:tcMar>
            <w:vAlign w:val="bottom"/>
          </w:tcPr>
          <w:p w14:paraId="64A8B290"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B291" w14:textId="77777777" w:rsidR="008D6614" w:rsidRDefault="00866AF2">
            <w:pPr>
              <w:jc w:val="center"/>
              <w:textAlignment w:val="bottom"/>
            </w:pPr>
            <w:r>
              <w:rPr>
                <w:rFonts w:ascii="Arial" w:eastAsia="宋体" w:hAnsi="Arial" w:cs="Arial"/>
                <w:b/>
                <w:bCs/>
                <w:color w:val="000000"/>
                <w:sz w:val="14"/>
                <w:szCs w:val="14"/>
              </w:rPr>
              <w:t xml:space="preserve">FX-Neutral </w:t>
            </w:r>
          </w:p>
          <w:p w14:paraId="64A8B292" w14:textId="77777777" w:rsidR="008D6614" w:rsidRDefault="00866AF2">
            <w:pPr>
              <w:jc w:val="center"/>
              <w:textAlignment w:val="bottom"/>
            </w:pPr>
            <w:r>
              <w:rPr>
                <w:rFonts w:ascii="Arial" w:eastAsia="宋体" w:hAnsi="Arial" w:cs="Arial"/>
                <w:b/>
                <w:bCs/>
                <w:color w:val="000000"/>
                <w:sz w:val="14"/>
                <w:szCs w:val="14"/>
              </w:rPr>
              <w:t>% Change</w:t>
            </w:r>
          </w:p>
        </w:tc>
        <w:tc>
          <w:tcPr>
            <w:tcW w:w="0" w:type="auto"/>
            <w:shd w:val="clear" w:color="auto" w:fill="auto"/>
            <w:vAlign w:val="center"/>
          </w:tcPr>
          <w:p w14:paraId="64A8B293" w14:textId="77777777" w:rsidR="008D6614" w:rsidRDefault="008D6614">
            <w:pPr>
              <w:rPr>
                <w:rFonts w:ascii="宋体"/>
              </w:rPr>
            </w:pPr>
          </w:p>
        </w:tc>
        <w:tc>
          <w:tcPr>
            <w:tcW w:w="0" w:type="auto"/>
            <w:shd w:val="clear" w:color="auto" w:fill="auto"/>
            <w:vAlign w:val="center"/>
          </w:tcPr>
          <w:p w14:paraId="64A8B294" w14:textId="77777777" w:rsidR="008D6614" w:rsidRDefault="008D6614">
            <w:pPr>
              <w:rPr>
                <w:rFonts w:ascii="宋体"/>
              </w:rPr>
            </w:pPr>
          </w:p>
        </w:tc>
        <w:tc>
          <w:tcPr>
            <w:tcW w:w="0" w:type="auto"/>
            <w:shd w:val="clear" w:color="auto" w:fill="auto"/>
            <w:vAlign w:val="center"/>
          </w:tcPr>
          <w:p w14:paraId="64A8B295" w14:textId="77777777" w:rsidR="008D6614" w:rsidRDefault="008D6614">
            <w:pPr>
              <w:rPr>
                <w:rFonts w:ascii="宋体"/>
              </w:rPr>
            </w:pPr>
          </w:p>
        </w:tc>
        <w:tc>
          <w:tcPr>
            <w:tcW w:w="0" w:type="auto"/>
            <w:shd w:val="clear" w:color="auto" w:fill="auto"/>
            <w:vAlign w:val="center"/>
          </w:tcPr>
          <w:p w14:paraId="64A8B296" w14:textId="77777777" w:rsidR="008D6614" w:rsidRDefault="008D6614">
            <w:pPr>
              <w:rPr>
                <w:rFonts w:ascii="宋体"/>
              </w:rPr>
            </w:pPr>
          </w:p>
        </w:tc>
        <w:tc>
          <w:tcPr>
            <w:tcW w:w="0" w:type="auto"/>
            <w:shd w:val="clear" w:color="auto" w:fill="auto"/>
            <w:vAlign w:val="center"/>
          </w:tcPr>
          <w:p w14:paraId="64A8B297" w14:textId="77777777" w:rsidR="008D6614" w:rsidRDefault="008D6614">
            <w:pPr>
              <w:rPr>
                <w:rFonts w:ascii="宋体"/>
              </w:rPr>
            </w:pPr>
          </w:p>
        </w:tc>
        <w:tc>
          <w:tcPr>
            <w:tcW w:w="0" w:type="auto"/>
            <w:shd w:val="clear" w:color="auto" w:fill="auto"/>
            <w:vAlign w:val="center"/>
          </w:tcPr>
          <w:p w14:paraId="64A8B298" w14:textId="77777777" w:rsidR="008D6614" w:rsidRDefault="008D6614">
            <w:pPr>
              <w:rPr>
                <w:rFonts w:ascii="宋体"/>
              </w:rPr>
            </w:pPr>
          </w:p>
        </w:tc>
        <w:tc>
          <w:tcPr>
            <w:tcW w:w="0" w:type="auto"/>
            <w:shd w:val="clear" w:color="auto" w:fill="auto"/>
            <w:vAlign w:val="center"/>
          </w:tcPr>
          <w:p w14:paraId="64A8B299" w14:textId="77777777" w:rsidR="008D6614" w:rsidRDefault="008D6614">
            <w:pPr>
              <w:rPr>
                <w:rFonts w:ascii="宋体"/>
              </w:rPr>
            </w:pPr>
          </w:p>
        </w:tc>
        <w:tc>
          <w:tcPr>
            <w:tcW w:w="0" w:type="auto"/>
            <w:shd w:val="clear" w:color="auto" w:fill="auto"/>
            <w:vAlign w:val="center"/>
          </w:tcPr>
          <w:p w14:paraId="64A8B29A" w14:textId="77777777" w:rsidR="008D6614" w:rsidRDefault="008D6614">
            <w:pPr>
              <w:rPr>
                <w:rFonts w:ascii="宋体"/>
              </w:rPr>
            </w:pPr>
          </w:p>
        </w:tc>
        <w:tc>
          <w:tcPr>
            <w:tcW w:w="0" w:type="auto"/>
            <w:shd w:val="clear" w:color="auto" w:fill="auto"/>
            <w:vAlign w:val="center"/>
          </w:tcPr>
          <w:p w14:paraId="64A8B29B" w14:textId="77777777" w:rsidR="008D6614" w:rsidRDefault="008D6614">
            <w:pPr>
              <w:rPr>
                <w:rFonts w:ascii="宋体"/>
              </w:rPr>
            </w:pPr>
          </w:p>
        </w:tc>
        <w:tc>
          <w:tcPr>
            <w:tcW w:w="0" w:type="auto"/>
            <w:shd w:val="clear" w:color="auto" w:fill="auto"/>
            <w:vAlign w:val="center"/>
          </w:tcPr>
          <w:p w14:paraId="64A8B29C" w14:textId="77777777" w:rsidR="008D6614" w:rsidRDefault="008D6614">
            <w:pPr>
              <w:rPr>
                <w:rFonts w:ascii="宋体"/>
              </w:rPr>
            </w:pPr>
          </w:p>
        </w:tc>
        <w:tc>
          <w:tcPr>
            <w:tcW w:w="0" w:type="auto"/>
            <w:shd w:val="clear" w:color="auto" w:fill="auto"/>
            <w:vAlign w:val="center"/>
          </w:tcPr>
          <w:p w14:paraId="64A8B29D" w14:textId="77777777" w:rsidR="008D6614" w:rsidRDefault="008D6614">
            <w:pPr>
              <w:rPr>
                <w:rFonts w:ascii="宋体"/>
              </w:rPr>
            </w:pPr>
          </w:p>
        </w:tc>
        <w:tc>
          <w:tcPr>
            <w:tcW w:w="0" w:type="auto"/>
            <w:shd w:val="clear" w:color="auto" w:fill="auto"/>
            <w:vAlign w:val="center"/>
          </w:tcPr>
          <w:p w14:paraId="64A8B29E" w14:textId="77777777" w:rsidR="008D6614" w:rsidRDefault="008D6614">
            <w:pPr>
              <w:rPr>
                <w:rFonts w:ascii="宋体"/>
              </w:rPr>
            </w:pPr>
          </w:p>
        </w:tc>
      </w:tr>
      <w:tr w:rsidR="008D6614" w14:paraId="64A8B2B8" w14:textId="77777777">
        <w:tc>
          <w:tcPr>
            <w:tcW w:w="0" w:type="auto"/>
            <w:gridSpan w:val="3"/>
            <w:shd w:val="clear" w:color="auto" w:fill="E2E2E2"/>
            <w:tcMar>
              <w:top w:w="40" w:type="dxa"/>
              <w:left w:w="20" w:type="dxa"/>
              <w:bottom w:w="40" w:type="dxa"/>
              <w:right w:w="20" w:type="dxa"/>
            </w:tcMar>
            <w:vAlign w:val="bottom"/>
          </w:tcPr>
          <w:p w14:paraId="64A8B2A0" w14:textId="77777777" w:rsidR="008D6614" w:rsidRDefault="00866AF2">
            <w:pPr>
              <w:textAlignment w:val="bottom"/>
            </w:pPr>
            <w:r>
              <w:rPr>
                <w:rFonts w:ascii="Arial" w:eastAsia="宋体" w:hAnsi="Arial" w:cs="Arial"/>
                <w:b/>
                <w:bCs/>
                <w:color w:val="000000"/>
                <w:sz w:val="16"/>
                <w:szCs w:val="16"/>
              </w:rPr>
              <w:t>GMV:</w:t>
            </w:r>
          </w:p>
        </w:tc>
        <w:tc>
          <w:tcPr>
            <w:tcW w:w="0" w:type="auto"/>
            <w:gridSpan w:val="3"/>
            <w:tcBorders>
              <w:top w:val="single" w:sz="8" w:space="0" w:color="000000"/>
            </w:tcBorders>
            <w:shd w:val="clear" w:color="auto" w:fill="E2E2E2"/>
            <w:tcMar>
              <w:left w:w="20" w:type="dxa"/>
              <w:right w:w="20" w:type="dxa"/>
            </w:tcMar>
            <w:vAlign w:val="bottom"/>
          </w:tcPr>
          <w:p w14:paraId="64A8B2A1"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2A2"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B2A3"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2A4"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B2A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2A6"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B2A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2A8"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B2A9"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2AA" w14:textId="77777777" w:rsidR="008D6614" w:rsidRDefault="008D6614">
            <w:pPr>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B2AB" w14:textId="77777777" w:rsidR="008D6614" w:rsidRDefault="008D6614">
            <w:pPr>
              <w:rPr>
                <w:rFonts w:ascii="宋体"/>
              </w:rPr>
            </w:pPr>
          </w:p>
        </w:tc>
        <w:tc>
          <w:tcPr>
            <w:tcW w:w="0" w:type="auto"/>
            <w:shd w:val="clear" w:color="auto" w:fill="auto"/>
            <w:vAlign w:val="center"/>
          </w:tcPr>
          <w:p w14:paraId="64A8B2AC" w14:textId="77777777" w:rsidR="008D6614" w:rsidRDefault="008D6614">
            <w:pPr>
              <w:rPr>
                <w:rFonts w:ascii="宋体"/>
              </w:rPr>
            </w:pPr>
          </w:p>
        </w:tc>
        <w:tc>
          <w:tcPr>
            <w:tcW w:w="0" w:type="auto"/>
            <w:shd w:val="clear" w:color="auto" w:fill="auto"/>
            <w:vAlign w:val="center"/>
          </w:tcPr>
          <w:p w14:paraId="64A8B2AD" w14:textId="77777777" w:rsidR="008D6614" w:rsidRDefault="008D6614">
            <w:pPr>
              <w:rPr>
                <w:rFonts w:ascii="宋体"/>
              </w:rPr>
            </w:pPr>
          </w:p>
        </w:tc>
        <w:tc>
          <w:tcPr>
            <w:tcW w:w="0" w:type="auto"/>
            <w:shd w:val="clear" w:color="auto" w:fill="auto"/>
            <w:vAlign w:val="center"/>
          </w:tcPr>
          <w:p w14:paraId="64A8B2AE" w14:textId="77777777" w:rsidR="008D6614" w:rsidRDefault="008D6614">
            <w:pPr>
              <w:rPr>
                <w:rFonts w:ascii="宋体"/>
              </w:rPr>
            </w:pPr>
          </w:p>
        </w:tc>
        <w:tc>
          <w:tcPr>
            <w:tcW w:w="0" w:type="auto"/>
            <w:shd w:val="clear" w:color="auto" w:fill="auto"/>
            <w:vAlign w:val="center"/>
          </w:tcPr>
          <w:p w14:paraId="64A8B2AF" w14:textId="77777777" w:rsidR="008D6614" w:rsidRDefault="008D6614">
            <w:pPr>
              <w:rPr>
                <w:rFonts w:ascii="宋体"/>
              </w:rPr>
            </w:pPr>
          </w:p>
        </w:tc>
        <w:tc>
          <w:tcPr>
            <w:tcW w:w="0" w:type="auto"/>
            <w:shd w:val="clear" w:color="auto" w:fill="auto"/>
            <w:vAlign w:val="center"/>
          </w:tcPr>
          <w:p w14:paraId="64A8B2B0" w14:textId="77777777" w:rsidR="008D6614" w:rsidRDefault="008D6614">
            <w:pPr>
              <w:rPr>
                <w:rFonts w:ascii="宋体"/>
              </w:rPr>
            </w:pPr>
          </w:p>
        </w:tc>
        <w:tc>
          <w:tcPr>
            <w:tcW w:w="0" w:type="auto"/>
            <w:shd w:val="clear" w:color="auto" w:fill="auto"/>
            <w:vAlign w:val="center"/>
          </w:tcPr>
          <w:p w14:paraId="64A8B2B1" w14:textId="77777777" w:rsidR="008D6614" w:rsidRDefault="008D6614">
            <w:pPr>
              <w:rPr>
                <w:rFonts w:ascii="宋体"/>
              </w:rPr>
            </w:pPr>
          </w:p>
        </w:tc>
        <w:tc>
          <w:tcPr>
            <w:tcW w:w="0" w:type="auto"/>
            <w:shd w:val="clear" w:color="auto" w:fill="auto"/>
            <w:vAlign w:val="center"/>
          </w:tcPr>
          <w:p w14:paraId="64A8B2B2" w14:textId="77777777" w:rsidR="008D6614" w:rsidRDefault="008D6614">
            <w:pPr>
              <w:rPr>
                <w:rFonts w:ascii="宋体"/>
              </w:rPr>
            </w:pPr>
          </w:p>
        </w:tc>
        <w:tc>
          <w:tcPr>
            <w:tcW w:w="0" w:type="auto"/>
            <w:shd w:val="clear" w:color="auto" w:fill="auto"/>
            <w:vAlign w:val="center"/>
          </w:tcPr>
          <w:p w14:paraId="64A8B2B3" w14:textId="77777777" w:rsidR="008D6614" w:rsidRDefault="008D6614">
            <w:pPr>
              <w:rPr>
                <w:rFonts w:ascii="宋体"/>
              </w:rPr>
            </w:pPr>
          </w:p>
        </w:tc>
        <w:tc>
          <w:tcPr>
            <w:tcW w:w="0" w:type="auto"/>
            <w:shd w:val="clear" w:color="auto" w:fill="auto"/>
            <w:vAlign w:val="center"/>
          </w:tcPr>
          <w:p w14:paraId="64A8B2B4" w14:textId="77777777" w:rsidR="008D6614" w:rsidRDefault="008D6614">
            <w:pPr>
              <w:rPr>
                <w:rFonts w:ascii="宋体"/>
              </w:rPr>
            </w:pPr>
          </w:p>
        </w:tc>
        <w:tc>
          <w:tcPr>
            <w:tcW w:w="0" w:type="auto"/>
            <w:shd w:val="clear" w:color="auto" w:fill="auto"/>
            <w:vAlign w:val="center"/>
          </w:tcPr>
          <w:p w14:paraId="64A8B2B5" w14:textId="77777777" w:rsidR="008D6614" w:rsidRDefault="008D6614">
            <w:pPr>
              <w:rPr>
                <w:rFonts w:ascii="宋体"/>
              </w:rPr>
            </w:pPr>
          </w:p>
        </w:tc>
        <w:tc>
          <w:tcPr>
            <w:tcW w:w="0" w:type="auto"/>
            <w:shd w:val="clear" w:color="auto" w:fill="auto"/>
            <w:vAlign w:val="center"/>
          </w:tcPr>
          <w:p w14:paraId="64A8B2B6" w14:textId="77777777" w:rsidR="008D6614" w:rsidRDefault="008D6614">
            <w:pPr>
              <w:rPr>
                <w:rFonts w:ascii="宋体"/>
              </w:rPr>
            </w:pPr>
          </w:p>
        </w:tc>
        <w:tc>
          <w:tcPr>
            <w:tcW w:w="0" w:type="auto"/>
            <w:shd w:val="clear" w:color="auto" w:fill="auto"/>
            <w:vAlign w:val="center"/>
          </w:tcPr>
          <w:p w14:paraId="64A8B2B7" w14:textId="77777777" w:rsidR="008D6614" w:rsidRDefault="008D6614">
            <w:pPr>
              <w:rPr>
                <w:rFonts w:ascii="宋体"/>
              </w:rPr>
            </w:pPr>
          </w:p>
        </w:tc>
      </w:tr>
      <w:tr w:rsidR="008D6614" w14:paraId="64A8B2DB" w14:textId="77777777">
        <w:tc>
          <w:tcPr>
            <w:tcW w:w="0" w:type="auto"/>
            <w:gridSpan w:val="3"/>
            <w:shd w:val="clear" w:color="auto" w:fill="FFFFFF"/>
            <w:tcMar>
              <w:top w:w="40" w:type="dxa"/>
              <w:left w:w="20" w:type="dxa"/>
              <w:bottom w:w="40" w:type="dxa"/>
              <w:right w:w="20" w:type="dxa"/>
            </w:tcMar>
            <w:vAlign w:val="bottom"/>
          </w:tcPr>
          <w:p w14:paraId="64A8B2B9" w14:textId="77777777" w:rsidR="008D6614" w:rsidRDefault="00866AF2">
            <w:pPr>
              <w:textAlignment w:val="bottom"/>
            </w:pPr>
            <w:r>
              <w:rPr>
                <w:rFonts w:ascii="Arial" w:eastAsia="宋体" w:hAnsi="Arial" w:cs="Arial"/>
                <w:color w:val="000000"/>
                <w:sz w:val="16"/>
                <w:szCs w:val="16"/>
              </w:rPr>
              <w:t>Marketplace</w:t>
            </w:r>
          </w:p>
        </w:tc>
        <w:tc>
          <w:tcPr>
            <w:tcW w:w="0" w:type="auto"/>
            <w:shd w:val="clear" w:color="auto" w:fill="FFFFFF"/>
            <w:tcMar>
              <w:top w:w="40" w:type="dxa"/>
              <w:left w:w="20" w:type="dxa"/>
              <w:bottom w:w="40" w:type="dxa"/>
            </w:tcMar>
            <w:vAlign w:val="bottom"/>
          </w:tcPr>
          <w:p w14:paraId="64A8B2BA"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B2BB" w14:textId="77777777" w:rsidR="008D6614" w:rsidRDefault="00866AF2">
            <w:pPr>
              <w:jc w:val="right"/>
              <w:textAlignment w:val="bottom"/>
            </w:pPr>
            <w:r>
              <w:rPr>
                <w:rFonts w:ascii="Arial" w:eastAsia="宋体" w:hAnsi="Arial" w:cs="Arial"/>
                <w:color w:val="000000"/>
                <w:sz w:val="16"/>
                <w:szCs w:val="16"/>
              </w:rPr>
              <w:t>21,259 </w:t>
            </w:r>
          </w:p>
        </w:tc>
        <w:tc>
          <w:tcPr>
            <w:tcW w:w="0" w:type="auto"/>
            <w:shd w:val="clear" w:color="auto" w:fill="FFFFFF"/>
            <w:tcMar>
              <w:top w:w="40" w:type="dxa"/>
              <w:bottom w:w="40" w:type="dxa"/>
              <w:right w:w="20" w:type="dxa"/>
            </w:tcMar>
            <w:vAlign w:val="bottom"/>
          </w:tcPr>
          <w:p w14:paraId="64A8B2BC"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2BD"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2BE"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B2BF" w14:textId="77777777" w:rsidR="008D6614" w:rsidRDefault="00866AF2">
            <w:pPr>
              <w:jc w:val="right"/>
              <w:textAlignment w:val="bottom"/>
            </w:pPr>
            <w:r>
              <w:rPr>
                <w:rFonts w:ascii="Arial" w:eastAsia="宋体" w:hAnsi="Arial" w:cs="Arial"/>
                <w:color w:val="000000"/>
                <w:sz w:val="16"/>
                <w:szCs w:val="16"/>
              </w:rPr>
              <w:t>(417)</w:t>
            </w:r>
          </w:p>
        </w:tc>
        <w:tc>
          <w:tcPr>
            <w:tcW w:w="0" w:type="auto"/>
            <w:shd w:val="clear" w:color="auto" w:fill="FFFFFF"/>
            <w:tcMar>
              <w:top w:w="40" w:type="dxa"/>
              <w:bottom w:w="40" w:type="dxa"/>
              <w:right w:w="20" w:type="dxa"/>
            </w:tcMar>
            <w:vAlign w:val="bottom"/>
          </w:tcPr>
          <w:p w14:paraId="64A8B2C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2C1"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2C2"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B2C3" w14:textId="77777777" w:rsidR="008D6614" w:rsidRDefault="00866AF2">
            <w:pPr>
              <w:jc w:val="right"/>
              <w:textAlignment w:val="bottom"/>
            </w:pPr>
            <w:r>
              <w:rPr>
                <w:rFonts w:ascii="Arial" w:eastAsia="宋体" w:hAnsi="Arial" w:cs="Arial"/>
                <w:color w:val="000000"/>
                <w:sz w:val="16"/>
                <w:szCs w:val="16"/>
              </w:rPr>
              <w:t>21,676 </w:t>
            </w:r>
          </w:p>
        </w:tc>
        <w:tc>
          <w:tcPr>
            <w:tcW w:w="0" w:type="auto"/>
            <w:shd w:val="clear" w:color="auto" w:fill="FFFFFF"/>
            <w:tcMar>
              <w:top w:w="40" w:type="dxa"/>
              <w:bottom w:w="40" w:type="dxa"/>
              <w:right w:w="20" w:type="dxa"/>
            </w:tcMar>
            <w:vAlign w:val="bottom"/>
          </w:tcPr>
          <w:p w14:paraId="64A8B2C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2C5"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2C6"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B2C7" w14:textId="77777777" w:rsidR="008D6614" w:rsidRDefault="00866AF2">
            <w:pPr>
              <w:jc w:val="right"/>
              <w:textAlignment w:val="bottom"/>
            </w:pPr>
            <w:r>
              <w:rPr>
                <w:rFonts w:ascii="Arial" w:eastAsia="宋体" w:hAnsi="Arial" w:cs="Arial"/>
                <w:color w:val="000000"/>
                <w:sz w:val="16"/>
                <w:szCs w:val="16"/>
              </w:rPr>
              <w:t>21,571 </w:t>
            </w:r>
          </w:p>
        </w:tc>
        <w:tc>
          <w:tcPr>
            <w:tcW w:w="0" w:type="auto"/>
            <w:shd w:val="clear" w:color="auto" w:fill="FFFFFF"/>
            <w:tcMar>
              <w:top w:w="40" w:type="dxa"/>
              <w:bottom w:w="40" w:type="dxa"/>
              <w:right w:w="20" w:type="dxa"/>
            </w:tcMar>
            <w:vAlign w:val="bottom"/>
          </w:tcPr>
          <w:p w14:paraId="64A8B2C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2C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2CA" w14:textId="77777777" w:rsidR="008D6614" w:rsidRDefault="00866AF2">
            <w:pPr>
              <w:jc w:val="right"/>
              <w:textAlignment w:val="bottom"/>
            </w:pPr>
            <w:r>
              <w:rPr>
                <w:rFonts w:ascii="Arial" w:eastAsia="宋体" w:hAnsi="Arial" w:cs="Arial"/>
                <w:color w:val="000000"/>
                <w:sz w:val="16"/>
                <w:szCs w:val="16"/>
              </w:rPr>
              <w:t>(1)</w:t>
            </w:r>
          </w:p>
        </w:tc>
        <w:tc>
          <w:tcPr>
            <w:tcW w:w="0" w:type="auto"/>
            <w:shd w:val="clear" w:color="auto" w:fill="FFFFFF"/>
            <w:tcMar>
              <w:top w:w="40" w:type="dxa"/>
              <w:bottom w:w="40" w:type="dxa"/>
              <w:right w:w="20" w:type="dxa"/>
            </w:tcMar>
            <w:vAlign w:val="bottom"/>
          </w:tcPr>
          <w:p w14:paraId="64A8B2CB"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B2C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2CD"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64A8B2CE"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2CF" w14:textId="77777777" w:rsidR="008D6614" w:rsidRDefault="008D6614">
            <w:pPr>
              <w:rPr>
                <w:rFonts w:ascii="宋体"/>
              </w:rPr>
            </w:pPr>
          </w:p>
        </w:tc>
        <w:tc>
          <w:tcPr>
            <w:tcW w:w="0" w:type="auto"/>
            <w:shd w:val="clear" w:color="auto" w:fill="auto"/>
            <w:vAlign w:val="center"/>
          </w:tcPr>
          <w:p w14:paraId="64A8B2D0" w14:textId="77777777" w:rsidR="008D6614" w:rsidRDefault="008D6614">
            <w:pPr>
              <w:rPr>
                <w:rFonts w:ascii="宋体"/>
              </w:rPr>
            </w:pPr>
          </w:p>
        </w:tc>
        <w:tc>
          <w:tcPr>
            <w:tcW w:w="0" w:type="auto"/>
            <w:shd w:val="clear" w:color="auto" w:fill="auto"/>
            <w:vAlign w:val="center"/>
          </w:tcPr>
          <w:p w14:paraId="64A8B2D1" w14:textId="77777777" w:rsidR="008D6614" w:rsidRDefault="008D6614">
            <w:pPr>
              <w:rPr>
                <w:rFonts w:ascii="宋体"/>
              </w:rPr>
            </w:pPr>
          </w:p>
        </w:tc>
        <w:tc>
          <w:tcPr>
            <w:tcW w:w="0" w:type="auto"/>
            <w:shd w:val="clear" w:color="auto" w:fill="auto"/>
            <w:vAlign w:val="center"/>
          </w:tcPr>
          <w:p w14:paraId="64A8B2D2" w14:textId="77777777" w:rsidR="008D6614" w:rsidRDefault="008D6614">
            <w:pPr>
              <w:rPr>
                <w:rFonts w:ascii="宋体"/>
              </w:rPr>
            </w:pPr>
          </w:p>
        </w:tc>
        <w:tc>
          <w:tcPr>
            <w:tcW w:w="0" w:type="auto"/>
            <w:shd w:val="clear" w:color="auto" w:fill="auto"/>
            <w:vAlign w:val="center"/>
          </w:tcPr>
          <w:p w14:paraId="64A8B2D3" w14:textId="77777777" w:rsidR="008D6614" w:rsidRDefault="008D6614">
            <w:pPr>
              <w:rPr>
                <w:rFonts w:ascii="宋体"/>
              </w:rPr>
            </w:pPr>
          </w:p>
        </w:tc>
        <w:tc>
          <w:tcPr>
            <w:tcW w:w="0" w:type="auto"/>
            <w:shd w:val="clear" w:color="auto" w:fill="auto"/>
            <w:vAlign w:val="center"/>
          </w:tcPr>
          <w:p w14:paraId="64A8B2D4" w14:textId="77777777" w:rsidR="008D6614" w:rsidRDefault="008D6614">
            <w:pPr>
              <w:rPr>
                <w:rFonts w:ascii="宋体"/>
              </w:rPr>
            </w:pPr>
          </w:p>
        </w:tc>
        <w:tc>
          <w:tcPr>
            <w:tcW w:w="0" w:type="auto"/>
            <w:shd w:val="clear" w:color="auto" w:fill="auto"/>
            <w:vAlign w:val="center"/>
          </w:tcPr>
          <w:p w14:paraId="64A8B2D5" w14:textId="77777777" w:rsidR="008D6614" w:rsidRDefault="008D6614">
            <w:pPr>
              <w:rPr>
                <w:rFonts w:ascii="宋体"/>
              </w:rPr>
            </w:pPr>
          </w:p>
        </w:tc>
        <w:tc>
          <w:tcPr>
            <w:tcW w:w="0" w:type="auto"/>
            <w:shd w:val="clear" w:color="auto" w:fill="auto"/>
            <w:vAlign w:val="center"/>
          </w:tcPr>
          <w:p w14:paraId="64A8B2D6" w14:textId="77777777" w:rsidR="008D6614" w:rsidRDefault="008D6614">
            <w:pPr>
              <w:rPr>
                <w:rFonts w:ascii="宋体"/>
              </w:rPr>
            </w:pPr>
          </w:p>
        </w:tc>
        <w:tc>
          <w:tcPr>
            <w:tcW w:w="0" w:type="auto"/>
            <w:shd w:val="clear" w:color="auto" w:fill="auto"/>
            <w:vAlign w:val="center"/>
          </w:tcPr>
          <w:p w14:paraId="64A8B2D7" w14:textId="77777777" w:rsidR="008D6614" w:rsidRDefault="008D6614">
            <w:pPr>
              <w:rPr>
                <w:rFonts w:ascii="宋体"/>
              </w:rPr>
            </w:pPr>
          </w:p>
        </w:tc>
        <w:tc>
          <w:tcPr>
            <w:tcW w:w="0" w:type="auto"/>
            <w:shd w:val="clear" w:color="auto" w:fill="auto"/>
            <w:vAlign w:val="center"/>
          </w:tcPr>
          <w:p w14:paraId="64A8B2D8" w14:textId="77777777" w:rsidR="008D6614" w:rsidRDefault="008D6614">
            <w:pPr>
              <w:rPr>
                <w:rFonts w:ascii="宋体"/>
              </w:rPr>
            </w:pPr>
          </w:p>
        </w:tc>
        <w:tc>
          <w:tcPr>
            <w:tcW w:w="0" w:type="auto"/>
            <w:shd w:val="clear" w:color="auto" w:fill="auto"/>
            <w:vAlign w:val="center"/>
          </w:tcPr>
          <w:p w14:paraId="64A8B2D9" w14:textId="77777777" w:rsidR="008D6614" w:rsidRDefault="008D6614">
            <w:pPr>
              <w:rPr>
                <w:rFonts w:ascii="宋体"/>
              </w:rPr>
            </w:pPr>
          </w:p>
        </w:tc>
        <w:tc>
          <w:tcPr>
            <w:tcW w:w="0" w:type="auto"/>
            <w:shd w:val="clear" w:color="auto" w:fill="auto"/>
            <w:vAlign w:val="center"/>
          </w:tcPr>
          <w:p w14:paraId="64A8B2DA" w14:textId="77777777" w:rsidR="008D6614" w:rsidRDefault="008D6614">
            <w:pPr>
              <w:rPr>
                <w:rFonts w:ascii="宋体"/>
              </w:rPr>
            </w:pPr>
          </w:p>
        </w:tc>
      </w:tr>
      <w:tr w:rsidR="008D6614" w14:paraId="64A8B2F4" w14:textId="77777777">
        <w:trPr>
          <w:hidden/>
        </w:trPr>
        <w:tc>
          <w:tcPr>
            <w:tcW w:w="0" w:type="auto"/>
            <w:gridSpan w:val="3"/>
            <w:shd w:val="clear" w:color="auto" w:fill="auto"/>
            <w:vAlign w:val="center"/>
          </w:tcPr>
          <w:p w14:paraId="64A8B2DC" w14:textId="77777777" w:rsidR="008D6614" w:rsidRDefault="008D6614">
            <w:pPr>
              <w:rPr>
                <w:rFonts w:ascii="宋体"/>
                <w:vanish/>
              </w:rPr>
            </w:pPr>
          </w:p>
        </w:tc>
        <w:tc>
          <w:tcPr>
            <w:tcW w:w="0" w:type="auto"/>
            <w:gridSpan w:val="3"/>
            <w:shd w:val="clear" w:color="auto" w:fill="auto"/>
            <w:vAlign w:val="center"/>
          </w:tcPr>
          <w:p w14:paraId="64A8B2DD" w14:textId="77777777" w:rsidR="008D6614" w:rsidRDefault="008D6614">
            <w:pPr>
              <w:rPr>
                <w:rFonts w:ascii="宋体"/>
                <w:vanish/>
              </w:rPr>
            </w:pPr>
          </w:p>
        </w:tc>
        <w:tc>
          <w:tcPr>
            <w:tcW w:w="0" w:type="auto"/>
            <w:gridSpan w:val="3"/>
            <w:shd w:val="clear" w:color="auto" w:fill="auto"/>
            <w:vAlign w:val="center"/>
          </w:tcPr>
          <w:p w14:paraId="64A8B2DE" w14:textId="77777777" w:rsidR="008D6614" w:rsidRDefault="008D6614">
            <w:pPr>
              <w:rPr>
                <w:rFonts w:ascii="宋体"/>
                <w:vanish/>
              </w:rPr>
            </w:pPr>
          </w:p>
        </w:tc>
        <w:tc>
          <w:tcPr>
            <w:tcW w:w="0" w:type="auto"/>
            <w:gridSpan w:val="3"/>
            <w:shd w:val="clear" w:color="auto" w:fill="auto"/>
            <w:vAlign w:val="center"/>
          </w:tcPr>
          <w:p w14:paraId="64A8B2DF" w14:textId="77777777" w:rsidR="008D6614" w:rsidRDefault="008D6614">
            <w:pPr>
              <w:rPr>
                <w:rFonts w:ascii="宋体"/>
                <w:vanish/>
              </w:rPr>
            </w:pPr>
          </w:p>
        </w:tc>
        <w:tc>
          <w:tcPr>
            <w:tcW w:w="0" w:type="auto"/>
            <w:gridSpan w:val="3"/>
            <w:shd w:val="clear" w:color="auto" w:fill="auto"/>
            <w:vAlign w:val="center"/>
          </w:tcPr>
          <w:p w14:paraId="64A8B2E0" w14:textId="77777777" w:rsidR="008D6614" w:rsidRDefault="008D6614">
            <w:pPr>
              <w:rPr>
                <w:rFonts w:ascii="宋体"/>
                <w:vanish/>
              </w:rPr>
            </w:pPr>
          </w:p>
        </w:tc>
        <w:tc>
          <w:tcPr>
            <w:tcW w:w="0" w:type="auto"/>
            <w:gridSpan w:val="3"/>
            <w:shd w:val="clear" w:color="auto" w:fill="auto"/>
            <w:vAlign w:val="center"/>
          </w:tcPr>
          <w:p w14:paraId="64A8B2E1" w14:textId="77777777" w:rsidR="008D6614" w:rsidRDefault="008D6614">
            <w:pPr>
              <w:rPr>
                <w:rFonts w:ascii="宋体"/>
                <w:vanish/>
              </w:rPr>
            </w:pPr>
          </w:p>
        </w:tc>
        <w:tc>
          <w:tcPr>
            <w:tcW w:w="0" w:type="auto"/>
            <w:gridSpan w:val="3"/>
            <w:shd w:val="clear" w:color="auto" w:fill="auto"/>
            <w:vAlign w:val="center"/>
          </w:tcPr>
          <w:p w14:paraId="64A8B2E2" w14:textId="77777777" w:rsidR="008D6614" w:rsidRDefault="008D6614">
            <w:pPr>
              <w:rPr>
                <w:rFonts w:ascii="宋体"/>
                <w:vanish/>
              </w:rPr>
            </w:pPr>
          </w:p>
        </w:tc>
        <w:tc>
          <w:tcPr>
            <w:tcW w:w="0" w:type="auto"/>
            <w:gridSpan w:val="3"/>
            <w:shd w:val="clear" w:color="auto" w:fill="auto"/>
            <w:vAlign w:val="center"/>
          </w:tcPr>
          <w:p w14:paraId="64A8B2E3" w14:textId="77777777" w:rsidR="008D6614" w:rsidRDefault="008D6614">
            <w:pPr>
              <w:rPr>
                <w:rFonts w:ascii="宋体"/>
                <w:vanish/>
              </w:rPr>
            </w:pPr>
          </w:p>
        </w:tc>
        <w:tc>
          <w:tcPr>
            <w:tcW w:w="0" w:type="auto"/>
            <w:gridSpan w:val="3"/>
            <w:shd w:val="clear" w:color="auto" w:fill="auto"/>
            <w:vAlign w:val="center"/>
          </w:tcPr>
          <w:p w14:paraId="64A8B2E4" w14:textId="77777777" w:rsidR="008D6614" w:rsidRDefault="008D6614">
            <w:pPr>
              <w:rPr>
                <w:rFonts w:ascii="宋体"/>
                <w:vanish/>
              </w:rPr>
            </w:pPr>
          </w:p>
        </w:tc>
        <w:tc>
          <w:tcPr>
            <w:tcW w:w="0" w:type="auto"/>
            <w:gridSpan w:val="3"/>
            <w:shd w:val="clear" w:color="auto" w:fill="auto"/>
            <w:vAlign w:val="center"/>
          </w:tcPr>
          <w:p w14:paraId="64A8B2E5" w14:textId="77777777" w:rsidR="008D6614" w:rsidRDefault="008D6614">
            <w:pPr>
              <w:rPr>
                <w:rFonts w:ascii="宋体"/>
                <w:vanish/>
              </w:rPr>
            </w:pPr>
          </w:p>
        </w:tc>
        <w:tc>
          <w:tcPr>
            <w:tcW w:w="0" w:type="auto"/>
            <w:gridSpan w:val="3"/>
            <w:shd w:val="clear" w:color="auto" w:fill="auto"/>
            <w:vAlign w:val="center"/>
          </w:tcPr>
          <w:p w14:paraId="64A8B2E6" w14:textId="77777777" w:rsidR="008D6614" w:rsidRDefault="008D6614">
            <w:pPr>
              <w:rPr>
                <w:rFonts w:ascii="宋体"/>
                <w:vanish/>
              </w:rPr>
            </w:pPr>
          </w:p>
        </w:tc>
        <w:tc>
          <w:tcPr>
            <w:tcW w:w="0" w:type="auto"/>
            <w:gridSpan w:val="3"/>
            <w:shd w:val="clear" w:color="auto" w:fill="auto"/>
            <w:vAlign w:val="center"/>
          </w:tcPr>
          <w:p w14:paraId="64A8B2E7" w14:textId="77777777" w:rsidR="008D6614" w:rsidRDefault="008D6614">
            <w:pPr>
              <w:rPr>
                <w:rFonts w:ascii="宋体"/>
                <w:vanish/>
              </w:rPr>
            </w:pPr>
          </w:p>
        </w:tc>
        <w:tc>
          <w:tcPr>
            <w:tcW w:w="0" w:type="auto"/>
            <w:shd w:val="clear" w:color="auto" w:fill="auto"/>
            <w:vAlign w:val="center"/>
          </w:tcPr>
          <w:p w14:paraId="64A8B2E8" w14:textId="77777777" w:rsidR="008D6614" w:rsidRDefault="008D6614">
            <w:pPr>
              <w:rPr>
                <w:rFonts w:ascii="宋体"/>
              </w:rPr>
            </w:pPr>
          </w:p>
        </w:tc>
        <w:tc>
          <w:tcPr>
            <w:tcW w:w="0" w:type="auto"/>
            <w:shd w:val="clear" w:color="auto" w:fill="auto"/>
            <w:vAlign w:val="center"/>
          </w:tcPr>
          <w:p w14:paraId="64A8B2E9" w14:textId="77777777" w:rsidR="008D6614" w:rsidRDefault="008D6614">
            <w:pPr>
              <w:rPr>
                <w:rFonts w:ascii="宋体"/>
              </w:rPr>
            </w:pPr>
          </w:p>
        </w:tc>
        <w:tc>
          <w:tcPr>
            <w:tcW w:w="0" w:type="auto"/>
            <w:shd w:val="clear" w:color="auto" w:fill="auto"/>
            <w:vAlign w:val="center"/>
          </w:tcPr>
          <w:p w14:paraId="64A8B2EA" w14:textId="77777777" w:rsidR="008D6614" w:rsidRDefault="008D6614">
            <w:pPr>
              <w:rPr>
                <w:rFonts w:ascii="宋体"/>
              </w:rPr>
            </w:pPr>
          </w:p>
        </w:tc>
        <w:tc>
          <w:tcPr>
            <w:tcW w:w="0" w:type="auto"/>
            <w:shd w:val="clear" w:color="auto" w:fill="auto"/>
            <w:vAlign w:val="center"/>
          </w:tcPr>
          <w:p w14:paraId="64A8B2EB" w14:textId="77777777" w:rsidR="008D6614" w:rsidRDefault="008D6614">
            <w:pPr>
              <w:rPr>
                <w:rFonts w:ascii="宋体"/>
              </w:rPr>
            </w:pPr>
          </w:p>
        </w:tc>
        <w:tc>
          <w:tcPr>
            <w:tcW w:w="0" w:type="auto"/>
            <w:shd w:val="clear" w:color="auto" w:fill="auto"/>
            <w:vAlign w:val="center"/>
          </w:tcPr>
          <w:p w14:paraId="64A8B2EC" w14:textId="77777777" w:rsidR="008D6614" w:rsidRDefault="008D6614">
            <w:pPr>
              <w:rPr>
                <w:rFonts w:ascii="宋体"/>
              </w:rPr>
            </w:pPr>
          </w:p>
        </w:tc>
        <w:tc>
          <w:tcPr>
            <w:tcW w:w="0" w:type="auto"/>
            <w:shd w:val="clear" w:color="auto" w:fill="auto"/>
            <w:vAlign w:val="center"/>
          </w:tcPr>
          <w:p w14:paraId="64A8B2ED" w14:textId="77777777" w:rsidR="008D6614" w:rsidRDefault="008D6614">
            <w:pPr>
              <w:rPr>
                <w:rFonts w:ascii="宋体"/>
              </w:rPr>
            </w:pPr>
          </w:p>
        </w:tc>
        <w:tc>
          <w:tcPr>
            <w:tcW w:w="0" w:type="auto"/>
            <w:shd w:val="clear" w:color="auto" w:fill="auto"/>
            <w:vAlign w:val="center"/>
          </w:tcPr>
          <w:p w14:paraId="64A8B2EE" w14:textId="77777777" w:rsidR="008D6614" w:rsidRDefault="008D6614">
            <w:pPr>
              <w:rPr>
                <w:rFonts w:ascii="宋体"/>
              </w:rPr>
            </w:pPr>
          </w:p>
        </w:tc>
        <w:tc>
          <w:tcPr>
            <w:tcW w:w="0" w:type="auto"/>
            <w:shd w:val="clear" w:color="auto" w:fill="auto"/>
            <w:vAlign w:val="center"/>
          </w:tcPr>
          <w:p w14:paraId="64A8B2EF" w14:textId="77777777" w:rsidR="008D6614" w:rsidRDefault="008D6614">
            <w:pPr>
              <w:rPr>
                <w:rFonts w:ascii="宋体"/>
              </w:rPr>
            </w:pPr>
          </w:p>
        </w:tc>
        <w:tc>
          <w:tcPr>
            <w:tcW w:w="0" w:type="auto"/>
            <w:shd w:val="clear" w:color="auto" w:fill="auto"/>
            <w:vAlign w:val="center"/>
          </w:tcPr>
          <w:p w14:paraId="64A8B2F0" w14:textId="77777777" w:rsidR="008D6614" w:rsidRDefault="008D6614">
            <w:pPr>
              <w:rPr>
                <w:rFonts w:ascii="宋体"/>
              </w:rPr>
            </w:pPr>
          </w:p>
        </w:tc>
        <w:tc>
          <w:tcPr>
            <w:tcW w:w="0" w:type="auto"/>
            <w:shd w:val="clear" w:color="auto" w:fill="auto"/>
            <w:vAlign w:val="center"/>
          </w:tcPr>
          <w:p w14:paraId="64A8B2F1" w14:textId="77777777" w:rsidR="008D6614" w:rsidRDefault="008D6614">
            <w:pPr>
              <w:rPr>
                <w:rFonts w:ascii="宋体"/>
              </w:rPr>
            </w:pPr>
          </w:p>
        </w:tc>
        <w:tc>
          <w:tcPr>
            <w:tcW w:w="0" w:type="auto"/>
            <w:shd w:val="clear" w:color="auto" w:fill="auto"/>
            <w:vAlign w:val="center"/>
          </w:tcPr>
          <w:p w14:paraId="64A8B2F2" w14:textId="77777777" w:rsidR="008D6614" w:rsidRDefault="008D6614">
            <w:pPr>
              <w:rPr>
                <w:rFonts w:ascii="宋体"/>
              </w:rPr>
            </w:pPr>
          </w:p>
        </w:tc>
        <w:tc>
          <w:tcPr>
            <w:tcW w:w="0" w:type="auto"/>
            <w:shd w:val="clear" w:color="auto" w:fill="auto"/>
            <w:vAlign w:val="center"/>
          </w:tcPr>
          <w:p w14:paraId="64A8B2F3" w14:textId="77777777" w:rsidR="008D6614" w:rsidRDefault="008D6614">
            <w:pPr>
              <w:rPr>
                <w:rFonts w:ascii="宋体"/>
              </w:rPr>
            </w:pPr>
          </w:p>
        </w:tc>
      </w:tr>
      <w:tr w:rsidR="008D6614" w14:paraId="64A8B30D" w14:textId="77777777">
        <w:trPr>
          <w:hidden/>
        </w:trPr>
        <w:tc>
          <w:tcPr>
            <w:tcW w:w="0" w:type="auto"/>
            <w:gridSpan w:val="3"/>
            <w:shd w:val="clear" w:color="auto" w:fill="auto"/>
            <w:vAlign w:val="center"/>
          </w:tcPr>
          <w:p w14:paraId="64A8B2F5" w14:textId="77777777" w:rsidR="008D6614" w:rsidRDefault="008D6614">
            <w:pPr>
              <w:rPr>
                <w:rFonts w:ascii="宋体"/>
                <w:vanish/>
              </w:rPr>
            </w:pPr>
          </w:p>
        </w:tc>
        <w:tc>
          <w:tcPr>
            <w:tcW w:w="0" w:type="auto"/>
            <w:gridSpan w:val="3"/>
            <w:shd w:val="clear" w:color="auto" w:fill="auto"/>
            <w:vAlign w:val="center"/>
          </w:tcPr>
          <w:p w14:paraId="64A8B2F6" w14:textId="77777777" w:rsidR="008D6614" w:rsidRDefault="008D6614">
            <w:pPr>
              <w:rPr>
                <w:rFonts w:ascii="宋体"/>
                <w:vanish/>
              </w:rPr>
            </w:pPr>
          </w:p>
        </w:tc>
        <w:tc>
          <w:tcPr>
            <w:tcW w:w="0" w:type="auto"/>
            <w:gridSpan w:val="3"/>
            <w:shd w:val="clear" w:color="auto" w:fill="auto"/>
            <w:vAlign w:val="center"/>
          </w:tcPr>
          <w:p w14:paraId="64A8B2F7" w14:textId="77777777" w:rsidR="008D6614" w:rsidRDefault="008D6614">
            <w:pPr>
              <w:rPr>
                <w:rFonts w:ascii="宋体"/>
                <w:vanish/>
              </w:rPr>
            </w:pPr>
          </w:p>
        </w:tc>
        <w:tc>
          <w:tcPr>
            <w:tcW w:w="0" w:type="auto"/>
            <w:gridSpan w:val="3"/>
            <w:shd w:val="clear" w:color="auto" w:fill="auto"/>
            <w:vAlign w:val="center"/>
          </w:tcPr>
          <w:p w14:paraId="64A8B2F8" w14:textId="77777777" w:rsidR="008D6614" w:rsidRDefault="008D6614">
            <w:pPr>
              <w:rPr>
                <w:rFonts w:ascii="宋体"/>
                <w:vanish/>
              </w:rPr>
            </w:pPr>
          </w:p>
        </w:tc>
        <w:tc>
          <w:tcPr>
            <w:tcW w:w="0" w:type="auto"/>
            <w:gridSpan w:val="3"/>
            <w:shd w:val="clear" w:color="auto" w:fill="auto"/>
            <w:vAlign w:val="center"/>
          </w:tcPr>
          <w:p w14:paraId="64A8B2F9" w14:textId="77777777" w:rsidR="008D6614" w:rsidRDefault="008D6614">
            <w:pPr>
              <w:rPr>
                <w:rFonts w:ascii="宋体"/>
                <w:vanish/>
              </w:rPr>
            </w:pPr>
          </w:p>
        </w:tc>
        <w:tc>
          <w:tcPr>
            <w:tcW w:w="0" w:type="auto"/>
            <w:gridSpan w:val="3"/>
            <w:shd w:val="clear" w:color="auto" w:fill="auto"/>
            <w:vAlign w:val="center"/>
          </w:tcPr>
          <w:p w14:paraId="64A8B2FA" w14:textId="77777777" w:rsidR="008D6614" w:rsidRDefault="008D6614">
            <w:pPr>
              <w:rPr>
                <w:rFonts w:ascii="宋体"/>
                <w:vanish/>
              </w:rPr>
            </w:pPr>
          </w:p>
        </w:tc>
        <w:tc>
          <w:tcPr>
            <w:tcW w:w="0" w:type="auto"/>
            <w:gridSpan w:val="3"/>
            <w:shd w:val="clear" w:color="auto" w:fill="auto"/>
            <w:vAlign w:val="center"/>
          </w:tcPr>
          <w:p w14:paraId="64A8B2FB" w14:textId="77777777" w:rsidR="008D6614" w:rsidRDefault="008D6614">
            <w:pPr>
              <w:rPr>
                <w:rFonts w:ascii="宋体"/>
                <w:vanish/>
              </w:rPr>
            </w:pPr>
          </w:p>
        </w:tc>
        <w:tc>
          <w:tcPr>
            <w:tcW w:w="0" w:type="auto"/>
            <w:gridSpan w:val="3"/>
            <w:shd w:val="clear" w:color="auto" w:fill="auto"/>
            <w:vAlign w:val="center"/>
          </w:tcPr>
          <w:p w14:paraId="64A8B2FC" w14:textId="77777777" w:rsidR="008D6614" w:rsidRDefault="008D6614">
            <w:pPr>
              <w:rPr>
                <w:rFonts w:ascii="宋体"/>
                <w:vanish/>
              </w:rPr>
            </w:pPr>
          </w:p>
        </w:tc>
        <w:tc>
          <w:tcPr>
            <w:tcW w:w="0" w:type="auto"/>
            <w:gridSpan w:val="3"/>
            <w:shd w:val="clear" w:color="auto" w:fill="auto"/>
            <w:vAlign w:val="center"/>
          </w:tcPr>
          <w:p w14:paraId="64A8B2FD" w14:textId="77777777" w:rsidR="008D6614" w:rsidRDefault="008D6614">
            <w:pPr>
              <w:rPr>
                <w:rFonts w:ascii="宋体"/>
                <w:vanish/>
              </w:rPr>
            </w:pPr>
          </w:p>
        </w:tc>
        <w:tc>
          <w:tcPr>
            <w:tcW w:w="0" w:type="auto"/>
            <w:gridSpan w:val="3"/>
            <w:shd w:val="clear" w:color="auto" w:fill="auto"/>
            <w:vAlign w:val="center"/>
          </w:tcPr>
          <w:p w14:paraId="64A8B2FE" w14:textId="77777777" w:rsidR="008D6614" w:rsidRDefault="008D6614">
            <w:pPr>
              <w:rPr>
                <w:rFonts w:ascii="宋体"/>
                <w:vanish/>
              </w:rPr>
            </w:pPr>
          </w:p>
        </w:tc>
        <w:tc>
          <w:tcPr>
            <w:tcW w:w="0" w:type="auto"/>
            <w:gridSpan w:val="3"/>
            <w:shd w:val="clear" w:color="auto" w:fill="auto"/>
            <w:vAlign w:val="center"/>
          </w:tcPr>
          <w:p w14:paraId="64A8B2FF" w14:textId="77777777" w:rsidR="008D6614" w:rsidRDefault="008D6614">
            <w:pPr>
              <w:rPr>
                <w:rFonts w:ascii="宋体"/>
                <w:vanish/>
              </w:rPr>
            </w:pPr>
          </w:p>
        </w:tc>
        <w:tc>
          <w:tcPr>
            <w:tcW w:w="0" w:type="auto"/>
            <w:gridSpan w:val="3"/>
            <w:shd w:val="clear" w:color="auto" w:fill="auto"/>
            <w:vAlign w:val="center"/>
          </w:tcPr>
          <w:p w14:paraId="64A8B300" w14:textId="77777777" w:rsidR="008D6614" w:rsidRDefault="008D6614">
            <w:pPr>
              <w:rPr>
                <w:rFonts w:ascii="宋体"/>
                <w:vanish/>
              </w:rPr>
            </w:pPr>
          </w:p>
        </w:tc>
        <w:tc>
          <w:tcPr>
            <w:tcW w:w="0" w:type="auto"/>
            <w:shd w:val="clear" w:color="auto" w:fill="auto"/>
            <w:vAlign w:val="center"/>
          </w:tcPr>
          <w:p w14:paraId="64A8B301" w14:textId="77777777" w:rsidR="008D6614" w:rsidRDefault="008D6614">
            <w:pPr>
              <w:rPr>
                <w:rFonts w:ascii="宋体"/>
              </w:rPr>
            </w:pPr>
          </w:p>
        </w:tc>
        <w:tc>
          <w:tcPr>
            <w:tcW w:w="0" w:type="auto"/>
            <w:shd w:val="clear" w:color="auto" w:fill="auto"/>
            <w:vAlign w:val="center"/>
          </w:tcPr>
          <w:p w14:paraId="64A8B302" w14:textId="77777777" w:rsidR="008D6614" w:rsidRDefault="008D6614">
            <w:pPr>
              <w:rPr>
                <w:rFonts w:ascii="宋体"/>
              </w:rPr>
            </w:pPr>
          </w:p>
        </w:tc>
        <w:tc>
          <w:tcPr>
            <w:tcW w:w="0" w:type="auto"/>
            <w:shd w:val="clear" w:color="auto" w:fill="auto"/>
            <w:vAlign w:val="center"/>
          </w:tcPr>
          <w:p w14:paraId="64A8B303" w14:textId="77777777" w:rsidR="008D6614" w:rsidRDefault="008D6614">
            <w:pPr>
              <w:rPr>
                <w:rFonts w:ascii="宋体"/>
              </w:rPr>
            </w:pPr>
          </w:p>
        </w:tc>
        <w:tc>
          <w:tcPr>
            <w:tcW w:w="0" w:type="auto"/>
            <w:shd w:val="clear" w:color="auto" w:fill="auto"/>
            <w:vAlign w:val="center"/>
          </w:tcPr>
          <w:p w14:paraId="64A8B304" w14:textId="77777777" w:rsidR="008D6614" w:rsidRDefault="008D6614">
            <w:pPr>
              <w:rPr>
                <w:rFonts w:ascii="宋体"/>
              </w:rPr>
            </w:pPr>
          </w:p>
        </w:tc>
        <w:tc>
          <w:tcPr>
            <w:tcW w:w="0" w:type="auto"/>
            <w:shd w:val="clear" w:color="auto" w:fill="auto"/>
            <w:vAlign w:val="center"/>
          </w:tcPr>
          <w:p w14:paraId="64A8B305" w14:textId="77777777" w:rsidR="008D6614" w:rsidRDefault="008D6614">
            <w:pPr>
              <w:rPr>
                <w:rFonts w:ascii="宋体"/>
              </w:rPr>
            </w:pPr>
          </w:p>
        </w:tc>
        <w:tc>
          <w:tcPr>
            <w:tcW w:w="0" w:type="auto"/>
            <w:shd w:val="clear" w:color="auto" w:fill="auto"/>
            <w:vAlign w:val="center"/>
          </w:tcPr>
          <w:p w14:paraId="64A8B306" w14:textId="77777777" w:rsidR="008D6614" w:rsidRDefault="008D6614">
            <w:pPr>
              <w:rPr>
                <w:rFonts w:ascii="宋体"/>
              </w:rPr>
            </w:pPr>
          </w:p>
        </w:tc>
        <w:tc>
          <w:tcPr>
            <w:tcW w:w="0" w:type="auto"/>
            <w:shd w:val="clear" w:color="auto" w:fill="auto"/>
            <w:vAlign w:val="center"/>
          </w:tcPr>
          <w:p w14:paraId="64A8B307" w14:textId="77777777" w:rsidR="008D6614" w:rsidRDefault="008D6614">
            <w:pPr>
              <w:rPr>
                <w:rFonts w:ascii="宋体"/>
              </w:rPr>
            </w:pPr>
          </w:p>
        </w:tc>
        <w:tc>
          <w:tcPr>
            <w:tcW w:w="0" w:type="auto"/>
            <w:shd w:val="clear" w:color="auto" w:fill="auto"/>
            <w:vAlign w:val="center"/>
          </w:tcPr>
          <w:p w14:paraId="64A8B308" w14:textId="77777777" w:rsidR="008D6614" w:rsidRDefault="008D6614">
            <w:pPr>
              <w:rPr>
                <w:rFonts w:ascii="宋体"/>
              </w:rPr>
            </w:pPr>
          </w:p>
        </w:tc>
        <w:tc>
          <w:tcPr>
            <w:tcW w:w="0" w:type="auto"/>
            <w:shd w:val="clear" w:color="auto" w:fill="auto"/>
            <w:vAlign w:val="center"/>
          </w:tcPr>
          <w:p w14:paraId="64A8B309" w14:textId="77777777" w:rsidR="008D6614" w:rsidRDefault="008D6614">
            <w:pPr>
              <w:rPr>
                <w:rFonts w:ascii="宋体"/>
              </w:rPr>
            </w:pPr>
          </w:p>
        </w:tc>
        <w:tc>
          <w:tcPr>
            <w:tcW w:w="0" w:type="auto"/>
            <w:shd w:val="clear" w:color="auto" w:fill="auto"/>
            <w:vAlign w:val="center"/>
          </w:tcPr>
          <w:p w14:paraId="64A8B30A" w14:textId="77777777" w:rsidR="008D6614" w:rsidRDefault="008D6614">
            <w:pPr>
              <w:rPr>
                <w:rFonts w:ascii="宋体"/>
              </w:rPr>
            </w:pPr>
          </w:p>
        </w:tc>
        <w:tc>
          <w:tcPr>
            <w:tcW w:w="0" w:type="auto"/>
            <w:shd w:val="clear" w:color="auto" w:fill="auto"/>
            <w:vAlign w:val="center"/>
          </w:tcPr>
          <w:p w14:paraId="64A8B30B" w14:textId="77777777" w:rsidR="008D6614" w:rsidRDefault="008D6614">
            <w:pPr>
              <w:rPr>
                <w:rFonts w:ascii="宋体"/>
              </w:rPr>
            </w:pPr>
          </w:p>
        </w:tc>
        <w:tc>
          <w:tcPr>
            <w:tcW w:w="0" w:type="auto"/>
            <w:shd w:val="clear" w:color="auto" w:fill="auto"/>
            <w:vAlign w:val="center"/>
          </w:tcPr>
          <w:p w14:paraId="64A8B30C" w14:textId="77777777" w:rsidR="008D6614" w:rsidRDefault="008D6614">
            <w:pPr>
              <w:rPr>
                <w:rFonts w:ascii="宋体"/>
              </w:rPr>
            </w:pPr>
          </w:p>
        </w:tc>
      </w:tr>
      <w:tr w:rsidR="008D6614" w14:paraId="64A8B326" w14:textId="77777777">
        <w:trPr>
          <w:trHeight w:val="300"/>
        </w:trPr>
        <w:tc>
          <w:tcPr>
            <w:tcW w:w="0" w:type="auto"/>
            <w:gridSpan w:val="3"/>
            <w:shd w:val="clear" w:color="auto" w:fill="E2E2E2"/>
            <w:tcMar>
              <w:left w:w="20" w:type="dxa"/>
              <w:right w:w="20" w:type="dxa"/>
            </w:tcMar>
            <w:vAlign w:val="bottom"/>
          </w:tcPr>
          <w:p w14:paraId="64A8B30E"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0F"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10"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11"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12"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13"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1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1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1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1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1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19" w14:textId="77777777" w:rsidR="008D6614" w:rsidRDefault="008D6614">
            <w:pPr>
              <w:rPr>
                <w:rFonts w:ascii="宋体"/>
              </w:rPr>
            </w:pPr>
          </w:p>
        </w:tc>
        <w:tc>
          <w:tcPr>
            <w:tcW w:w="0" w:type="auto"/>
            <w:shd w:val="clear" w:color="auto" w:fill="auto"/>
            <w:vAlign w:val="center"/>
          </w:tcPr>
          <w:p w14:paraId="64A8B31A" w14:textId="77777777" w:rsidR="008D6614" w:rsidRDefault="008D6614">
            <w:pPr>
              <w:rPr>
                <w:rFonts w:ascii="宋体"/>
              </w:rPr>
            </w:pPr>
          </w:p>
        </w:tc>
        <w:tc>
          <w:tcPr>
            <w:tcW w:w="0" w:type="auto"/>
            <w:shd w:val="clear" w:color="auto" w:fill="auto"/>
            <w:vAlign w:val="center"/>
          </w:tcPr>
          <w:p w14:paraId="64A8B31B" w14:textId="77777777" w:rsidR="008D6614" w:rsidRDefault="008D6614">
            <w:pPr>
              <w:rPr>
                <w:rFonts w:ascii="宋体"/>
              </w:rPr>
            </w:pPr>
          </w:p>
        </w:tc>
        <w:tc>
          <w:tcPr>
            <w:tcW w:w="0" w:type="auto"/>
            <w:shd w:val="clear" w:color="auto" w:fill="auto"/>
            <w:vAlign w:val="center"/>
          </w:tcPr>
          <w:p w14:paraId="64A8B31C" w14:textId="77777777" w:rsidR="008D6614" w:rsidRDefault="008D6614">
            <w:pPr>
              <w:rPr>
                <w:rFonts w:ascii="宋体"/>
              </w:rPr>
            </w:pPr>
          </w:p>
        </w:tc>
        <w:tc>
          <w:tcPr>
            <w:tcW w:w="0" w:type="auto"/>
            <w:shd w:val="clear" w:color="auto" w:fill="auto"/>
            <w:vAlign w:val="center"/>
          </w:tcPr>
          <w:p w14:paraId="64A8B31D" w14:textId="77777777" w:rsidR="008D6614" w:rsidRDefault="008D6614">
            <w:pPr>
              <w:rPr>
                <w:rFonts w:ascii="宋体"/>
              </w:rPr>
            </w:pPr>
          </w:p>
        </w:tc>
        <w:tc>
          <w:tcPr>
            <w:tcW w:w="0" w:type="auto"/>
            <w:shd w:val="clear" w:color="auto" w:fill="auto"/>
            <w:vAlign w:val="center"/>
          </w:tcPr>
          <w:p w14:paraId="64A8B31E" w14:textId="77777777" w:rsidR="008D6614" w:rsidRDefault="008D6614">
            <w:pPr>
              <w:rPr>
                <w:rFonts w:ascii="宋体"/>
              </w:rPr>
            </w:pPr>
          </w:p>
        </w:tc>
        <w:tc>
          <w:tcPr>
            <w:tcW w:w="0" w:type="auto"/>
            <w:shd w:val="clear" w:color="auto" w:fill="auto"/>
            <w:vAlign w:val="center"/>
          </w:tcPr>
          <w:p w14:paraId="64A8B31F" w14:textId="77777777" w:rsidR="008D6614" w:rsidRDefault="008D6614">
            <w:pPr>
              <w:rPr>
                <w:rFonts w:ascii="宋体"/>
              </w:rPr>
            </w:pPr>
          </w:p>
        </w:tc>
        <w:tc>
          <w:tcPr>
            <w:tcW w:w="0" w:type="auto"/>
            <w:shd w:val="clear" w:color="auto" w:fill="auto"/>
            <w:vAlign w:val="center"/>
          </w:tcPr>
          <w:p w14:paraId="64A8B320" w14:textId="77777777" w:rsidR="008D6614" w:rsidRDefault="008D6614">
            <w:pPr>
              <w:rPr>
                <w:rFonts w:ascii="宋体"/>
              </w:rPr>
            </w:pPr>
          </w:p>
        </w:tc>
        <w:tc>
          <w:tcPr>
            <w:tcW w:w="0" w:type="auto"/>
            <w:shd w:val="clear" w:color="auto" w:fill="auto"/>
            <w:vAlign w:val="center"/>
          </w:tcPr>
          <w:p w14:paraId="64A8B321" w14:textId="77777777" w:rsidR="008D6614" w:rsidRDefault="008D6614">
            <w:pPr>
              <w:rPr>
                <w:rFonts w:ascii="宋体"/>
              </w:rPr>
            </w:pPr>
          </w:p>
        </w:tc>
        <w:tc>
          <w:tcPr>
            <w:tcW w:w="0" w:type="auto"/>
            <w:shd w:val="clear" w:color="auto" w:fill="auto"/>
            <w:vAlign w:val="center"/>
          </w:tcPr>
          <w:p w14:paraId="64A8B322" w14:textId="77777777" w:rsidR="008D6614" w:rsidRDefault="008D6614">
            <w:pPr>
              <w:rPr>
                <w:rFonts w:ascii="宋体"/>
              </w:rPr>
            </w:pPr>
          </w:p>
        </w:tc>
        <w:tc>
          <w:tcPr>
            <w:tcW w:w="0" w:type="auto"/>
            <w:shd w:val="clear" w:color="auto" w:fill="auto"/>
            <w:vAlign w:val="center"/>
          </w:tcPr>
          <w:p w14:paraId="64A8B323" w14:textId="77777777" w:rsidR="008D6614" w:rsidRDefault="008D6614">
            <w:pPr>
              <w:rPr>
                <w:rFonts w:ascii="宋体"/>
              </w:rPr>
            </w:pPr>
          </w:p>
        </w:tc>
        <w:tc>
          <w:tcPr>
            <w:tcW w:w="0" w:type="auto"/>
            <w:shd w:val="clear" w:color="auto" w:fill="auto"/>
            <w:vAlign w:val="center"/>
          </w:tcPr>
          <w:p w14:paraId="64A8B324" w14:textId="77777777" w:rsidR="008D6614" w:rsidRDefault="008D6614">
            <w:pPr>
              <w:rPr>
                <w:rFonts w:ascii="宋体"/>
              </w:rPr>
            </w:pPr>
          </w:p>
        </w:tc>
        <w:tc>
          <w:tcPr>
            <w:tcW w:w="0" w:type="auto"/>
            <w:shd w:val="clear" w:color="auto" w:fill="auto"/>
            <w:vAlign w:val="center"/>
          </w:tcPr>
          <w:p w14:paraId="64A8B325" w14:textId="77777777" w:rsidR="008D6614" w:rsidRDefault="008D6614">
            <w:pPr>
              <w:rPr>
                <w:rFonts w:ascii="宋体"/>
              </w:rPr>
            </w:pPr>
          </w:p>
        </w:tc>
      </w:tr>
      <w:tr w:rsidR="008D6614" w14:paraId="64A8B33F" w14:textId="77777777">
        <w:tc>
          <w:tcPr>
            <w:tcW w:w="0" w:type="auto"/>
            <w:gridSpan w:val="3"/>
            <w:shd w:val="clear" w:color="auto" w:fill="FFFFFF"/>
            <w:tcMar>
              <w:top w:w="40" w:type="dxa"/>
              <w:left w:w="20" w:type="dxa"/>
              <w:bottom w:w="40" w:type="dxa"/>
              <w:right w:w="20" w:type="dxa"/>
            </w:tcMar>
            <w:vAlign w:val="bottom"/>
          </w:tcPr>
          <w:p w14:paraId="64A8B327" w14:textId="77777777" w:rsidR="008D6614" w:rsidRDefault="00866AF2">
            <w:pPr>
              <w:textAlignment w:val="bottom"/>
            </w:pPr>
            <w:r>
              <w:rPr>
                <w:rFonts w:ascii="Arial" w:eastAsia="宋体" w:hAnsi="Arial" w:cs="Arial"/>
                <w:b/>
                <w:bCs/>
                <w:color w:val="000000"/>
                <w:sz w:val="16"/>
                <w:szCs w:val="16"/>
              </w:rPr>
              <w:t>Net Revenues</w:t>
            </w:r>
          </w:p>
        </w:tc>
        <w:tc>
          <w:tcPr>
            <w:tcW w:w="0" w:type="auto"/>
            <w:gridSpan w:val="3"/>
            <w:shd w:val="clear" w:color="auto" w:fill="FFFFFF"/>
            <w:tcMar>
              <w:left w:w="20" w:type="dxa"/>
              <w:right w:w="20" w:type="dxa"/>
            </w:tcMar>
            <w:vAlign w:val="bottom"/>
          </w:tcPr>
          <w:p w14:paraId="64A8B328"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329"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32A"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32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32C"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32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32E"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32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330"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331"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332" w14:textId="77777777" w:rsidR="008D6614" w:rsidRDefault="008D6614">
            <w:pPr>
              <w:rPr>
                <w:rFonts w:ascii="宋体"/>
              </w:rPr>
            </w:pPr>
          </w:p>
        </w:tc>
        <w:tc>
          <w:tcPr>
            <w:tcW w:w="0" w:type="auto"/>
            <w:shd w:val="clear" w:color="auto" w:fill="auto"/>
            <w:vAlign w:val="center"/>
          </w:tcPr>
          <w:p w14:paraId="64A8B333" w14:textId="77777777" w:rsidR="008D6614" w:rsidRDefault="008D6614">
            <w:pPr>
              <w:rPr>
                <w:rFonts w:ascii="宋体"/>
              </w:rPr>
            </w:pPr>
          </w:p>
        </w:tc>
        <w:tc>
          <w:tcPr>
            <w:tcW w:w="0" w:type="auto"/>
            <w:shd w:val="clear" w:color="auto" w:fill="auto"/>
            <w:vAlign w:val="center"/>
          </w:tcPr>
          <w:p w14:paraId="64A8B334" w14:textId="77777777" w:rsidR="008D6614" w:rsidRDefault="008D6614">
            <w:pPr>
              <w:rPr>
                <w:rFonts w:ascii="宋体"/>
              </w:rPr>
            </w:pPr>
          </w:p>
        </w:tc>
        <w:tc>
          <w:tcPr>
            <w:tcW w:w="0" w:type="auto"/>
            <w:shd w:val="clear" w:color="auto" w:fill="auto"/>
            <w:vAlign w:val="center"/>
          </w:tcPr>
          <w:p w14:paraId="64A8B335" w14:textId="77777777" w:rsidR="008D6614" w:rsidRDefault="008D6614">
            <w:pPr>
              <w:rPr>
                <w:rFonts w:ascii="宋体"/>
              </w:rPr>
            </w:pPr>
          </w:p>
        </w:tc>
        <w:tc>
          <w:tcPr>
            <w:tcW w:w="0" w:type="auto"/>
            <w:shd w:val="clear" w:color="auto" w:fill="auto"/>
            <w:vAlign w:val="center"/>
          </w:tcPr>
          <w:p w14:paraId="64A8B336" w14:textId="77777777" w:rsidR="008D6614" w:rsidRDefault="008D6614">
            <w:pPr>
              <w:rPr>
                <w:rFonts w:ascii="宋体"/>
              </w:rPr>
            </w:pPr>
          </w:p>
        </w:tc>
        <w:tc>
          <w:tcPr>
            <w:tcW w:w="0" w:type="auto"/>
            <w:shd w:val="clear" w:color="auto" w:fill="auto"/>
            <w:vAlign w:val="center"/>
          </w:tcPr>
          <w:p w14:paraId="64A8B337" w14:textId="77777777" w:rsidR="008D6614" w:rsidRDefault="008D6614">
            <w:pPr>
              <w:rPr>
                <w:rFonts w:ascii="宋体"/>
              </w:rPr>
            </w:pPr>
          </w:p>
        </w:tc>
        <w:tc>
          <w:tcPr>
            <w:tcW w:w="0" w:type="auto"/>
            <w:shd w:val="clear" w:color="auto" w:fill="auto"/>
            <w:vAlign w:val="center"/>
          </w:tcPr>
          <w:p w14:paraId="64A8B338" w14:textId="77777777" w:rsidR="008D6614" w:rsidRDefault="008D6614">
            <w:pPr>
              <w:rPr>
                <w:rFonts w:ascii="宋体"/>
              </w:rPr>
            </w:pPr>
          </w:p>
        </w:tc>
        <w:tc>
          <w:tcPr>
            <w:tcW w:w="0" w:type="auto"/>
            <w:shd w:val="clear" w:color="auto" w:fill="auto"/>
            <w:vAlign w:val="center"/>
          </w:tcPr>
          <w:p w14:paraId="64A8B339" w14:textId="77777777" w:rsidR="008D6614" w:rsidRDefault="008D6614">
            <w:pPr>
              <w:rPr>
                <w:rFonts w:ascii="宋体"/>
              </w:rPr>
            </w:pPr>
          </w:p>
        </w:tc>
        <w:tc>
          <w:tcPr>
            <w:tcW w:w="0" w:type="auto"/>
            <w:shd w:val="clear" w:color="auto" w:fill="auto"/>
            <w:vAlign w:val="center"/>
          </w:tcPr>
          <w:p w14:paraId="64A8B33A" w14:textId="77777777" w:rsidR="008D6614" w:rsidRDefault="008D6614">
            <w:pPr>
              <w:rPr>
                <w:rFonts w:ascii="宋体"/>
              </w:rPr>
            </w:pPr>
          </w:p>
        </w:tc>
        <w:tc>
          <w:tcPr>
            <w:tcW w:w="0" w:type="auto"/>
            <w:shd w:val="clear" w:color="auto" w:fill="auto"/>
            <w:vAlign w:val="center"/>
          </w:tcPr>
          <w:p w14:paraId="64A8B33B" w14:textId="77777777" w:rsidR="008D6614" w:rsidRDefault="008D6614">
            <w:pPr>
              <w:rPr>
                <w:rFonts w:ascii="宋体"/>
              </w:rPr>
            </w:pPr>
          </w:p>
        </w:tc>
        <w:tc>
          <w:tcPr>
            <w:tcW w:w="0" w:type="auto"/>
            <w:shd w:val="clear" w:color="auto" w:fill="auto"/>
            <w:vAlign w:val="center"/>
          </w:tcPr>
          <w:p w14:paraId="64A8B33C" w14:textId="77777777" w:rsidR="008D6614" w:rsidRDefault="008D6614">
            <w:pPr>
              <w:rPr>
                <w:rFonts w:ascii="宋体"/>
              </w:rPr>
            </w:pPr>
          </w:p>
        </w:tc>
        <w:tc>
          <w:tcPr>
            <w:tcW w:w="0" w:type="auto"/>
            <w:shd w:val="clear" w:color="auto" w:fill="auto"/>
            <w:vAlign w:val="center"/>
          </w:tcPr>
          <w:p w14:paraId="64A8B33D" w14:textId="77777777" w:rsidR="008D6614" w:rsidRDefault="008D6614">
            <w:pPr>
              <w:rPr>
                <w:rFonts w:ascii="宋体"/>
              </w:rPr>
            </w:pPr>
          </w:p>
        </w:tc>
        <w:tc>
          <w:tcPr>
            <w:tcW w:w="0" w:type="auto"/>
            <w:shd w:val="clear" w:color="auto" w:fill="auto"/>
            <w:vAlign w:val="center"/>
          </w:tcPr>
          <w:p w14:paraId="64A8B33E" w14:textId="77777777" w:rsidR="008D6614" w:rsidRDefault="008D6614">
            <w:pPr>
              <w:rPr>
                <w:rFonts w:ascii="宋体"/>
              </w:rPr>
            </w:pPr>
          </w:p>
        </w:tc>
      </w:tr>
      <w:tr w:rsidR="008D6614" w14:paraId="64A8B358" w14:textId="77777777">
        <w:tc>
          <w:tcPr>
            <w:tcW w:w="0" w:type="auto"/>
            <w:gridSpan w:val="3"/>
            <w:shd w:val="clear" w:color="auto" w:fill="E2E2E2"/>
            <w:tcMar>
              <w:top w:w="40" w:type="dxa"/>
              <w:left w:w="20" w:type="dxa"/>
              <w:bottom w:w="40" w:type="dxa"/>
              <w:right w:w="20" w:type="dxa"/>
            </w:tcMar>
            <w:vAlign w:val="bottom"/>
          </w:tcPr>
          <w:p w14:paraId="64A8B340" w14:textId="77777777" w:rsidR="008D6614" w:rsidRDefault="00866AF2">
            <w:pPr>
              <w:textAlignment w:val="bottom"/>
            </w:pPr>
            <w:r>
              <w:rPr>
                <w:rFonts w:ascii="Arial" w:eastAsia="宋体" w:hAnsi="Arial" w:cs="Arial"/>
                <w:color w:val="000000"/>
                <w:sz w:val="16"/>
                <w:szCs w:val="16"/>
              </w:rPr>
              <w:t>Net transaction revenues:</w:t>
            </w:r>
          </w:p>
        </w:tc>
        <w:tc>
          <w:tcPr>
            <w:tcW w:w="0" w:type="auto"/>
            <w:gridSpan w:val="3"/>
            <w:shd w:val="clear" w:color="auto" w:fill="E2E2E2"/>
            <w:tcMar>
              <w:left w:w="20" w:type="dxa"/>
              <w:right w:w="20" w:type="dxa"/>
            </w:tcMar>
            <w:vAlign w:val="bottom"/>
          </w:tcPr>
          <w:p w14:paraId="64A8B341"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42"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43"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4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4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4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4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4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49"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4A"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4B" w14:textId="77777777" w:rsidR="008D6614" w:rsidRDefault="008D6614">
            <w:pPr>
              <w:rPr>
                <w:rFonts w:ascii="宋体"/>
              </w:rPr>
            </w:pPr>
          </w:p>
        </w:tc>
        <w:tc>
          <w:tcPr>
            <w:tcW w:w="0" w:type="auto"/>
            <w:shd w:val="clear" w:color="auto" w:fill="auto"/>
            <w:vAlign w:val="center"/>
          </w:tcPr>
          <w:p w14:paraId="64A8B34C" w14:textId="77777777" w:rsidR="008D6614" w:rsidRDefault="008D6614">
            <w:pPr>
              <w:rPr>
                <w:rFonts w:ascii="宋体"/>
              </w:rPr>
            </w:pPr>
          </w:p>
        </w:tc>
        <w:tc>
          <w:tcPr>
            <w:tcW w:w="0" w:type="auto"/>
            <w:shd w:val="clear" w:color="auto" w:fill="auto"/>
            <w:vAlign w:val="center"/>
          </w:tcPr>
          <w:p w14:paraId="64A8B34D" w14:textId="77777777" w:rsidR="008D6614" w:rsidRDefault="008D6614">
            <w:pPr>
              <w:rPr>
                <w:rFonts w:ascii="宋体"/>
              </w:rPr>
            </w:pPr>
          </w:p>
        </w:tc>
        <w:tc>
          <w:tcPr>
            <w:tcW w:w="0" w:type="auto"/>
            <w:shd w:val="clear" w:color="auto" w:fill="auto"/>
            <w:vAlign w:val="center"/>
          </w:tcPr>
          <w:p w14:paraId="64A8B34E" w14:textId="77777777" w:rsidR="008D6614" w:rsidRDefault="008D6614">
            <w:pPr>
              <w:rPr>
                <w:rFonts w:ascii="宋体"/>
              </w:rPr>
            </w:pPr>
          </w:p>
        </w:tc>
        <w:tc>
          <w:tcPr>
            <w:tcW w:w="0" w:type="auto"/>
            <w:shd w:val="clear" w:color="auto" w:fill="auto"/>
            <w:vAlign w:val="center"/>
          </w:tcPr>
          <w:p w14:paraId="64A8B34F" w14:textId="77777777" w:rsidR="008D6614" w:rsidRDefault="008D6614">
            <w:pPr>
              <w:rPr>
                <w:rFonts w:ascii="宋体"/>
              </w:rPr>
            </w:pPr>
          </w:p>
        </w:tc>
        <w:tc>
          <w:tcPr>
            <w:tcW w:w="0" w:type="auto"/>
            <w:shd w:val="clear" w:color="auto" w:fill="auto"/>
            <w:vAlign w:val="center"/>
          </w:tcPr>
          <w:p w14:paraId="64A8B350" w14:textId="77777777" w:rsidR="008D6614" w:rsidRDefault="008D6614">
            <w:pPr>
              <w:rPr>
                <w:rFonts w:ascii="宋体"/>
              </w:rPr>
            </w:pPr>
          </w:p>
        </w:tc>
        <w:tc>
          <w:tcPr>
            <w:tcW w:w="0" w:type="auto"/>
            <w:shd w:val="clear" w:color="auto" w:fill="auto"/>
            <w:vAlign w:val="center"/>
          </w:tcPr>
          <w:p w14:paraId="64A8B351" w14:textId="77777777" w:rsidR="008D6614" w:rsidRDefault="008D6614">
            <w:pPr>
              <w:rPr>
                <w:rFonts w:ascii="宋体"/>
              </w:rPr>
            </w:pPr>
          </w:p>
        </w:tc>
        <w:tc>
          <w:tcPr>
            <w:tcW w:w="0" w:type="auto"/>
            <w:shd w:val="clear" w:color="auto" w:fill="auto"/>
            <w:vAlign w:val="center"/>
          </w:tcPr>
          <w:p w14:paraId="64A8B352" w14:textId="77777777" w:rsidR="008D6614" w:rsidRDefault="008D6614">
            <w:pPr>
              <w:rPr>
                <w:rFonts w:ascii="宋体"/>
              </w:rPr>
            </w:pPr>
          </w:p>
        </w:tc>
        <w:tc>
          <w:tcPr>
            <w:tcW w:w="0" w:type="auto"/>
            <w:shd w:val="clear" w:color="auto" w:fill="auto"/>
            <w:vAlign w:val="center"/>
          </w:tcPr>
          <w:p w14:paraId="64A8B353" w14:textId="77777777" w:rsidR="008D6614" w:rsidRDefault="008D6614">
            <w:pPr>
              <w:rPr>
                <w:rFonts w:ascii="宋体"/>
              </w:rPr>
            </w:pPr>
          </w:p>
        </w:tc>
        <w:tc>
          <w:tcPr>
            <w:tcW w:w="0" w:type="auto"/>
            <w:shd w:val="clear" w:color="auto" w:fill="auto"/>
            <w:vAlign w:val="center"/>
          </w:tcPr>
          <w:p w14:paraId="64A8B354" w14:textId="77777777" w:rsidR="008D6614" w:rsidRDefault="008D6614">
            <w:pPr>
              <w:rPr>
                <w:rFonts w:ascii="宋体"/>
              </w:rPr>
            </w:pPr>
          </w:p>
        </w:tc>
        <w:tc>
          <w:tcPr>
            <w:tcW w:w="0" w:type="auto"/>
            <w:shd w:val="clear" w:color="auto" w:fill="auto"/>
            <w:vAlign w:val="center"/>
          </w:tcPr>
          <w:p w14:paraId="64A8B355" w14:textId="77777777" w:rsidR="008D6614" w:rsidRDefault="008D6614">
            <w:pPr>
              <w:rPr>
                <w:rFonts w:ascii="宋体"/>
              </w:rPr>
            </w:pPr>
          </w:p>
        </w:tc>
        <w:tc>
          <w:tcPr>
            <w:tcW w:w="0" w:type="auto"/>
            <w:shd w:val="clear" w:color="auto" w:fill="auto"/>
            <w:vAlign w:val="center"/>
          </w:tcPr>
          <w:p w14:paraId="64A8B356" w14:textId="77777777" w:rsidR="008D6614" w:rsidRDefault="008D6614">
            <w:pPr>
              <w:rPr>
                <w:rFonts w:ascii="宋体"/>
              </w:rPr>
            </w:pPr>
          </w:p>
        </w:tc>
        <w:tc>
          <w:tcPr>
            <w:tcW w:w="0" w:type="auto"/>
            <w:shd w:val="clear" w:color="auto" w:fill="auto"/>
            <w:vAlign w:val="center"/>
          </w:tcPr>
          <w:p w14:paraId="64A8B357" w14:textId="77777777" w:rsidR="008D6614" w:rsidRDefault="008D6614">
            <w:pPr>
              <w:rPr>
                <w:rFonts w:ascii="宋体"/>
              </w:rPr>
            </w:pPr>
          </w:p>
        </w:tc>
      </w:tr>
      <w:tr w:rsidR="008D6614" w14:paraId="64A8B37B" w14:textId="77777777">
        <w:tc>
          <w:tcPr>
            <w:tcW w:w="0" w:type="auto"/>
            <w:gridSpan w:val="3"/>
            <w:shd w:val="clear" w:color="auto" w:fill="FFFFFF"/>
            <w:tcMar>
              <w:top w:w="40" w:type="dxa"/>
              <w:left w:w="135" w:type="dxa"/>
              <w:bottom w:w="40" w:type="dxa"/>
              <w:right w:w="20" w:type="dxa"/>
            </w:tcMar>
            <w:vAlign w:val="bottom"/>
          </w:tcPr>
          <w:p w14:paraId="64A8B359" w14:textId="77777777" w:rsidR="008D6614" w:rsidRDefault="00866AF2">
            <w:pPr>
              <w:textAlignment w:val="bottom"/>
            </w:pPr>
            <w:r>
              <w:rPr>
                <w:rFonts w:ascii="Arial" w:eastAsia="宋体" w:hAnsi="Arial" w:cs="Arial"/>
                <w:color w:val="000000"/>
                <w:sz w:val="16"/>
                <w:szCs w:val="16"/>
              </w:rPr>
              <w:t>Marketplace</w:t>
            </w:r>
          </w:p>
        </w:tc>
        <w:tc>
          <w:tcPr>
            <w:tcW w:w="0" w:type="auto"/>
            <w:shd w:val="clear" w:color="auto" w:fill="FFFFFF"/>
            <w:tcMar>
              <w:top w:w="40" w:type="dxa"/>
              <w:left w:w="20" w:type="dxa"/>
              <w:bottom w:w="40" w:type="dxa"/>
            </w:tcMar>
            <w:vAlign w:val="bottom"/>
          </w:tcPr>
          <w:p w14:paraId="64A8B35A"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B35B" w14:textId="77777777" w:rsidR="008D6614" w:rsidRDefault="00866AF2">
            <w:pPr>
              <w:jc w:val="right"/>
              <w:textAlignment w:val="bottom"/>
            </w:pPr>
            <w:r>
              <w:rPr>
                <w:rFonts w:ascii="Arial" w:eastAsia="宋体" w:hAnsi="Arial" w:cs="Arial"/>
                <w:color w:val="000000"/>
                <w:sz w:val="16"/>
                <w:szCs w:val="16"/>
              </w:rPr>
              <w:t>1,900 </w:t>
            </w:r>
          </w:p>
        </w:tc>
        <w:tc>
          <w:tcPr>
            <w:tcW w:w="0" w:type="auto"/>
            <w:shd w:val="clear" w:color="auto" w:fill="FFFFFF"/>
            <w:tcMar>
              <w:top w:w="40" w:type="dxa"/>
              <w:bottom w:w="40" w:type="dxa"/>
              <w:right w:w="20" w:type="dxa"/>
            </w:tcMar>
            <w:vAlign w:val="bottom"/>
          </w:tcPr>
          <w:p w14:paraId="64A8B35C"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35D"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35E"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B35F" w14:textId="77777777" w:rsidR="008D6614" w:rsidRDefault="00866AF2">
            <w:pPr>
              <w:jc w:val="right"/>
              <w:textAlignment w:val="bottom"/>
            </w:pPr>
            <w:r>
              <w:rPr>
                <w:rFonts w:ascii="Arial" w:eastAsia="宋体" w:hAnsi="Arial" w:cs="Arial"/>
                <w:color w:val="000000"/>
                <w:sz w:val="16"/>
                <w:szCs w:val="16"/>
              </w:rPr>
              <w:t>(30)</w:t>
            </w:r>
          </w:p>
        </w:tc>
        <w:tc>
          <w:tcPr>
            <w:tcW w:w="0" w:type="auto"/>
            <w:shd w:val="clear" w:color="auto" w:fill="FFFFFF"/>
            <w:tcMar>
              <w:top w:w="40" w:type="dxa"/>
              <w:bottom w:w="40" w:type="dxa"/>
              <w:right w:w="20" w:type="dxa"/>
            </w:tcMar>
            <w:vAlign w:val="bottom"/>
          </w:tcPr>
          <w:p w14:paraId="64A8B36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361"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362"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B363" w14:textId="77777777" w:rsidR="008D6614" w:rsidRDefault="00866AF2">
            <w:pPr>
              <w:jc w:val="right"/>
              <w:textAlignment w:val="bottom"/>
            </w:pPr>
            <w:r>
              <w:rPr>
                <w:rFonts w:ascii="Arial" w:eastAsia="宋体" w:hAnsi="Arial" w:cs="Arial"/>
                <w:color w:val="000000"/>
                <w:sz w:val="16"/>
                <w:szCs w:val="16"/>
              </w:rPr>
              <w:t>1,930 </w:t>
            </w:r>
          </w:p>
        </w:tc>
        <w:tc>
          <w:tcPr>
            <w:tcW w:w="0" w:type="auto"/>
            <w:shd w:val="clear" w:color="auto" w:fill="FFFFFF"/>
            <w:tcMar>
              <w:top w:w="40" w:type="dxa"/>
              <w:bottom w:w="40" w:type="dxa"/>
              <w:right w:w="20" w:type="dxa"/>
            </w:tcMar>
            <w:vAlign w:val="bottom"/>
          </w:tcPr>
          <w:p w14:paraId="64A8B364"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365"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366" w14:textId="77777777" w:rsidR="008D6614" w:rsidRDefault="00866AF2">
            <w:pPr>
              <w:textAlignment w:val="bottom"/>
            </w:pPr>
            <w:r>
              <w:rPr>
                <w:rFonts w:ascii="Arial" w:eastAsia="宋体" w:hAnsi="Arial" w:cs="Arial"/>
                <w:color w:val="000000"/>
                <w:sz w:val="16"/>
                <w:szCs w:val="16"/>
              </w:rPr>
              <w:t>$</w:t>
            </w:r>
          </w:p>
        </w:tc>
        <w:tc>
          <w:tcPr>
            <w:tcW w:w="0" w:type="auto"/>
            <w:shd w:val="clear" w:color="auto" w:fill="FFFFFF"/>
            <w:tcMar>
              <w:top w:w="40" w:type="dxa"/>
              <w:bottom w:w="40" w:type="dxa"/>
              <w:right w:w="0" w:type="dxa"/>
            </w:tcMar>
            <w:vAlign w:val="bottom"/>
          </w:tcPr>
          <w:p w14:paraId="64A8B367" w14:textId="77777777" w:rsidR="008D6614" w:rsidRDefault="00866AF2">
            <w:pPr>
              <w:jc w:val="right"/>
              <w:textAlignment w:val="bottom"/>
            </w:pPr>
            <w:r>
              <w:rPr>
                <w:rFonts w:ascii="Arial" w:eastAsia="宋体" w:hAnsi="Arial" w:cs="Arial"/>
                <w:color w:val="000000"/>
                <w:sz w:val="16"/>
                <w:szCs w:val="16"/>
              </w:rPr>
              <w:t>1,885 </w:t>
            </w:r>
          </w:p>
        </w:tc>
        <w:tc>
          <w:tcPr>
            <w:tcW w:w="0" w:type="auto"/>
            <w:shd w:val="clear" w:color="auto" w:fill="FFFFFF"/>
            <w:tcMar>
              <w:top w:w="40" w:type="dxa"/>
              <w:bottom w:w="40" w:type="dxa"/>
              <w:right w:w="20" w:type="dxa"/>
            </w:tcMar>
            <w:vAlign w:val="bottom"/>
          </w:tcPr>
          <w:p w14:paraId="64A8B36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369"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36A" w14:textId="77777777" w:rsidR="008D6614" w:rsidRDefault="00866AF2">
            <w:pPr>
              <w:jc w:val="right"/>
              <w:textAlignment w:val="bottom"/>
            </w:pPr>
            <w:r>
              <w:rPr>
                <w:rFonts w:ascii="Arial" w:eastAsia="宋体" w:hAnsi="Arial" w:cs="Arial"/>
                <w:color w:val="000000"/>
                <w:sz w:val="16"/>
                <w:szCs w:val="16"/>
              </w:rPr>
              <w:t>1 </w:t>
            </w:r>
          </w:p>
        </w:tc>
        <w:tc>
          <w:tcPr>
            <w:tcW w:w="0" w:type="auto"/>
            <w:shd w:val="clear" w:color="auto" w:fill="FFFFFF"/>
            <w:tcMar>
              <w:top w:w="40" w:type="dxa"/>
              <w:bottom w:w="40" w:type="dxa"/>
              <w:right w:w="20" w:type="dxa"/>
            </w:tcMar>
            <w:vAlign w:val="bottom"/>
          </w:tcPr>
          <w:p w14:paraId="64A8B36B"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B36C"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36D" w14:textId="77777777" w:rsidR="008D6614" w:rsidRDefault="00866AF2">
            <w:pPr>
              <w:jc w:val="right"/>
              <w:textAlignment w:val="bottom"/>
            </w:pPr>
            <w:r>
              <w:rPr>
                <w:rFonts w:ascii="Arial" w:eastAsia="宋体" w:hAnsi="Arial" w:cs="Arial"/>
                <w:color w:val="000000"/>
                <w:sz w:val="16"/>
                <w:szCs w:val="16"/>
              </w:rPr>
              <w:t>3 </w:t>
            </w:r>
          </w:p>
        </w:tc>
        <w:tc>
          <w:tcPr>
            <w:tcW w:w="0" w:type="auto"/>
            <w:shd w:val="clear" w:color="auto" w:fill="FFFFFF"/>
            <w:tcMar>
              <w:top w:w="40" w:type="dxa"/>
              <w:bottom w:w="40" w:type="dxa"/>
              <w:right w:w="20" w:type="dxa"/>
            </w:tcMar>
            <w:vAlign w:val="bottom"/>
          </w:tcPr>
          <w:p w14:paraId="64A8B36E"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36F" w14:textId="77777777" w:rsidR="008D6614" w:rsidRDefault="008D6614">
            <w:pPr>
              <w:rPr>
                <w:rFonts w:ascii="宋体"/>
              </w:rPr>
            </w:pPr>
          </w:p>
        </w:tc>
        <w:tc>
          <w:tcPr>
            <w:tcW w:w="0" w:type="auto"/>
            <w:shd w:val="clear" w:color="auto" w:fill="auto"/>
            <w:vAlign w:val="center"/>
          </w:tcPr>
          <w:p w14:paraId="64A8B370" w14:textId="77777777" w:rsidR="008D6614" w:rsidRDefault="008D6614">
            <w:pPr>
              <w:rPr>
                <w:rFonts w:ascii="宋体"/>
              </w:rPr>
            </w:pPr>
          </w:p>
        </w:tc>
        <w:tc>
          <w:tcPr>
            <w:tcW w:w="0" w:type="auto"/>
            <w:shd w:val="clear" w:color="auto" w:fill="auto"/>
            <w:vAlign w:val="center"/>
          </w:tcPr>
          <w:p w14:paraId="64A8B371" w14:textId="77777777" w:rsidR="008D6614" w:rsidRDefault="008D6614">
            <w:pPr>
              <w:rPr>
                <w:rFonts w:ascii="宋体"/>
              </w:rPr>
            </w:pPr>
          </w:p>
        </w:tc>
        <w:tc>
          <w:tcPr>
            <w:tcW w:w="0" w:type="auto"/>
            <w:shd w:val="clear" w:color="auto" w:fill="auto"/>
            <w:vAlign w:val="center"/>
          </w:tcPr>
          <w:p w14:paraId="64A8B372" w14:textId="77777777" w:rsidR="008D6614" w:rsidRDefault="008D6614">
            <w:pPr>
              <w:rPr>
                <w:rFonts w:ascii="宋体"/>
              </w:rPr>
            </w:pPr>
          </w:p>
        </w:tc>
        <w:tc>
          <w:tcPr>
            <w:tcW w:w="0" w:type="auto"/>
            <w:shd w:val="clear" w:color="auto" w:fill="auto"/>
            <w:vAlign w:val="center"/>
          </w:tcPr>
          <w:p w14:paraId="64A8B373" w14:textId="77777777" w:rsidR="008D6614" w:rsidRDefault="008D6614">
            <w:pPr>
              <w:rPr>
                <w:rFonts w:ascii="宋体"/>
              </w:rPr>
            </w:pPr>
          </w:p>
        </w:tc>
        <w:tc>
          <w:tcPr>
            <w:tcW w:w="0" w:type="auto"/>
            <w:shd w:val="clear" w:color="auto" w:fill="auto"/>
            <w:vAlign w:val="center"/>
          </w:tcPr>
          <w:p w14:paraId="64A8B374" w14:textId="77777777" w:rsidR="008D6614" w:rsidRDefault="008D6614">
            <w:pPr>
              <w:rPr>
                <w:rFonts w:ascii="宋体"/>
              </w:rPr>
            </w:pPr>
          </w:p>
        </w:tc>
        <w:tc>
          <w:tcPr>
            <w:tcW w:w="0" w:type="auto"/>
            <w:shd w:val="clear" w:color="auto" w:fill="auto"/>
            <w:vAlign w:val="center"/>
          </w:tcPr>
          <w:p w14:paraId="64A8B375" w14:textId="77777777" w:rsidR="008D6614" w:rsidRDefault="008D6614">
            <w:pPr>
              <w:rPr>
                <w:rFonts w:ascii="宋体"/>
              </w:rPr>
            </w:pPr>
          </w:p>
        </w:tc>
        <w:tc>
          <w:tcPr>
            <w:tcW w:w="0" w:type="auto"/>
            <w:shd w:val="clear" w:color="auto" w:fill="auto"/>
            <w:vAlign w:val="center"/>
          </w:tcPr>
          <w:p w14:paraId="64A8B376" w14:textId="77777777" w:rsidR="008D6614" w:rsidRDefault="008D6614">
            <w:pPr>
              <w:rPr>
                <w:rFonts w:ascii="宋体"/>
              </w:rPr>
            </w:pPr>
          </w:p>
        </w:tc>
        <w:tc>
          <w:tcPr>
            <w:tcW w:w="0" w:type="auto"/>
            <w:shd w:val="clear" w:color="auto" w:fill="auto"/>
            <w:vAlign w:val="center"/>
          </w:tcPr>
          <w:p w14:paraId="64A8B377" w14:textId="77777777" w:rsidR="008D6614" w:rsidRDefault="008D6614">
            <w:pPr>
              <w:rPr>
                <w:rFonts w:ascii="宋体"/>
              </w:rPr>
            </w:pPr>
          </w:p>
        </w:tc>
        <w:tc>
          <w:tcPr>
            <w:tcW w:w="0" w:type="auto"/>
            <w:shd w:val="clear" w:color="auto" w:fill="auto"/>
            <w:vAlign w:val="center"/>
          </w:tcPr>
          <w:p w14:paraId="64A8B378" w14:textId="77777777" w:rsidR="008D6614" w:rsidRDefault="008D6614">
            <w:pPr>
              <w:rPr>
                <w:rFonts w:ascii="宋体"/>
              </w:rPr>
            </w:pPr>
          </w:p>
        </w:tc>
        <w:tc>
          <w:tcPr>
            <w:tcW w:w="0" w:type="auto"/>
            <w:shd w:val="clear" w:color="auto" w:fill="auto"/>
            <w:vAlign w:val="center"/>
          </w:tcPr>
          <w:p w14:paraId="64A8B379" w14:textId="77777777" w:rsidR="008D6614" w:rsidRDefault="008D6614">
            <w:pPr>
              <w:rPr>
                <w:rFonts w:ascii="宋体"/>
              </w:rPr>
            </w:pPr>
          </w:p>
        </w:tc>
        <w:tc>
          <w:tcPr>
            <w:tcW w:w="0" w:type="auto"/>
            <w:shd w:val="clear" w:color="auto" w:fill="auto"/>
            <w:vAlign w:val="center"/>
          </w:tcPr>
          <w:p w14:paraId="64A8B37A" w14:textId="77777777" w:rsidR="008D6614" w:rsidRDefault="008D6614">
            <w:pPr>
              <w:rPr>
                <w:rFonts w:ascii="宋体"/>
              </w:rPr>
            </w:pPr>
          </w:p>
        </w:tc>
      </w:tr>
      <w:tr w:rsidR="008D6614" w14:paraId="64A8B394" w14:textId="77777777">
        <w:trPr>
          <w:hidden/>
        </w:trPr>
        <w:tc>
          <w:tcPr>
            <w:tcW w:w="0" w:type="auto"/>
            <w:gridSpan w:val="3"/>
            <w:shd w:val="clear" w:color="auto" w:fill="auto"/>
            <w:vAlign w:val="center"/>
          </w:tcPr>
          <w:p w14:paraId="64A8B37C" w14:textId="77777777" w:rsidR="008D6614" w:rsidRDefault="008D6614">
            <w:pPr>
              <w:rPr>
                <w:rFonts w:ascii="宋体"/>
                <w:vanish/>
              </w:rPr>
            </w:pPr>
          </w:p>
        </w:tc>
        <w:tc>
          <w:tcPr>
            <w:tcW w:w="0" w:type="auto"/>
            <w:gridSpan w:val="3"/>
            <w:shd w:val="clear" w:color="auto" w:fill="auto"/>
            <w:vAlign w:val="center"/>
          </w:tcPr>
          <w:p w14:paraId="64A8B37D" w14:textId="77777777" w:rsidR="008D6614" w:rsidRDefault="008D6614">
            <w:pPr>
              <w:rPr>
                <w:rFonts w:ascii="宋体"/>
                <w:vanish/>
              </w:rPr>
            </w:pPr>
          </w:p>
        </w:tc>
        <w:tc>
          <w:tcPr>
            <w:tcW w:w="0" w:type="auto"/>
            <w:gridSpan w:val="3"/>
            <w:shd w:val="clear" w:color="auto" w:fill="auto"/>
            <w:vAlign w:val="center"/>
          </w:tcPr>
          <w:p w14:paraId="64A8B37E" w14:textId="77777777" w:rsidR="008D6614" w:rsidRDefault="008D6614">
            <w:pPr>
              <w:rPr>
                <w:rFonts w:ascii="宋体"/>
                <w:vanish/>
              </w:rPr>
            </w:pPr>
          </w:p>
        </w:tc>
        <w:tc>
          <w:tcPr>
            <w:tcW w:w="0" w:type="auto"/>
            <w:gridSpan w:val="3"/>
            <w:shd w:val="clear" w:color="auto" w:fill="auto"/>
            <w:vAlign w:val="center"/>
          </w:tcPr>
          <w:p w14:paraId="64A8B37F" w14:textId="77777777" w:rsidR="008D6614" w:rsidRDefault="008D6614">
            <w:pPr>
              <w:rPr>
                <w:rFonts w:ascii="宋体"/>
                <w:vanish/>
              </w:rPr>
            </w:pPr>
          </w:p>
        </w:tc>
        <w:tc>
          <w:tcPr>
            <w:tcW w:w="0" w:type="auto"/>
            <w:gridSpan w:val="3"/>
            <w:shd w:val="clear" w:color="auto" w:fill="auto"/>
            <w:vAlign w:val="center"/>
          </w:tcPr>
          <w:p w14:paraId="64A8B380" w14:textId="77777777" w:rsidR="008D6614" w:rsidRDefault="008D6614">
            <w:pPr>
              <w:rPr>
                <w:rFonts w:ascii="宋体"/>
                <w:vanish/>
              </w:rPr>
            </w:pPr>
          </w:p>
        </w:tc>
        <w:tc>
          <w:tcPr>
            <w:tcW w:w="0" w:type="auto"/>
            <w:gridSpan w:val="3"/>
            <w:shd w:val="clear" w:color="auto" w:fill="auto"/>
            <w:vAlign w:val="center"/>
          </w:tcPr>
          <w:p w14:paraId="64A8B381" w14:textId="77777777" w:rsidR="008D6614" w:rsidRDefault="008D6614">
            <w:pPr>
              <w:rPr>
                <w:rFonts w:ascii="宋体"/>
                <w:vanish/>
              </w:rPr>
            </w:pPr>
          </w:p>
        </w:tc>
        <w:tc>
          <w:tcPr>
            <w:tcW w:w="0" w:type="auto"/>
            <w:gridSpan w:val="3"/>
            <w:shd w:val="clear" w:color="auto" w:fill="auto"/>
            <w:vAlign w:val="center"/>
          </w:tcPr>
          <w:p w14:paraId="64A8B382" w14:textId="77777777" w:rsidR="008D6614" w:rsidRDefault="008D6614">
            <w:pPr>
              <w:rPr>
                <w:rFonts w:ascii="宋体"/>
                <w:vanish/>
              </w:rPr>
            </w:pPr>
          </w:p>
        </w:tc>
        <w:tc>
          <w:tcPr>
            <w:tcW w:w="0" w:type="auto"/>
            <w:gridSpan w:val="3"/>
            <w:shd w:val="clear" w:color="auto" w:fill="auto"/>
            <w:vAlign w:val="center"/>
          </w:tcPr>
          <w:p w14:paraId="64A8B383" w14:textId="77777777" w:rsidR="008D6614" w:rsidRDefault="008D6614">
            <w:pPr>
              <w:rPr>
                <w:rFonts w:ascii="宋体"/>
                <w:vanish/>
              </w:rPr>
            </w:pPr>
          </w:p>
        </w:tc>
        <w:tc>
          <w:tcPr>
            <w:tcW w:w="0" w:type="auto"/>
            <w:gridSpan w:val="3"/>
            <w:shd w:val="clear" w:color="auto" w:fill="auto"/>
            <w:vAlign w:val="center"/>
          </w:tcPr>
          <w:p w14:paraId="64A8B384" w14:textId="77777777" w:rsidR="008D6614" w:rsidRDefault="008D6614">
            <w:pPr>
              <w:rPr>
                <w:rFonts w:ascii="宋体"/>
                <w:vanish/>
              </w:rPr>
            </w:pPr>
          </w:p>
        </w:tc>
        <w:tc>
          <w:tcPr>
            <w:tcW w:w="0" w:type="auto"/>
            <w:gridSpan w:val="3"/>
            <w:shd w:val="clear" w:color="auto" w:fill="auto"/>
            <w:vAlign w:val="center"/>
          </w:tcPr>
          <w:p w14:paraId="64A8B385" w14:textId="77777777" w:rsidR="008D6614" w:rsidRDefault="008D6614">
            <w:pPr>
              <w:rPr>
                <w:rFonts w:ascii="宋体"/>
                <w:vanish/>
              </w:rPr>
            </w:pPr>
          </w:p>
        </w:tc>
        <w:tc>
          <w:tcPr>
            <w:tcW w:w="0" w:type="auto"/>
            <w:gridSpan w:val="3"/>
            <w:shd w:val="clear" w:color="auto" w:fill="auto"/>
            <w:vAlign w:val="center"/>
          </w:tcPr>
          <w:p w14:paraId="64A8B386" w14:textId="77777777" w:rsidR="008D6614" w:rsidRDefault="008D6614">
            <w:pPr>
              <w:rPr>
                <w:rFonts w:ascii="宋体"/>
                <w:vanish/>
              </w:rPr>
            </w:pPr>
          </w:p>
        </w:tc>
        <w:tc>
          <w:tcPr>
            <w:tcW w:w="0" w:type="auto"/>
            <w:gridSpan w:val="3"/>
            <w:shd w:val="clear" w:color="auto" w:fill="auto"/>
            <w:vAlign w:val="center"/>
          </w:tcPr>
          <w:p w14:paraId="64A8B387" w14:textId="77777777" w:rsidR="008D6614" w:rsidRDefault="008D6614">
            <w:pPr>
              <w:rPr>
                <w:rFonts w:ascii="宋体"/>
                <w:vanish/>
              </w:rPr>
            </w:pPr>
          </w:p>
        </w:tc>
        <w:tc>
          <w:tcPr>
            <w:tcW w:w="0" w:type="auto"/>
            <w:shd w:val="clear" w:color="auto" w:fill="auto"/>
            <w:vAlign w:val="center"/>
          </w:tcPr>
          <w:p w14:paraId="64A8B388" w14:textId="77777777" w:rsidR="008D6614" w:rsidRDefault="008D6614">
            <w:pPr>
              <w:rPr>
                <w:rFonts w:ascii="宋体"/>
              </w:rPr>
            </w:pPr>
          </w:p>
        </w:tc>
        <w:tc>
          <w:tcPr>
            <w:tcW w:w="0" w:type="auto"/>
            <w:shd w:val="clear" w:color="auto" w:fill="auto"/>
            <w:vAlign w:val="center"/>
          </w:tcPr>
          <w:p w14:paraId="64A8B389" w14:textId="77777777" w:rsidR="008D6614" w:rsidRDefault="008D6614">
            <w:pPr>
              <w:rPr>
                <w:rFonts w:ascii="宋体"/>
              </w:rPr>
            </w:pPr>
          </w:p>
        </w:tc>
        <w:tc>
          <w:tcPr>
            <w:tcW w:w="0" w:type="auto"/>
            <w:shd w:val="clear" w:color="auto" w:fill="auto"/>
            <w:vAlign w:val="center"/>
          </w:tcPr>
          <w:p w14:paraId="64A8B38A" w14:textId="77777777" w:rsidR="008D6614" w:rsidRDefault="008D6614">
            <w:pPr>
              <w:rPr>
                <w:rFonts w:ascii="宋体"/>
              </w:rPr>
            </w:pPr>
          </w:p>
        </w:tc>
        <w:tc>
          <w:tcPr>
            <w:tcW w:w="0" w:type="auto"/>
            <w:shd w:val="clear" w:color="auto" w:fill="auto"/>
            <w:vAlign w:val="center"/>
          </w:tcPr>
          <w:p w14:paraId="64A8B38B" w14:textId="77777777" w:rsidR="008D6614" w:rsidRDefault="008D6614">
            <w:pPr>
              <w:rPr>
                <w:rFonts w:ascii="宋体"/>
              </w:rPr>
            </w:pPr>
          </w:p>
        </w:tc>
        <w:tc>
          <w:tcPr>
            <w:tcW w:w="0" w:type="auto"/>
            <w:shd w:val="clear" w:color="auto" w:fill="auto"/>
            <w:vAlign w:val="center"/>
          </w:tcPr>
          <w:p w14:paraId="64A8B38C" w14:textId="77777777" w:rsidR="008D6614" w:rsidRDefault="008D6614">
            <w:pPr>
              <w:rPr>
                <w:rFonts w:ascii="宋体"/>
              </w:rPr>
            </w:pPr>
          </w:p>
        </w:tc>
        <w:tc>
          <w:tcPr>
            <w:tcW w:w="0" w:type="auto"/>
            <w:shd w:val="clear" w:color="auto" w:fill="auto"/>
            <w:vAlign w:val="center"/>
          </w:tcPr>
          <w:p w14:paraId="64A8B38D" w14:textId="77777777" w:rsidR="008D6614" w:rsidRDefault="008D6614">
            <w:pPr>
              <w:rPr>
                <w:rFonts w:ascii="宋体"/>
              </w:rPr>
            </w:pPr>
          </w:p>
        </w:tc>
        <w:tc>
          <w:tcPr>
            <w:tcW w:w="0" w:type="auto"/>
            <w:shd w:val="clear" w:color="auto" w:fill="auto"/>
            <w:vAlign w:val="center"/>
          </w:tcPr>
          <w:p w14:paraId="64A8B38E" w14:textId="77777777" w:rsidR="008D6614" w:rsidRDefault="008D6614">
            <w:pPr>
              <w:rPr>
                <w:rFonts w:ascii="宋体"/>
              </w:rPr>
            </w:pPr>
          </w:p>
        </w:tc>
        <w:tc>
          <w:tcPr>
            <w:tcW w:w="0" w:type="auto"/>
            <w:shd w:val="clear" w:color="auto" w:fill="auto"/>
            <w:vAlign w:val="center"/>
          </w:tcPr>
          <w:p w14:paraId="64A8B38F" w14:textId="77777777" w:rsidR="008D6614" w:rsidRDefault="008D6614">
            <w:pPr>
              <w:rPr>
                <w:rFonts w:ascii="宋体"/>
              </w:rPr>
            </w:pPr>
          </w:p>
        </w:tc>
        <w:tc>
          <w:tcPr>
            <w:tcW w:w="0" w:type="auto"/>
            <w:shd w:val="clear" w:color="auto" w:fill="auto"/>
            <w:vAlign w:val="center"/>
          </w:tcPr>
          <w:p w14:paraId="64A8B390" w14:textId="77777777" w:rsidR="008D6614" w:rsidRDefault="008D6614">
            <w:pPr>
              <w:rPr>
                <w:rFonts w:ascii="宋体"/>
              </w:rPr>
            </w:pPr>
          </w:p>
        </w:tc>
        <w:tc>
          <w:tcPr>
            <w:tcW w:w="0" w:type="auto"/>
            <w:shd w:val="clear" w:color="auto" w:fill="auto"/>
            <w:vAlign w:val="center"/>
          </w:tcPr>
          <w:p w14:paraId="64A8B391" w14:textId="77777777" w:rsidR="008D6614" w:rsidRDefault="008D6614">
            <w:pPr>
              <w:rPr>
                <w:rFonts w:ascii="宋体"/>
              </w:rPr>
            </w:pPr>
          </w:p>
        </w:tc>
        <w:tc>
          <w:tcPr>
            <w:tcW w:w="0" w:type="auto"/>
            <w:shd w:val="clear" w:color="auto" w:fill="auto"/>
            <w:vAlign w:val="center"/>
          </w:tcPr>
          <w:p w14:paraId="64A8B392" w14:textId="77777777" w:rsidR="008D6614" w:rsidRDefault="008D6614">
            <w:pPr>
              <w:rPr>
                <w:rFonts w:ascii="宋体"/>
              </w:rPr>
            </w:pPr>
          </w:p>
        </w:tc>
        <w:tc>
          <w:tcPr>
            <w:tcW w:w="0" w:type="auto"/>
            <w:shd w:val="clear" w:color="auto" w:fill="auto"/>
            <w:vAlign w:val="center"/>
          </w:tcPr>
          <w:p w14:paraId="64A8B393" w14:textId="77777777" w:rsidR="008D6614" w:rsidRDefault="008D6614">
            <w:pPr>
              <w:rPr>
                <w:rFonts w:ascii="宋体"/>
              </w:rPr>
            </w:pPr>
          </w:p>
        </w:tc>
      </w:tr>
      <w:tr w:rsidR="008D6614" w14:paraId="64A8B3AD" w14:textId="77777777">
        <w:trPr>
          <w:hidden/>
        </w:trPr>
        <w:tc>
          <w:tcPr>
            <w:tcW w:w="0" w:type="auto"/>
            <w:gridSpan w:val="3"/>
            <w:shd w:val="clear" w:color="auto" w:fill="auto"/>
            <w:vAlign w:val="center"/>
          </w:tcPr>
          <w:p w14:paraId="64A8B395" w14:textId="77777777" w:rsidR="008D6614" w:rsidRDefault="008D6614">
            <w:pPr>
              <w:rPr>
                <w:rFonts w:ascii="宋体"/>
                <w:vanish/>
              </w:rPr>
            </w:pPr>
          </w:p>
        </w:tc>
        <w:tc>
          <w:tcPr>
            <w:tcW w:w="0" w:type="auto"/>
            <w:gridSpan w:val="3"/>
            <w:shd w:val="clear" w:color="auto" w:fill="auto"/>
            <w:vAlign w:val="center"/>
          </w:tcPr>
          <w:p w14:paraId="64A8B396" w14:textId="77777777" w:rsidR="008D6614" w:rsidRDefault="008D6614">
            <w:pPr>
              <w:rPr>
                <w:rFonts w:ascii="宋体"/>
                <w:vanish/>
              </w:rPr>
            </w:pPr>
          </w:p>
        </w:tc>
        <w:tc>
          <w:tcPr>
            <w:tcW w:w="0" w:type="auto"/>
            <w:gridSpan w:val="3"/>
            <w:shd w:val="clear" w:color="auto" w:fill="auto"/>
            <w:vAlign w:val="center"/>
          </w:tcPr>
          <w:p w14:paraId="64A8B397" w14:textId="77777777" w:rsidR="008D6614" w:rsidRDefault="008D6614">
            <w:pPr>
              <w:rPr>
                <w:rFonts w:ascii="宋体"/>
                <w:vanish/>
              </w:rPr>
            </w:pPr>
          </w:p>
        </w:tc>
        <w:tc>
          <w:tcPr>
            <w:tcW w:w="0" w:type="auto"/>
            <w:gridSpan w:val="3"/>
            <w:shd w:val="clear" w:color="auto" w:fill="auto"/>
            <w:vAlign w:val="center"/>
          </w:tcPr>
          <w:p w14:paraId="64A8B398" w14:textId="77777777" w:rsidR="008D6614" w:rsidRDefault="008D6614">
            <w:pPr>
              <w:rPr>
                <w:rFonts w:ascii="宋体"/>
                <w:vanish/>
              </w:rPr>
            </w:pPr>
          </w:p>
        </w:tc>
        <w:tc>
          <w:tcPr>
            <w:tcW w:w="0" w:type="auto"/>
            <w:gridSpan w:val="3"/>
            <w:shd w:val="clear" w:color="auto" w:fill="auto"/>
            <w:vAlign w:val="center"/>
          </w:tcPr>
          <w:p w14:paraId="64A8B399" w14:textId="77777777" w:rsidR="008D6614" w:rsidRDefault="008D6614">
            <w:pPr>
              <w:rPr>
                <w:rFonts w:ascii="宋体"/>
                <w:vanish/>
              </w:rPr>
            </w:pPr>
          </w:p>
        </w:tc>
        <w:tc>
          <w:tcPr>
            <w:tcW w:w="0" w:type="auto"/>
            <w:gridSpan w:val="3"/>
            <w:shd w:val="clear" w:color="auto" w:fill="auto"/>
            <w:vAlign w:val="center"/>
          </w:tcPr>
          <w:p w14:paraId="64A8B39A" w14:textId="77777777" w:rsidR="008D6614" w:rsidRDefault="008D6614">
            <w:pPr>
              <w:rPr>
                <w:rFonts w:ascii="宋体"/>
                <w:vanish/>
              </w:rPr>
            </w:pPr>
          </w:p>
        </w:tc>
        <w:tc>
          <w:tcPr>
            <w:tcW w:w="0" w:type="auto"/>
            <w:gridSpan w:val="3"/>
            <w:shd w:val="clear" w:color="auto" w:fill="auto"/>
            <w:vAlign w:val="center"/>
          </w:tcPr>
          <w:p w14:paraId="64A8B39B" w14:textId="77777777" w:rsidR="008D6614" w:rsidRDefault="008D6614">
            <w:pPr>
              <w:rPr>
                <w:rFonts w:ascii="宋体"/>
                <w:vanish/>
              </w:rPr>
            </w:pPr>
          </w:p>
        </w:tc>
        <w:tc>
          <w:tcPr>
            <w:tcW w:w="0" w:type="auto"/>
            <w:gridSpan w:val="3"/>
            <w:shd w:val="clear" w:color="auto" w:fill="auto"/>
            <w:vAlign w:val="center"/>
          </w:tcPr>
          <w:p w14:paraId="64A8B39C" w14:textId="77777777" w:rsidR="008D6614" w:rsidRDefault="008D6614">
            <w:pPr>
              <w:rPr>
                <w:rFonts w:ascii="宋体"/>
                <w:vanish/>
              </w:rPr>
            </w:pPr>
          </w:p>
        </w:tc>
        <w:tc>
          <w:tcPr>
            <w:tcW w:w="0" w:type="auto"/>
            <w:gridSpan w:val="3"/>
            <w:shd w:val="clear" w:color="auto" w:fill="auto"/>
            <w:vAlign w:val="center"/>
          </w:tcPr>
          <w:p w14:paraId="64A8B39D" w14:textId="77777777" w:rsidR="008D6614" w:rsidRDefault="008D6614">
            <w:pPr>
              <w:rPr>
                <w:rFonts w:ascii="宋体"/>
                <w:vanish/>
              </w:rPr>
            </w:pPr>
          </w:p>
        </w:tc>
        <w:tc>
          <w:tcPr>
            <w:tcW w:w="0" w:type="auto"/>
            <w:gridSpan w:val="3"/>
            <w:shd w:val="clear" w:color="auto" w:fill="auto"/>
            <w:vAlign w:val="center"/>
          </w:tcPr>
          <w:p w14:paraId="64A8B39E" w14:textId="77777777" w:rsidR="008D6614" w:rsidRDefault="008D6614">
            <w:pPr>
              <w:rPr>
                <w:rFonts w:ascii="宋体"/>
                <w:vanish/>
              </w:rPr>
            </w:pPr>
          </w:p>
        </w:tc>
        <w:tc>
          <w:tcPr>
            <w:tcW w:w="0" w:type="auto"/>
            <w:gridSpan w:val="3"/>
            <w:shd w:val="clear" w:color="auto" w:fill="auto"/>
            <w:vAlign w:val="center"/>
          </w:tcPr>
          <w:p w14:paraId="64A8B39F" w14:textId="77777777" w:rsidR="008D6614" w:rsidRDefault="008D6614">
            <w:pPr>
              <w:rPr>
                <w:rFonts w:ascii="宋体"/>
                <w:vanish/>
              </w:rPr>
            </w:pPr>
          </w:p>
        </w:tc>
        <w:tc>
          <w:tcPr>
            <w:tcW w:w="0" w:type="auto"/>
            <w:gridSpan w:val="3"/>
            <w:shd w:val="clear" w:color="auto" w:fill="auto"/>
            <w:vAlign w:val="center"/>
          </w:tcPr>
          <w:p w14:paraId="64A8B3A0" w14:textId="77777777" w:rsidR="008D6614" w:rsidRDefault="008D6614">
            <w:pPr>
              <w:rPr>
                <w:rFonts w:ascii="宋体"/>
                <w:vanish/>
              </w:rPr>
            </w:pPr>
          </w:p>
        </w:tc>
        <w:tc>
          <w:tcPr>
            <w:tcW w:w="0" w:type="auto"/>
            <w:shd w:val="clear" w:color="auto" w:fill="auto"/>
            <w:vAlign w:val="center"/>
          </w:tcPr>
          <w:p w14:paraId="64A8B3A1" w14:textId="77777777" w:rsidR="008D6614" w:rsidRDefault="008D6614">
            <w:pPr>
              <w:rPr>
                <w:rFonts w:ascii="宋体"/>
              </w:rPr>
            </w:pPr>
          </w:p>
        </w:tc>
        <w:tc>
          <w:tcPr>
            <w:tcW w:w="0" w:type="auto"/>
            <w:shd w:val="clear" w:color="auto" w:fill="auto"/>
            <w:vAlign w:val="center"/>
          </w:tcPr>
          <w:p w14:paraId="64A8B3A2" w14:textId="77777777" w:rsidR="008D6614" w:rsidRDefault="008D6614">
            <w:pPr>
              <w:rPr>
                <w:rFonts w:ascii="宋体"/>
              </w:rPr>
            </w:pPr>
          </w:p>
        </w:tc>
        <w:tc>
          <w:tcPr>
            <w:tcW w:w="0" w:type="auto"/>
            <w:shd w:val="clear" w:color="auto" w:fill="auto"/>
            <w:vAlign w:val="center"/>
          </w:tcPr>
          <w:p w14:paraId="64A8B3A3" w14:textId="77777777" w:rsidR="008D6614" w:rsidRDefault="008D6614">
            <w:pPr>
              <w:rPr>
                <w:rFonts w:ascii="宋体"/>
              </w:rPr>
            </w:pPr>
          </w:p>
        </w:tc>
        <w:tc>
          <w:tcPr>
            <w:tcW w:w="0" w:type="auto"/>
            <w:shd w:val="clear" w:color="auto" w:fill="auto"/>
            <w:vAlign w:val="center"/>
          </w:tcPr>
          <w:p w14:paraId="64A8B3A4" w14:textId="77777777" w:rsidR="008D6614" w:rsidRDefault="008D6614">
            <w:pPr>
              <w:rPr>
                <w:rFonts w:ascii="宋体"/>
              </w:rPr>
            </w:pPr>
          </w:p>
        </w:tc>
        <w:tc>
          <w:tcPr>
            <w:tcW w:w="0" w:type="auto"/>
            <w:shd w:val="clear" w:color="auto" w:fill="auto"/>
            <w:vAlign w:val="center"/>
          </w:tcPr>
          <w:p w14:paraId="64A8B3A5" w14:textId="77777777" w:rsidR="008D6614" w:rsidRDefault="008D6614">
            <w:pPr>
              <w:rPr>
                <w:rFonts w:ascii="宋体"/>
              </w:rPr>
            </w:pPr>
          </w:p>
        </w:tc>
        <w:tc>
          <w:tcPr>
            <w:tcW w:w="0" w:type="auto"/>
            <w:shd w:val="clear" w:color="auto" w:fill="auto"/>
            <w:vAlign w:val="center"/>
          </w:tcPr>
          <w:p w14:paraId="64A8B3A6" w14:textId="77777777" w:rsidR="008D6614" w:rsidRDefault="008D6614">
            <w:pPr>
              <w:rPr>
                <w:rFonts w:ascii="宋体"/>
              </w:rPr>
            </w:pPr>
          </w:p>
        </w:tc>
        <w:tc>
          <w:tcPr>
            <w:tcW w:w="0" w:type="auto"/>
            <w:shd w:val="clear" w:color="auto" w:fill="auto"/>
            <w:vAlign w:val="center"/>
          </w:tcPr>
          <w:p w14:paraId="64A8B3A7" w14:textId="77777777" w:rsidR="008D6614" w:rsidRDefault="008D6614">
            <w:pPr>
              <w:rPr>
                <w:rFonts w:ascii="宋体"/>
              </w:rPr>
            </w:pPr>
          </w:p>
        </w:tc>
        <w:tc>
          <w:tcPr>
            <w:tcW w:w="0" w:type="auto"/>
            <w:shd w:val="clear" w:color="auto" w:fill="auto"/>
            <w:vAlign w:val="center"/>
          </w:tcPr>
          <w:p w14:paraId="64A8B3A8" w14:textId="77777777" w:rsidR="008D6614" w:rsidRDefault="008D6614">
            <w:pPr>
              <w:rPr>
                <w:rFonts w:ascii="宋体"/>
              </w:rPr>
            </w:pPr>
          </w:p>
        </w:tc>
        <w:tc>
          <w:tcPr>
            <w:tcW w:w="0" w:type="auto"/>
            <w:shd w:val="clear" w:color="auto" w:fill="auto"/>
            <w:vAlign w:val="center"/>
          </w:tcPr>
          <w:p w14:paraId="64A8B3A9" w14:textId="77777777" w:rsidR="008D6614" w:rsidRDefault="008D6614">
            <w:pPr>
              <w:rPr>
                <w:rFonts w:ascii="宋体"/>
              </w:rPr>
            </w:pPr>
          </w:p>
        </w:tc>
        <w:tc>
          <w:tcPr>
            <w:tcW w:w="0" w:type="auto"/>
            <w:shd w:val="clear" w:color="auto" w:fill="auto"/>
            <w:vAlign w:val="center"/>
          </w:tcPr>
          <w:p w14:paraId="64A8B3AA" w14:textId="77777777" w:rsidR="008D6614" w:rsidRDefault="008D6614">
            <w:pPr>
              <w:rPr>
                <w:rFonts w:ascii="宋体"/>
              </w:rPr>
            </w:pPr>
          </w:p>
        </w:tc>
        <w:tc>
          <w:tcPr>
            <w:tcW w:w="0" w:type="auto"/>
            <w:shd w:val="clear" w:color="auto" w:fill="auto"/>
            <w:vAlign w:val="center"/>
          </w:tcPr>
          <w:p w14:paraId="64A8B3AB" w14:textId="77777777" w:rsidR="008D6614" w:rsidRDefault="008D6614">
            <w:pPr>
              <w:rPr>
                <w:rFonts w:ascii="宋体"/>
              </w:rPr>
            </w:pPr>
          </w:p>
        </w:tc>
        <w:tc>
          <w:tcPr>
            <w:tcW w:w="0" w:type="auto"/>
            <w:shd w:val="clear" w:color="auto" w:fill="auto"/>
            <w:vAlign w:val="center"/>
          </w:tcPr>
          <w:p w14:paraId="64A8B3AC" w14:textId="77777777" w:rsidR="008D6614" w:rsidRDefault="008D6614">
            <w:pPr>
              <w:rPr>
                <w:rFonts w:ascii="宋体"/>
              </w:rPr>
            </w:pPr>
          </w:p>
        </w:tc>
      </w:tr>
      <w:tr w:rsidR="008D6614" w14:paraId="64A8B3C6" w14:textId="77777777">
        <w:tc>
          <w:tcPr>
            <w:tcW w:w="0" w:type="auto"/>
            <w:gridSpan w:val="3"/>
            <w:shd w:val="clear" w:color="auto" w:fill="E2E2E2"/>
            <w:tcMar>
              <w:top w:w="40" w:type="dxa"/>
              <w:left w:w="20" w:type="dxa"/>
              <w:bottom w:w="40" w:type="dxa"/>
              <w:right w:w="20" w:type="dxa"/>
            </w:tcMar>
            <w:vAlign w:val="bottom"/>
          </w:tcPr>
          <w:p w14:paraId="64A8B3AE" w14:textId="77777777" w:rsidR="008D6614" w:rsidRDefault="00866AF2">
            <w:pPr>
              <w:textAlignment w:val="bottom"/>
            </w:pPr>
            <w:r>
              <w:rPr>
                <w:rFonts w:ascii="Arial" w:eastAsia="宋体" w:hAnsi="Arial" w:cs="Arial"/>
                <w:color w:val="000000"/>
                <w:sz w:val="16"/>
                <w:szCs w:val="16"/>
              </w:rPr>
              <w:t>Marketing services and other revenues:</w:t>
            </w:r>
          </w:p>
        </w:tc>
        <w:tc>
          <w:tcPr>
            <w:tcW w:w="0" w:type="auto"/>
            <w:gridSpan w:val="3"/>
            <w:shd w:val="clear" w:color="auto" w:fill="E2E2E2"/>
            <w:tcMar>
              <w:left w:w="20" w:type="dxa"/>
              <w:right w:w="20" w:type="dxa"/>
            </w:tcMar>
            <w:vAlign w:val="bottom"/>
          </w:tcPr>
          <w:p w14:paraId="64A8B3AF"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B0"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B1"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B2"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B3"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B4"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B5"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B6"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B7"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B8"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3B9" w14:textId="77777777" w:rsidR="008D6614" w:rsidRDefault="008D6614">
            <w:pPr>
              <w:rPr>
                <w:rFonts w:ascii="宋体"/>
              </w:rPr>
            </w:pPr>
          </w:p>
        </w:tc>
        <w:tc>
          <w:tcPr>
            <w:tcW w:w="0" w:type="auto"/>
            <w:shd w:val="clear" w:color="auto" w:fill="auto"/>
            <w:vAlign w:val="center"/>
          </w:tcPr>
          <w:p w14:paraId="64A8B3BA" w14:textId="77777777" w:rsidR="008D6614" w:rsidRDefault="008D6614">
            <w:pPr>
              <w:rPr>
                <w:rFonts w:ascii="宋体"/>
              </w:rPr>
            </w:pPr>
          </w:p>
        </w:tc>
        <w:tc>
          <w:tcPr>
            <w:tcW w:w="0" w:type="auto"/>
            <w:shd w:val="clear" w:color="auto" w:fill="auto"/>
            <w:vAlign w:val="center"/>
          </w:tcPr>
          <w:p w14:paraId="64A8B3BB" w14:textId="77777777" w:rsidR="008D6614" w:rsidRDefault="008D6614">
            <w:pPr>
              <w:rPr>
                <w:rFonts w:ascii="宋体"/>
              </w:rPr>
            </w:pPr>
          </w:p>
        </w:tc>
        <w:tc>
          <w:tcPr>
            <w:tcW w:w="0" w:type="auto"/>
            <w:shd w:val="clear" w:color="auto" w:fill="auto"/>
            <w:vAlign w:val="center"/>
          </w:tcPr>
          <w:p w14:paraId="64A8B3BC" w14:textId="77777777" w:rsidR="008D6614" w:rsidRDefault="008D6614">
            <w:pPr>
              <w:rPr>
                <w:rFonts w:ascii="宋体"/>
              </w:rPr>
            </w:pPr>
          </w:p>
        </w:tc>
        <w:tc>
          <w:tcPr>
            <w:tcW w:w="0" w:type="auto"/>
            <w:shd w:val="clear" w:color="auto" w:fill="auto"/>
            <w:vAlign w:val="center"/>
          </w:tcPr>
          <w:p w14:paraId="64A8B3BD" w14:textId="77777777" w:rsidR="008D6614" w:rsidRDefault="008D6614">
            <w:pPr>
              <w:rPr>
                <w:rFonts w:ascii="宋体"/>
              </w:rPr>
            </w:pPr>
          </w:p>
        </w:tc>
        <w:tc>
          <w:tcPr>
            <w:tcW w:w="0" w:type="auto"/>
            <w:shd w:val="clear" w:color="auto" w:fill="auto"/>
            <w:vAlign w:val="center"/>
          </w:tcPr>
          <w:p w14:paraId="64A8B3BE" w14:textId="77777777" w:rsidR="008D6614" w:rsidRDefault="008D6614">
            <w:pPr>
              <w:rPr>
                <w:rFonts w:ascii="宋体"/>
              </w:rPr>
            </w:pPr>
          </w:p>
        </w:tc>
        <w:tc>
          <w:tcPr>
            <w:tcW w:w="0" w:type="auto"/>
            <w:shd w:val="clear" w:color="auto" w:fill="auto"/>
            <w:vAlign w:val="center"/>
          </w:tcPr>
          <w:p w14:paraId="64A8B3BF" w14:textId="77777777" w:rsidR="008D6614" w:rsidRDefault="008D6614">
            <w:pPr>
              <w:rPr>
                <w:rFonts w:ascii="宋体"/>
              </w:rPr>
            </w:pPr>
          </w:p>
        </w:tc>
        <w:tc>
          <w:tcPr>
            <w:tcW w:w="0" w:type="auto"/>
            <w:shd w:val="clear" w:color="auto" w:fill="auto"/>
            <w:vAlign w:val="center"/>
          </w:tcPr>
          <w:p w14:paraId="64A8B3C0" w14:textId="77777777" w:rsidR="008D6614" w:rsidRDefault="008D6614">
            <w:pPr>
              <w:rPr>
                <w:rFonts w:ascii="宋体"/>
              </w:rPr>
            </w:pPr>
          </w:p>
        </w:tc>
        <w:tc>
          <w:tcPr>
            <w:tcW w:w="0" w:type="auto"/>
            <w:shd w:val="clear" w:color="auto" w:fill="auto"/>
            <w:vAlign w:val="center"/>
          </w:tcPr>
          <w:p w14:paraId="64A8B3C1" w14:textId="77777777" w:rsidR="008D6614" w:rsidRDefault="008D6614">
            <w:pPr>
              <w:rPr>
                <w:rFonts w:ascii="宋体"/>
              </w:rPr>
            </w:pPr>
          </w:p>
        </w:tc>
        <w:tc>
          <w:tcPr>
            <w:tcW w:w="0" w:type="auto"/>
            <w:shd w:val="clear" w:color="auto" w:fill="auto"/>
            <w:vAlign w:val="center"/>
          </w:tcPr>
          <w:p w14:paraId="64A8B3C2" w14:textId="77777777" w:rsidR="008D6614" w:rsidRDefault="008D6614">
            <w:pPr>
              <w:rPr>
                <w:rFonts w:ascii="宋体"/>
              </w:rPr>
            </w:pPr>
          </w:p>
        </w:tc>
        <w:tc>
          <w:tcPr>
            <w:tcW w:w="0" w:type="auto"/>
            <w:shd w:val="clear" w:color="auto" w:fill="auto"/>
            <w:vAlign w:val="center"/>
          </w:tcPr>
          <w:p w14:paraId="64A8B3C3" w14:textId="77777777" w:rsidR="008D6614" w:rsidRDefault="008D6614">
            <w:pPr>
              <w:rPr>
                <w:rFonts w:ascii="宋体"/>
              </w:rPr>
            </w:pPr>
          </w:p>
        </w:tc>
        <w:tc>
          <w:tcPr>
            <w:tcW w:w="0" w:type="auto"/>
            <w:shd w:val="clear" w:color="auto" w:fill="auto"/>
            <w:vAlign w:val="center"/>
          </w:tcPr>
          <w:p w14:paraId="64A8B3C4" w14:textId="77777777" w:rsidR="008D6614" w:rsidRDefault="008D6614">
            <w:pPr>
              <w:rPr>
                <w:rFonts w:ascii="宋体"/>
              </w:rPr>
            </w:pPr>
          </w:p>
        </w:tc>
        <w:tc>
          <w:tcPr>
            <w:tcW w:w="0" w:type="auto"/>
            <w:shd w:val="clear" w:color="auto" w:fill="auto"/>
            <w:vAlign w:val="center"/>
          </w:tcPr>
          <w:p w14:paraId="64A8B3C5" w14:textId="77777777" w:rsidR="008D6614" w:rsidRDefault="008D6614">
            <w:pPr>
              <w:rPr>
                <w:rFonts w:ascii="宋体"/>
              </w:rPr>
            </w:pPr>
          </w:p>
        </w:tc>
      </w:tr>
      <w:tr w:rsidR="008D6614" w14:paraId="64A8B3E5" w14:textId="77777777">
        <w:tc>
          <w:tcPr>
            <w:tcW w:w="0" w:type="auto"/>
            <w:gridSpan w:val="3"/>
            <w:shd w:val="clear" w:color="auto" w:fill="FFFFFF"/>
            <w:tcMar>
              <w:top w:w="40" w:type="dxa"/>
              <w:left w:w="135" w:type="dxa"/>
              <w:bottom w:w="40" w:type="dxa"/>
              <w:right w:w="20" w:type="dxa"/>
            </w:tcMar>
            <w:vAlign w:val="bottom"/>
          </w:tcPr>
          <w:p w14:paraId="64A8B3C7" w14:textId="77777777" w:rsidR="008D6614" w:rsidRDefault="00866AF2">
            <w:pPr>
              <w:textAlignment w:val="bottom"/>
            </w:pPr>
            <w:r>
              <w:rPr>
                <w:rFonts w:ascii="Arial" w:eastAsia="宋体" w:hAnsi="Arial" w:cs="Arial"/>
                <w:color w:val="000000"/>
                <w:sz w:val="16"/>
                <w:szCs w:val="16"/>
              </w:rPr>
              <w:t>Marketplace</w:t>
            </w:r>
          </w:p>
        </w:tc>
        <w:tc>
          <w:tcPr>
            <w:tcW w:w="0" w:type="auto"/>
            <w:gridSpan w:val="2"/>
            <w:shd w:val="clear" w:color="auto" w:fill="FFFFFF"/>
            <w:tcMar>
              <w:top w:w="40" w:type="dxa"/>
              <w:left w:w="20" w:type="dxa"/>
              <w:bottom w:w="40" w:type="dxa"/>
              <w:right w:w="0" w:type="dxa"/>
            </w:tcMar>
            <w:vAlign w:val="bottom"/>
          </w:tcPr>
          <w:p w14:paraId="64A8B3C8" w14:textId="77777777" w:rsidR="008D6614" w:rsidRDefault="00866AF2">
            <w:pPr>
              <w:jc w:val="right"/>
              <w:textAlignment w:val="bottom"/>
            </w:pPr>
            <w:r>
              <w:rPr>
                <w:rFonts w:ascii="Arial" w:eastAsia="宋体" w:hAnsi="Arial" w:cs="Arial"/>
                <w:color w:val="000000"/>
                <w:sz w:val="16"/>
                <w:szCs w:val="16"/>
              </w:rPr>
              <w:t>230 </w:t>
            </w:r>
          </w:p>
        </w:tc>
        <w:tc>
          <w:tcPr>
            <w:tcW w:w="0" w:type="auto"/>
            <w:shd w:val="clear" w:color="auto" w:fill="FFFFFF"/>
            <w:tcMar>
              <w:top w:w="40" w:type="dxa"/>
              <w:bottom w:w="40" w:type="dxa"/>
              <w:right w:w="20" w:type="dxa"/>
            </w:tcMar>
            <w:vAlign w:val="bottom"/>
          </w:tcPr>
          <w:p w14:paraId="64A8B3C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3C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3CB" w14:textId="77777777" w:rsidR="008D6614" w:rsidRDefault="00866AF2">
            <w:pPr>
              <w:jc w:val="right"/>
              <w:textAlignment w:val="bottom"/>
            </w:pPr>
            <w:r>
              <w:rPr>
                <w:rFonts w:ascii="Arial" w:eastAsia="宋体" w:hAnsi="Arial" w:cs="Arial"/>
                <w:color w:val="000000"/>
                <w:sz w:val="16"/>
                <w:szCs w:val="16"/>
              </w:rPr>
              <w:t>(5)</w:t>
            </w:r>
          </w:p>
        </w:tc>
        <w:tc>
          <w:tcPr>
            <w:tcW w:w="0" w:type="auto"/>
            <w:shd w:val="clear" w:color="auto" w:fill="FFFFFF"/>
            <w:tcMar>
              <w:top w:w="40" w:type="dxa"/>
              <w:bottom w:w="40" w:type="dxa"/>
              <w:right w:w="20" w:type="dxa"/>
            </w:tcMar>
            <w:vAlign w:val="bottom"/>
          </w:tcPr>
          <w:p w14:paraId="64A8B3CC"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3C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3CE" w14:textId="77777777" w:rsidR="008D6614" w:rsidRDefault="00866AF2">
            <w:pPr>
              <w:jc w:val="right"/>
              <w:textAlignment w:val="bottom"/>
            </w:pPr>
            <w:r>
              <w:rPr>
                <w:rFonts w:ascii="Arial" w:eastAsia="宋体" w:hAnsi="Arial" w:cs="Arial"/>
                <w:color w:val="000000"/>
                <w:sz w:val="16"/>
                <w:szCs w:val="16"/>
              </w:rPr>
              <w:t>235 </w:t>
            </w:r>
          </w:p>
        </w:tc>
        <w:tc>
          <w:tcPr>
            <w:tcW w:w="0" w:type="auto"/>
            <w:shd w:val="clear" w:color="auto" w:fill="FFFFFF"/>
            <w:tcMar>
              <w:top w:w="40" w:type="dxa"/>
              <w:bottom w:w="40" w:type="dxa"/>
              <w:right w:w="20" w:type="dxa"/>
            </w:tcMar>
            <w:vAlign w:val="bottom"/>
          </w:tcPr>
          <w:p w14:paraId="64A8B3C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3D0"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3D1" w14:textId="77777777" w:rsidR="008D6614" w:rsidRDefault="00866AF2">
            <w:pPr>
              <w:jc w:val="right"/>
              <w:textAlignment w:val="bottom"/>
            </w:pPr>
            <w:r>
              <w:rPr>
                <w:rFonts w:ascii="Arial" w:eastAsia="宋体" w:hAnsi="Arial" w:cs="Arial"/>
                <w:color w:val="000000"/>
                <w:sz w:val="16"/>
                <w:szCs w:val="16"/>
              </w:rPr>
              <w:t>277 </w:t>
            </w:r>
          </w:p>
        </w:tc>
        <w:tc>
          <w:tcPr>
            <w:tcW w:w="0" w:type="auto"/>
            <w:shd w:val="clear" w:color="auto" w:fill="FFFFFF"/>
            <w:tcMar>
              <w:top w:w="40" w:type="dxa"/>
              <w:bottom w:w="40" w:type="dxa"/>
              <w:right w:w="20" w:type="dxa"/>
            </w:tcMar>
            <w:vAlign w:val="bottom"/>
          </w:tcPr>
          <w:p w14:paraId="64A8B3D2"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3D3"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3D4" w14:textId="77777777" w:rsidR="008D6614" w:rsidRDefault="00866AF2">
            <w:pPr>
              <w:jc w:val="right"/>
              <w:textAlignment w:val="bottom"/>
            </w:pPr>
            <w:r>
              <w:rPr>
                <w:rFonts w:ascii="Arial" w:eastAsia="宋体" w:hAnsi="Arial" w:cs="Arial"/>
                <w:color w:val="000000"/>
                <w:sz w:val="16"/>
                <w:szCs w:val="16"/>
              </w:rPr>
              <w:t>(17)</w:t>
            </w:r>
          </w:p>
        </w:tc>
        <w:tc>
          <w:tcPr>
            <w:tcW w:w="0" w:type="auto"/>
            <w:shd w:val="clear" w:color="auto" w:fill="FFFFFF"/>
            <w:tcMar>
              <w:top w:w="40" w:type="dxa"/>
              <w:bottom w:w="40" w:type="dxa"/>
              <w:right w:w="20" w:type="dxa"/>
            </w:tcMar>
            <w:vAlign w:val="bottom"/>
          </w:tcPr>
          <w:p w14:paraId="64A8B3D5"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B3D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3D7" w14:textId="77777777" w:rsidR="008D6614" w:rsidRDefault="00866AF2">
            <w:pPr>
              <w:jc w:val="right"/>
              <w:textAlignment w:val="bottom"/>
            </w:pPr>
            <w:r>
              <w:rPr>
                <w:rFonts w:ascii="Arial" w:eastAsia="宋体" w:hAnsi="Arial" w:cs="Arial"/>
                <w:color w:val="000000"/>
                <w:sz w:val="16"/>
                <w:szCs w:val="16"/>
              </w:rPr>
              <w:t>(15)</w:t>
            </w:r>
          </w:p>
        </w:tc>
        <w:tc>
          <w:tcPr>
            <w:tcW w:w="0" w:type="auto"/>
            <w:shd w:val="clear" w:color="auto" w:fill="FFFFFF"/>
            <w:tcMar>
              <w:top w:w="40" w:type="dxa"/>
              <w:bottom w:w="40" w:type="dxa"/>
              <w:right w:w="20" w:type="dxa"/>
            </w:tcMar>
            <w:vAlign w:val="bottom"/>
          </w:tcPr>
          <w:p w14:paraId="64A8B3D8"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3D9" w14:textId="77777777" w:rsidR="008D6614" w:rsidRDefault="008D6614">
            <w:pPr>
              <w:rPr>
                <w:rFonts w:ascii="宋体"/>
              </w:rPr>
            </w:pPr>
          </w:p>
        </w:tc>
        <w:tc>
          <w:tcPr>
            <w:tcW w:w="0" w:type="auto"/>
            <w:shd w:val="clear" w:color="auto" w:fill="auto"/>
            <w:vAlign w:val="center"/>
          </w:tcPr>
          <w:p w14:paraId="64A8B3DA" w14:textId="77777777" w:rsidR="008D6614" w:rsidRDefault="008D6614">
            <w:pPr>
              <w:rPr>
                <w:rFonts w:ascii="宋体"/>
              </w:rPr>
            </w:pPr>
          </w:p>
        </w:tc>
        <w:tc>
          <w:tcPr>
            <w:tcW w:w="0" w:type="auto"/>
            <w:shd w:val="clear" w:color="auto" w:fill="auto"/>
            <w:vAlign w:val="center"/>
          </w:tcPr>
          <w:p w14:paraId="64A8B3DB" w14:textId="77777777" w:rsidR="008D6614" w:rsidRDefault="008D6614">
            <w:pPr>
              <w:rPr>
                <w:rFonts w:ascii="宋体"/>
              </w:rPr>
            </w:pPr>
          </w:p>
        </w:tc>
        <w:tc>
          <w:tcPr>
            <w:tcW w:w="0" w:type="auto"/>
            <w:shd w:val="clear" w:color="auto" w:fill="auto"/>
            <w:vAlign w:val="center"/>
          </w:tcPr>
          <w:p w14:paraId="64A8B3DC" w14:textId="77777777" w:rsidR="008D6614" w:rsidRDefault="008D6614">
            <w:pPr>
              <w:rPr>
                <w:rFonts w:ascii="宋体"/>
              </w:rPr>
            </w:pPr>
          </w:p>
        </w:tc>
        <w:tc>
          <w:tcPr>
            <w:tcW w:w="0" w:type="auto"/>
            <w:shd w:val="clear" w:color="auto" w:fill="auto"/>
            <w:vAlign w:val="center"/>
          </w:tcPr>
          <w:p w14:paraId="64A8B3DD" w14:textId="77777777" w:rsidR="008D6614" w:rsidRDefault="008D6614">
            <w:pPr>
              <w:rPr>
                <w:rFonts w:ascii="宋体"/>
              </w:rPr>
            </w:pPr>
          </w:p>
        </w:tc>
        <w:tc>
          <w:tcPr>
            <w:tcW w:w="0" w:type="auto"/>
            <w:shd w:val="clear" w:color="auto" w:fill="auto"/>
            <w:vAlign w:val="center"/>
          </w:tcPr>
          <w:p w14:paraId="64A8B3DE" w14:textId="77777777" w:rsidR="008D6614" w:rsidRDefault="008D6614">
            <w:pPr>
              <w:rPr>
                <w:rFonts w:ascii="宋体"/>
              </w:rPr>
            </w:pPr>
          </w:p>
        </w:tc>
        <w:tc>
          <w:tcPr>
            <w:tcW w:w="0" w:type="auto"/>
            <w:shd w:val="clear" w:color="auto" w:fill="auto"/>
            <w:vAlign w:val="center"/>
          </w:tcPr>
          <w:p w14:paraId="64A8B3DF" w14:textId="77777777" w:rsidR="008D6614" w:rsidRDefault="008D6614">
            <w:pPr>
              <w:rPr>
                <w:rFonts w:ascii="宋体"/>
              </w:rPr>
            </w:pPr>
          </w:p>
        </w:tc>
        <w:tc>
          <w:tcPr>
            <w:tcW w:w="0" w:type="auto"/>
            <w:shd w:val="clear" w:color="auto" w:fill="auto"/>
            <w:vAlign w:val="center"/>
          </w:tcPr>
          <w:p w14:paraId="64A8B3E0" w14:textId="77777777" w:rsidR="008D6614" w:rsidRDefault="008D6614">
            <w:pPr>
              <w:rPr>
                <w:rFonts w:ascii="宋体"/>
              </w:rPr>
            </w:pPr>
          </w:p>
        </w:tc>
        <w:tc>
          <w:tcPr>
            <w:tcW w:w="0" w:type="auto"/>
            <w:shd w:val="clear" w:color="auto" w:fill="auto"/>
            <w:vAlign w:val="center"/>
          </w:tcPr>
          <w:p w14:paraId="64A8B3E1" w14:textId="77777777" w:rsidR="008D6614" w:rsidRDefault="008D6614">
            <w:pPr>
              <w:rPr>
                <w:rFonts w:ascii="宋体"/>
              </w:rPr>
            </w:pPr>
          </w:p>
        </w:tc>
        <w:tc>
          <w:tcPr>
            <w:tcW w:w="0" w:type="auto"/>
            <w:shd w:val="clear" w:color="auto" w:fill="auto"/>
            <w:vAlign w:val="center"/>
          </w:tcPr>
          <w:p w14:paraId="64A8B3E2" w14:textId="77777777" w:rsidR="008D6614" w:rsidRDefault="008D6614">
            <w:pPr>
              <w:rPr>
                <w:rFonts w:ascii="宋体"/>
              </w:rPr>
            </w:pPr>
          </w:p>
        </w:tc>
        <w:tc>
          <w:tcPr>
            <w:tcW w:w="0" w:type="auto"/>
            <w:shd w:val="clear" w:color="auto" w:fill="auto"/>
            <w:vAlign w:val="center"/>
          </w:tcPr>
          <w:p w14:paraId="64A8B3E3" w14:textId="77777777" w:rsidR="008D6614" w:rsidRDefault="008D6614">
            <w:pPr>
              <w:rPr>
                <w:rFonts w:ascii="宋体"/>
              </w:rPr>
            </w:pPr>
          </w:p>
        </w:tc>
        <w:tc>
          <w:tcPr>
            <w:tcW w:w="0" w:type="auto"/>
            <w:shd w:val="clear" w:color="auto" w:fill="auto"/>
            <w:vAlign w:val="center"/>
          </w:tcPr>
          <w:p w14:paraId="64A8B3E4" w14:textId="77777777" w:rsidR="008D6614" w:rsidRDefault="008D6614">
            <w:pPr>
              <w:rPr>
                <w:rFonts w:ascii="宋体"/>
              </w:rPr>
            </w:pPr>
          </w:p>
        </w:tc>
      </w:tr>
      <w:tr w:rsidR="008D6614" w14:paraId="64A8B404" w14:textId="77777777">
        <w:tc>
          <w:tcPr>
            <w:tcW w:w="0" w:type="auto"/>
            <w:gridSpan w:val="3"/>
            <w:shd w:val="clear" w:color="auto" w:fill="E2E2E2"/>
            <w:tcMar>
              <w:top w:w="40" w:type="dxa"/>
              <w:left w:w="135" w:type="dxa"/>
              <w:bottom w:w="40" w:type="dxa"/>
              <w:right w:w="20" w:type="dxa"/>
            </w:tcMar>
            <w:vAlign w:val="bottom"/>
          </w:tcPr>
          <w:p w14:paraId="64A8B3E6" w14:textId="77777777" w:rsidR="008D6614" w:rsidRDefault="00866AF2">
            <w:pPr>
              <w:textAlignment w:val="bottom"/>
            </w:pPr>
            <w:r>
              <w:rPr>
                <w:rFonts w:ascii="Arial" w:eastAsia="宋体" w:hAnsi="Arial" w:cs="Arial"/>
                <w:color w:val="000000"/>
                <w:sz w:val="16"/>
                <w:szCs w:val="16"/>
              </w:rPr>
              <w:t>Classifieds</w:t>
            </w:r>
          </w:p>
        </w:tc>
        <w:tc>
          <w:tcPr>
            <w:tcW w:w="0" w:type="auto"/>
            <w:gridSpan w:val="2"/>
            <w:shd w:val="clear" w:color="auto" w:fill="E2E2E2"/>
            <w:tcMar>
              <w:top w:w="40" w:type="dxa"/>
              <w:left w:w="20" w:type="dxa"/>
              <w:bottom w:w="40" w:type="dxa"/>
              <w:right w:w="0" w:type="dxa"/>
            </w:tcMar>
            <w:vAlign w:val="bottom"/>
          </w:tcPr>
          <w:p w14:paraId="64A8B3E7" w14:textId="77777777" w:rsidR="008D6614" w:rsidRDefault="00866AF2">
            <w:pPr>
              <w:jc w:val="right"/>
              <w:textAlignment w:val="bottom"/>
            </w:pPr>
            <w:r>
              <w:rPr>
                <w:rFonts w:ascii="Arial" w:eastAsia="宋体" w:hAnsi="Arial" w:cs="Arial"/>
                <w:color w:val="000000"/>
                <w:sz w:val="16"/>
                <w:szCs w:val="16"/>
              </w:rPr>
              <w:t>248 </w:t>
            </w:r>
          </w:p>
        </w:tc>
        <w:tc>
          <w:tcPr>
            <w:tcW w:w="0" w:type="auto"/>
            <w:shd w:val="clear" w:color="auto" w:fill="E2E2E2"/>
            <w:tcMar>
              <w:top w:w="40" w:type="dxa"/>
              <w:bottom w:w="40" w:type="dxa"/>
              <w:right w:w="20" w:type="dxa"/>
            </w:tcMar>
            <w:vAlign w:val="bottom"/>
          </w:tcPr>
          <w:p w14:paraId="64A8B3E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3E9"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3EA" w14:textId="77777777" w:rsidR="008D6614" w:rsidRDefault="00866AF2">
            <w:pPr>
              <w:jc w:val="right"/>
              <w:textAlignment w:val="bottom"/>
            </w:pPr>
            <w:r>
              <w:rPr>
                <w:rFonts w:ascii="Arial" w:eastAsia="宋体" w:hAnsi="Arial" w:cs="Arial"/>
                <w:color w:val="000000"/>
                <w:sz w:val="16"/>
                <w:szCs w:val="16"/>
              </w:rPr>
              <w:t>(6)</w:t>
            </w:r>
          </w:p>
        </w:tc>
        <w:tc>
          <w:tcPr>
            <w:tcW w:w="0" w:type="auto"/>
            <w:shd w:val="clear" w:color="auto" w:fill="E2E2E2"/>
            <w:tcMar>
              <w:top w:w="40" w:type="dxa"/>
              <w:bottom w:w="40" w:type="dxa"/>
              <w:right w:w="20" w:type="dxa"/>
            </w:tcMar>
            <w:vAlign w:val="bottom"/>
          </w:tcPr>
          <w:p w14:paraId="64A8B3E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3EC"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3ED" w14:textId="77777777" w:rsidR="008D6614" w:rsidRDefault="00866AF2">
            <w:pPr>
              <w:jc w:val="right"/>
              <w:textAlignment w:val="bottom"/>
            </w:pPr>
            <w:r>
              <w:rPr>
                <w:rFonts w:ascii="Arial" w:eastAsia="宋体" w:hAnsi="Arial" w:cs="Arial"/>
                <w:color w:val="000000"/>
                <w:sz w:val="16"/>
                <w:szCs w:val="16"/>
              </w:rPr>
              <w:t>254 </w:t>
            </w:r>
          </w:p>
        </w:tc>
        <w:tc>
          <w:tcPr>
            <w:tcW w:w="0" w:type="auto"/>
            <w:shd w:val="clear" w:color="auto" w:fill="E2E2E2"/>
            <w:tcMar>
              <w:top w:w="40" w:type="dxa"/>
              <w:bottom w:w="40" w:type="dxa"/>
              <w:right w:w="20" w:type="dxa"/>
            </w:tcMar>
            <w:vAlign w:val="bottom"/>
          </w:tcPr>
          <w:p w14:paraId="64A8B3EE"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3E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3F0" w14:textId="77777777" w:rsidR="008D6614" w:rsidRDefault="00866AF2">
            <w:pPr>
              <w:jc w:val="right"/>
              <w:textAlignment w:val="bottom"/>
            </w:pPr>
            <w:r>
              <w:rPr>
                <w:rFonts w:ascii="Arial" w:eastAsia="宋体" w:hAnsi="Arial" w:cs="Arial"/>
                <w:color w:val="000000"/>
                <w:sz w:val="16"/>
                <w:szCs w:val="16"/>
              </w:rPr>
              <w:t>256 </w:t>
            </w:r>
          </w:p>
        </w:tc>
        <w:tc>
          <w:tcPr>
            <w:tcW w:w="0" w:type="auto"/>
            <w:shd w:val="clear" w:color="auto" w:fill="E2E2E2"/>
            <w:tcMar>
              <w:top w:w="40" w:type="dxa"/>
              <w:bottom w:w="40" w:type="dxa"/>
              <w:right w:w="20" w:type="dxa"/>
            </w:tcMar>
            <w:vAlign w:val="bottom"/>
          </w:tcPr>
          <w:p w14:paraId="64A8B3F1"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3F2"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3F3" w14:textId="77777777" w:rsidR="008D6614" w:rsidRDefault="00866AF2">
            <w:pPr>
              <w:jc w:val="right"/>
              <w:textAlignment w:val="bottom"/>
            </w:pPr>
            <w:r>
              <w:rPr>
                <w:rFonts w:ascii="Arial" w:eastAsia="宋体" w:hAnsi="Arial" w:cs="Arial"/>
                <w:color w:val="000000"/>
                <w:sz w:val="16"/>
                <w:szCs w:val="16"/>
              </w:rPr>
              <w:t>(3)</w:t>
            </w:r>
          </w:p>
        </w:tc>
        <w:tc>
          <w:tcPr>
            <w:tcW w:w="0" w:type="auto"/>
            <w:shd w:val="clear" w:color="auto" w:fill="E2E2E2"/>
            <w:tcMar>
              <w:top w:w="40" w:type="dxa"/>
              <w:bottom w:w="40" w:type="dxa"/>
              <w:right w:w="20" w:type="dxa"/>
            </w:tcMar>
            <w:vAlign w:val="bottom"/>
          </w:tcPr>
          <w:p w14:paraId="64A8B3F4"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B3F5"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3F6"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E2E2E2"/>
            <w:tcMar>
              <w:top w:w="40" w:type="dxa"/>
              <w:bottom w:w="40" w:type="dxa"/>
              <w:right w:w="20" w:type="dxa"/>
            </w:tcMar>
            <w:vAlign w:val="bottom"/>
          </w:tcPr>
          <w:p w14:paraId="64A8B3F7"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3F8" w14:textId="77777777" w:rsidR="008D6614" w:rsidRDefault="008D6614">
            <w:pPr>
              <w:rPr>
                <w:rFonts w:ascii="宋体"/>
              </w:rPr>
            </w:pPr>
          </w:p>
        </w:tc>
        <w:tc>
          <w:tcPr>
            <w:tcW w:w="0" w:type="auto"/>
            <w:shd w:val="clear" w:color="auto" w:fill="auto"/>
            <w:vAlign w:val="center"/>
          </w:tcPr>
          <w:p w14:paraId="64A8B3F9" w14:textId="77777777" w:rsidR="008D6614" w:rsidRDefault="008D6614">
            <w:pPr>
              <w:rPr>
                <w:rFonts w:ascii="宋体"/>
              </w:rPr>
            </w:pPr>
          </w:p>
        </w:tc>
        <w:tc>
          <w:tcPr>
            <w:tcW w:w="0" w:type="auto"/>
            <w:shd w:val="clear" w:color="auto" w:fill="auto"/>
            <w:vAlign w:val="center"/>
          </w:tcPr>
          <w:p w14:paraId="64A8B3FA" w14:textId="77777777" w:rsidR="008D6614" w:rsidRDefault="008D6614">
            <w:pPr>
              <w:rPr>
                <w:rFonts w:ascii="宋体"/>
              </w:rPr>
            </w:pPr>
          </w:p>
        </w:tc>
        <w:tc>
          <w:tcPr>
            <w:tcW w:w="0" w:type="auto"/>
            <w:shd w:val="clear" w:color="auto" w:fill="auto"/>
            <w:vAlign w:val="center"/>
          </w:tcPr>
          <w:p w14:paraId="64A8B3FB" w14:textId="77777777" w:rsidR="008D6614" w:rsidRDefault="008D6614">
            <w:pPr>
              <w:rPr>
                <w:rFonts w:ascii="宋体"/>
              </w:rPr>
            </w:pPr>
          </w:p>
        </w:tc>
        <w:tc>
          <w:tcPr>
            <w:tcW w:w="0" w:type="auto"/>
            <w:shd w:val="clear" w:color="auto" w:fill="auto"/>
            <w:vAlign w:val="center"/>
          </w:tcPr>
          <w:p w14:paraId="64A8B3FC" w14:textId="77777777" w:rsidR="008D6614" w:rsidRDefault="008D6614">
            <w:pPr>
              <w:rPr>
                <w:rFonts w:ascii="宋体"/>
              </w:rPr>
            </w:pPr>
          </w:p>
        </w:tc>
        <w:tc>
          <w:tcPr>
            <w:tcW w:w="0" w:type="auto"/>
            <w:shd w:val="clear" w:color="auto" w:fill="auto"/>
            <w:vAlign w:val="center"/>
          </w:tcPr>
          <w:p w14:paraId="64A8B3FD" w14:textId="77777777" w:rsidR="008D6614" w:rsidRDefault="008D6614">
            <w:pPr>
              <w:rPr>
                <w:rFonts w:ascii="宋体"/>
              </w:rPr>
            </w:pPr>
          </w:p>
        </w:tc>
        <w:tc>
          <w:tcPr>
            <w:tcW w:w="0" w:type="auto"/>
            <w:shd w:val="clear" w:color="auto" w:fill="auto"/>
            <w:vAlign w:val="center"/>
          </w:tcPr>
          <w:p w14:paraId="64A8B3FE" w14:textId="77777777" w:rsidR="008D6614" w:rsidRDefault="008D6614">
            <w:pPr>
              <w:rPr>
                <w:rFonts w:ascii="宋体"/>
              </w:rPr>
            </w:pPr>
          </w:p>
        </w:tc>
        <w:tc>
          <w:tcPr>
            <w:tcW w:w="0" w:type="auto"/>
            <w:shd w:val="clear" w:color="auto" w:fill="auto"/>
            <w:vAlign w:val="center"/>
          </w:tcPr>
          <w:p w14:paraId="64A8B3FF" w14:textId="77777777" w:rsidR="008D6614" w:rsidRDefault="008D6614">
            <w:pPr>
              <w:rPr>
                <w:rFonts w:ascii="宋体"/>
              </w:rPr>
            </w:pPr>
          </w:p>
        </w:tc>
        <w:tc>
          <w:tcPr>
            <w:tcW w:w="0" w:type="auto"/>
            <w:shd w:val="clear" w:color="auto" w:fill="auto"/>
            <w:vAlign w:val="center"/>
          </w:tcPr>
          <w:p w14:paraId="64A8B400" w14:textId="77777777" w:rsidR="008D6614" w:rsidRDefault="008D6614">
            <w:pPr>
              <w:rPr>
                <w:rFonts w:ascii="宋体"/>
              </w:rPr>
            </w:pPr>
          </w:p>
        </w:tc>
        <w:tc>
          <w:tcPr>
            <w:tcW w:w="0" w:type="auto"/>
            <w:shd w:val="clear" w:color="auto" w:fill="auto"/>
            <w:vAlign w:val="center"/>
          </w:tcPr>
          <w:p w14:paraId="64A8B401" w14:textId="77777777" w:rsidR="008D6614" w:rsidRDefault="008D6614">
            <w:pPr>
              <w:rPr>
                <w:rFonts w:ascii="宋体"/>
              </w:rPr>
            </w:pPr>
          </w:p>
        </w:tc>
        <w:tc>
          <w:tcPr>
            <w:tcW w:w="0" w:type="auto"/>
            <w:shd w:val="clear" w:color="auto" w:fill="auto"/>
            <w:vAlign w:val="center"/>
          </w:tcPr>
          <w:p w14:paraId="64A8B402" w14:textId="77777777" w:rsidR="008D6614" w:rsidRDefault="008D6614">
            <w:pPr>
              <w:rPr>
                <w:rFonts w:ascii="宋体"/>
              </w:rPr>
            </w:pPr>
          </w:p>
        </w:tc>
        <w:tc>
          <w:tcPr>
            <w:tcW w:w="0" w:type="auto"/>
            <w:shd w:val="clear" w:color="auto" w:fill="auto"/>
            <w:vAlign w:val="center"/>
          </w:tcPr>
          <w:p w14:paraId="64A8B403" w14:textId="77777777" w:rsidR="008D6614" w:rsidRDefault="008D6614">
            <w:pPr>
              <w:rPr>
                <w:rFonts w:ascii="宋体"/>
              </w:rPr>
            </w:pPr>
          </w:p>
        </w:tc>
      </w:tr>
      <w:tr w:rsidR="008D6614" w14:paraId="64A8B41D" w14:textId="77777777">
        <w:trPr>
          <w:hidden/>
        </w:trPr>
        <w:tc>
          <w:tcPr>
            <w:tcW w:w="0" w:type="auto"/>
            <w:gridSpan w:val="3"/>
            <w:shd w:val="clear" w:color="auto" w:fill="auto"/>
            <w:vAlign w:val="center"/>
          </w:tcPr>
          <w:p w14:paraId="64A8B405" w14:textId="77777777" w:rsidR="008D6614" w:rsidRDefault="008D6614">
            <w:pPr>
              <w:rPr>
                <w:rFonts w:ascii="宋体"/>
                <w:vanish/>
              </w:rPr>
            </w:pPr>
          </w:p>
        </w:tc>
        <w:tc>
          <w:tcPr>
            <w:tcW w:w="0" w:type="auto"/>
            <w:gridSpan w:val="3"/>
            <w:shd w:val="clear" w:color="auto" w:fill="auto"/>
            <w:vAlign w:val="center"/>
          </w:tcPr>
          <w:p w14:paraId="64A8B406" w14:textId="77777777" w:rsidR="008D6614" w:rsidRDefault="008D6614">
            <w:pPr>
              <w:rPr>
                <w:rFonts w:ascii="宋体"/>
                <w:vanish/>
              </w:rPr>
            </w:pPr>
          </w:p>
        </w:tc>
        <w:tc>
          <w:tcPr>
            <w:tcW w:w="0" w:type="auto"/>
            <w:gridSpan w:val="3"/>
            <w:shd w:val="clear" w:color="auto" w:fill="auto"/>
            <w:vAlign w:val="center"/>
          </w:tcPr>
          <w:p w14:paraId="64A8B407" w14:textId="77777777" w:rsidR="008D6614" w:rsidRDefault="008D6614">
            <w:pPr>
              <w:rPr>
                <w:rFonts w:ascii="宋体"/>
                <w:vanish/>
              </w:rPr>
            </w:pPr>
          </w:p>
        </w:tc>
        <w:tc>
          <w:tcPr>
            <w:tcW w:w="0" w:type="auto"/>
            <w:gridSpan w:val="3"/>
            <w:shd w:val="clear" w:color="auto" w:fill="auto"/>
            <w:vAlign w:val="center"/>
          </w:tcPr>
          <w:p w14:paraId="64A8B408" w14:textId="77777777" w:rsidR="008D6614" w:rsidRDefault="008D6614">
            <w:pPr>
              <w:rPr>
                <w:rFonts w:ascii="宋体"/>
                <w:vanish/>
              </w:rPr>
            </w:pPr>
          </w:p>
        </w:tc>
        <w:tc>
          <w:tcPr>
            <w:tcW w:w="0" w:type="auto"/>
            <w:gridSpan w:val="3"/>
            <w:shd w:val="clear" w:color="auto" w:fill="auto"/>
            <w:vAlign w:val="center"/>
          </w:tcPr>
          <w:p w14:paraId="64A8B409" w14:textId="77777777" w:rsidR="008D6614" w:rsidRDefault="008D6614">
            <w:pPr>
              <w:rPr>
                <w:rFonts w:ascii="宋体"/>
                <w:vanish/>
              </w:rPr>
            </w:pPr>
          </w:p>
        </w:tc>
        <w:tc>
          <w:tcPr>
            <w:tcW w:w="0" w:type="auto"/>
            <w:gridSpan w:val="3"/>
            <w:shd w:val="clear" w:color="auto" w:fill="auto"/>
            <w:vAlign w:val="center"/>
          </w:tcPr>
          <w:p w14:paraId="64A8B40A" w14:textId="77777777" w:rsidR="008D6614" w:rsidRDefault="008D6614">
            <w:pPr>
              <w:rPr>
                <w:rFonts w:ascii="宋体"/>
                <w:vanish/>
              </w:rPr>
            </w:pPr>
          </w:p>
        </w:tc>
        <w:tc>
          <w:tcPr>
            <w:tcW w:w="0" w:type="auto"/>
            <w:gridSpan w:val="3"/>
            <w:shd w:val="clear" w:color="auto" w:fill="auto"/>
            <w:vAlign w:val="center"/>
          </w:tcPr>
          <w:p w14:paraId="64A8B40B" w14:textId="77777777" w:rsidR="008D6614" w:rsidRDefault="008D6614">
            <w:pPr>
              <w:rPr>
                <w:rFonts w:ascii="宋体"/>
                <w:vanish/>
              </w:rPr>
            </w:pPr>
          </w:p>
        </w:tc>
        <w:tc>
          <w:tcPr>
            <w:tcW w:w="0" w:type="auto"/>
            <w:gridSpan w:val="3"/>
            <w:shd w:val="clear" w:color="auto" w:fill="auto"/>
            <w:vAlign w:val="center"/>
          </w:tcPr>
          <w:p w14:paraId="64A8B40C" w14:textId="77777777" w:rsidR="008D6614" w:rsidRDefault="008D6614">
            <w:pPr>
              <w:rPr>
                <w:rFonts w:ascii="宋体"/>
                <w:vanish/>
              </w:rPr>
            </w:pPr>
          </w:p>
        </w:tc>
        <w:tc>
          <w:tcPr>
            <w:tcW w:w="0" w:type="auto"/>
            <w:gridSpan w:val="3"/>
            <w:shd w:val="clear" w:color="auto" w:fill="auto"/>
            <w:vAlign w:val="center"/>
          </w:tcPr>
          <w:p w14:paraId="64A8B40D" w14:textId="77777777" w:rsidR="008D6614" w:rsidRDefault="008D6614">
            <w:pPr>
              <w:rPr>
                <w:rFonts w:ascii="宋体"/>
                <w:vanish/>
              </w:rPr>
            </w:pPr>
          </w:p>
        </w:tc>
        <w:tc>
          <w:tcPr>
            <w:tcW w:w="0" w:type="auto"/>
            <w:gridSpan w:val="3"/>
            <w:shd w:val="clear" w:color="auto" w:fill="auto"/>
            <w:vAlign w:val="center"/>
          </w:tcPr>
          <w:p w14:paraId="64A8B40E" w14:textId="77777777" w:rsidR="008D6614" w:rsidRDefault="008D6614">
            <w:pPr>
              <w:rPr>
                <w:rFonts w:ascii="宋体"/>
                <w:vanish/>
              </w:rPr>
            </w:pPr>
          </w:p>
        </w:tc>
        <w:tc>
          <w:tcPr>
            <w:tcW w:w="0" w:type="auto"/>
            <w:gridSpan w:val="3"/>
            <w:shd w:val="clear" w:color="auto" w:fill="auto"/>
            <w:vAlign w:val="center"/>
          </w:tcPr>
          <w:p w14:paraId="64A8B40F" w14:textId="77777777" w:rsidR="008D6614" w:rsidRDefault="008D6614">
            <w:pPr>
              <w:rPr>
                <w:rFonts w:ascii="宋体"/>
                <w:vanish/>
              </w:rPr>
            </w:pPr>
          </w:p>
        </w:tc>
        <w:tc>
          <w:tcPr>
            <w:tcW w:w="0" w:type="auto"/>
            <w:gridSpan w:val="3"/>
            <w:shd w:val="clear" w:color="auto" w:fill="auto"/>
            <w:vAlign w:val="center"/>
          </w:tcPr>
          <w:p w14:paraId="64A8B410" w14:textId="77777777" w:rsidR="008D6614" w:rsidRDefault="008D6614">
            <w:pPr>
              <w:rPr>
                <w:rFonts w:ascii="宋体"/>
                <w:vanish/>
              </w:rPr>
            </w:pPr>
          </w:p>
        </w:tc>
        <w:tc>
          <w:tcPr>
            <w:tcW w:w="0" w:type="auto"/>
            <w:shd w:val="clear" w:color="auto" w:fill="auto"/>
            <w:vAlign w:val="center"/>
          </w:tcPr>
          <w:p w14:paraId="64A8B411" w14:textId="77777777" w:rsidR="008D6614" w:rsidRDefault="008D6614">
            <w:pPr>
              <w:rPr>
                <w:rFonts w:ascii="宋体"/>
              </w:rPr>
            </w:pPr>
          </w:p>
        </w:tc>
        <w:tc>
          <w:tcPr>
            <w:tcW w:w="0" w:type="auto"/>
            <w:shd w:val="clear" w:color="auto" w:fill="auto"/>
            <w:vAlign w:val="center"/>
          </w:tcPr>
          <w:p w14:paraId="64A8B412" w14:textId="77777777" w:rsidR="008D6614" w:rsidRDefault="008D6614">
            <w:pPr>
              <w:rPr>
                <w:rFonts w:ascii="宋体"/>
              </w:rPr>
            </w:pPr>
          </w:p>
        </w:tc>
        <w:tc>
          <w:tcPr>
            <w:tcW w:w="0" w:type="auto"/>
            <w:shd w:val="clear" w:color="auto" w:fill="auto"/>
            <w:vAlign w:val="center"/>
          </w:tcPr>
          <w:p w14:paraId="64A8B413" w14:textId="77777777" w:rsidR="008D6614" w:rsidRDefault="008D6614">
            <w:pPr>
              <w:rPr>
                <w:rFonts w:ascii="宋体"/>
              </w:rPr>
            </w:pPr>
          </w:p>
        </w:tc>
        <w:tc>
          <w:tcPr>
            <w:tcW w:w="0" w:type="auto"/>
            <w:shd w:val="clear" w:color="auto" w:fill="auto"/>
            <w:vAlign w:val="center"/>
          </w:tcPr>
          <w:p w14:paraId="64A8B414" w14:textId="77777777" w:rsidR="008D6614" w:rsidRDefault="008D6614">
            <w:pPr>
              <w:rPr>
                <w:rFonts w:ascii="宋体"/>
              </w:rPr>
            </w:pPr>
          </w:p>
        </w:tc>
        <w:tc>
          <w:tcPr>
            <w:tcW w:w="0" w:type="auto"/>
            <w:shd w:val="clear" w:color="auto" w:fill="auto"/>
            <w:vAlign w:val="center"/>
          </w:tcPr>
          <w:p w14:paraId="64A8B415" w14:textId="77777777" w:rsidR="008D6614" w:rsidRDefault="008D6614">
            <w:pPr>
              <w:rPr>
                <w:rFonts w:ascii="宋体"/>
              </w:rPr>
            </w:pPr>
          </w:p>
        </w:tc>
        <w:tc>
          <w:tcPr>
            <w:tcW w:w="0" w:type="auto"/>
            <w:shd w:val="clear" w:color="auto" w:fill="auto"/>
            <w:vAlign w:val="center"/>
          </w:tcPr>
          <w:p w14:paraId="64A8B416" w14:textId="77777777" w:rsidR="008D6614" w:rsidRDefault="008D6614">
            <w:pPr>
              <w:rPr>
                <w:rFonts w:ascii="宋体"/>
              </w:rPr>
            </w:pPr>
          </w:p>
        </w:tc>
        <w:tc>
          <w:tcPr>
            <w:tcW w:w="0" w:type="auto"/>
            <w:shd w:val="clear" w:color="auto" w:fill="auto"/>
            <w:vAlign w:val="center"/>
          </w:tcPr>
          <w:p w14:paraId="64A8B417" w14:textId="77777777" w:rsidR="008D6614" w:rsidRDefault="008D6614">
            <w:pPr>
              <w:rPr>
                <w:rFonts w:ascii="宋体"/>
              </w:rPr>
            </w:pPr>
          </w:p>
        </w:tc>
        <w:tc>
          <w:tcPr>
            <w:tcW w:w="0" w:type="auto"/>
            <w:shd w:val="clear" w:color="auto" w:fill="auto"/>
            <w:vAlign w:val="center"/>
          </w:tcPr>
          <w:p w14:paraId="64A8B418" w14:textId="77777777" w:rsidR="008D6614" w:rsidRDefault="008D6614">
            <w:pPr>
              <w:rPr>
                <w:rFonts w:ascii="宋体"/>
              </w:rPr>
            </w:pPr>
          </w:p>
        </w:tc>
        <w:tc>
          <w:tcPr>
            <w:tcW w:w="0" w:type="auto"/>
            <w:shd w:val="clear" w:color="auto" w:fill="auto"/>
            <w:vAlign w:val="center"/>
          </w:tcPr>
          <w:p w14:paraId="64A8B419" w14:textId="77777777" w:rsidR="008D6614" w:rsidRDefault="008D6614">
            <w:pPr>
              <w:rPr>
                <w:rFonts w:ascii="宋体"/>
              </w:rPr>
            </w:pPr>
          </w:p>
        </w:tc>
        <w:tc>
          <w:tcPr>
            <w:tcW w:w="0" w:type="auto"/>
            <w:shd w:val="clear" w:color="auto" w:fill="auto"/>
            <w:vAlign w:val="center"/>
          </w:tcPr>
          <w:p w14:paraId="64A8B41A" w14:textId="77777777" w:rsidR="008D6614" w:rsidRDefault="008D6614">
            <w:pPr>
              <w:rPr>
                <w:rFonts w:ascii="宋体"/>
              </w:rPr>
            </w:pPr>
          </w:p>
        </w:tc>
        <w:tc>
          <w:tcPr>
            <w:tcW w:w="0" w:type="auto"/>
            <w:shd w:val="clear" w:color="auto" w:fill="auto"/>
            <w:vAlign w:val="center"/>
          </w:tcPr>
          <w:p w14:paraId="64A8B41B" w14:textId="77777777" w:rsidR="008D6614" w:rsidRDefault="008D6614">
            <w:pPr>
              <w:rPr>
                <w:rFonts w:ascii="宋体"/>
              </w:rPr>
            </w:pPr>
          </w:p>
        </w:tc>
        <w:tc>
          <w:tcPr>
            <w:tcW w:w="0" w:type="auto"/>
            <w:shd w:val="clear" w:color="auto" w:fill="auto"/>
            <w:vAlign w:val="center"/>
          </w:tcPr>
          <w:p w14:paraId="64A8B41C" w14:textId="77777777" w:rsidR="008D6614" w:rsidRDefault="008D6614">
            <w:pPr>
              <w:rPr>
                <w:rFonts w:ascii="宋体"/>
              </w:rPr>
            </w:pPr>
          </w:p>
        </w:tc>
      </w:tr>
      <w:tr w:rsidR="008D6614" w14:paraId="64A8B43C" w14:textId="77777777">
        <w:tc>
          <w:tcPr>
            <w:tcW w:w="0" w:type="auto"/>
            <w:gridSpan w:val="3"/>
            <w:shd w:val="clear" w:color="auto" w:fill="FFFFFF"/>
            <w:tcMar>
              <w:top w:w="40" w:type="dxa"/>
              <w:left w:w="135" w:type="dxa"/>
              <w:bottom w:w="40" w:type="dxa"/>
              <w:right w:w="20" w:type="dxa"/>
            </w:tcMar>
            <w:vAlign w:val="bottom"/>
          </w:tcPr>
          <w:p w14:paraId="64A8B41E" w14:textId="77777777" w:rsidR="008D6614" w:rsidRDefault="00866AF2">
            <w:pPr>
              <w:textAlignment w:val="bottom"/>
            </w:pPr>
            <w:r>
              <w:rPr>
                <w:rFonts w:ascii="Arial" w:eastAsia="宋体" w:hAnsi="Arial" w:cs="Arial"/>
                <w:color w:val="000000"/>
                <w:sz w:val="16"/>
                <w:szCs w:val="16"/>
              </w:rPr>
              <w:t>Elimination of inter-segment net revenue</w:t>
            </w:r>
          </w:p>
        </w:tc>
        <w:tc>
          <w:tcPr>
            <w:tcW w:w="0" w:type="auto"/>
            <w:gridSpan w:val="2"/>
            <w:shd w:val="clear" w:color="auto" w:fill="FFFFFF"/>
            <w:tcMar>
              <w:top w:w="40" w:type="dxa"/>
              <w:left w:w="20" w:type="dxa"/>
              <w:bottom w:w="40" w:type="dxa"/>
              <w:right w:w="0" w:type="dxa"/>
            </w:tcMar>
            <w:vAlign w:val="bottom"/>
          </w:tcPr>
          <w:p w14:paraId="64A8B41F" w14:textId="77777777" w:rsidR="008D6614" w:rsidRDefault="00866AF2">
            <w:pPr>
              <w:jc w:val="right"/>
              <w:textAlignment w:val="bottom"/>
            </w:pPr>
            <w:r>
              <w:rPr>
                <w:rFonts w:ascii="Arial" w:eastAsia="宋体" w:hAnsi="Arial" w:cs="Arial"/>
                <w:color w:val="000000"/>
                <w:sz w:val="16"/>
                <w:szCs w:val="16"/>
              </w:rPr>
              <w:t>(4)</w:t>
            </w:r>
          </w:p>
        </w:tc>
        <w:tc>
          <w:tcPr>
            <w:tcW w:w="0" w:type="auto"/>
            <w:shd w:val="clear" w:color="auto" w:fill="FFFFFF"/>
            <w:tcMar>
              <w:top w:w="40" w:type="dxa"/>
              <w:bottom w:w="40" w:type="dxa"/>
              <w:right w:w="20" w:type="dxa"/>
            </w:tcMar>
            <w:vAlign w:val="bottom"/>
          </w:tcPr>
          <w:p w14:paraId="64A8B420"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421"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422" w14:textId="77777777" w:rsidR="008D6614" w:rsidRDefault="00866AF2">
            <w:pPr>
              <w:jc w:val="right"/>
              <w:textAlignment w:val="bottom"/>
            </w:pPr>
            <w:r>
              <w:rPr>
                <w:rFonts w:ascii="Arial" w:eastAsia="宋体" w:hAnsi="Arial" w:cs="Arial"/>
                <w:color w:val="000000"/>
                <w:sz w:val="16"/>
                <w:szCs w:val="16"/>
              </w:rPr>
              <w:t>— </w:t>
            </w:r>
          </w:p>
        </w:tc>
        <w:tc>
          <w:tcPr>
            <w:tcW w:w="0" w:type="auto"/>
            <w:shd w:val="clear" w:color="auto" w:fill="FFFFFF"/>
            <w:tcMar>
              <w:top w:w="40" w:type="dxa"/>
              <w:bottom w:w="40" w:type="dxa"/>
              <w:right w:w="20" w:type="dxa"/>
            </w:tcMar>
            <w:vAlign w:val="bottom"/>
          </w:tcPr>
          <w:p w14:paraId="64A8B42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424"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425" w14:textId="77777777" w:rsidR="008D6614" w:rsidRDefault="00866AF2">
            <w:pPr>
              <w:jc w:val="right"/>
              <w:textAlignment w:val="bottom"/>
            </w:pPr>
            <w:r>
              <w:rPr>
                <w:rFonts w:ascii="Arial" w:eastAsia="宋体" w:hAnsi="Arial" w:cs="Arial"/>
                <w:color w:val="000000"/>
                <w:sz w:val="16"/>
                <w:szCs w:val="16"/>
              </w:rPr>
              <w:t>(4)</w:t>
            </w:r>
          </w:p>
        </w:tc>
        <w:tc>
          <w:tcPr>
            <w:tcW w:w="0" w:type="auto"/>
            <w:shd w:val="clear" w:color="auto" w:fill="FFFFFF"/>
            <w:tcMar>
              <w:top w:w="40" w:type="dxa"/>
              <w:bottom w:w="40" w:type="dxa"/>
              <w:right w:w="20" w:type="dxa"/>
            </w:tcMar>
            <w:vAlign w:val="bottom"/>
          </w:tcPr>
          <w:p w14:paraId="64A8B426"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42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428" w14:textId="77777777" w:rsidR="008D6614" w:rsidRDefault="00866AF2">
            <w:pPr>
              <w:jc w:val="right"/>
              <w:textAlignment w:val="bottom"/>
            </w:pPr>
            <w:r>
              <w:rPr>
                <w:rFonts w:ascii="Arial" w:eastAsia="宋体" w:hAnsi="Arial" w:cs="Arial"/>
                <w:color w:val="000000"/>
                <w:sz w:val="16"/>
                <w:szCs w:val="16"/>
              </w:rPr>
              <w:t>(5)</w:t>
            </w:r>
          </w:p>
        </w:tc>
        <w:tc>
          <w:tcPr>
            <w:tcW w:w="0" w:type="auto"/>
            <w:shd w:val="clear" w:color="auto" w:fill="FFFFFF"/>
            <w:tcMar>
              <w:top w:w="40" w:type="dxa"/>
              <w:bottom w:w="40" w:type="dxa"/>
              <w:right w:w="20" w:type="dxa"/>
            </w:tcMar>
            <w:vAlign w:val="bottom"/>
          </w:tcPr>
          <w:p w14:paraId="64A8B429"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42A"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42B" w14:textId="77777777" w:rsidR="008D6614" w:rsidRDefault="00866AF2">
            <w:pPr>
              <w:jc w:val="right"/>
              <w:textAlignment w:val="bottom"/>
            </w:pPr>
            <w:r>
              <w:rPr>
                <w:rFonts w:ascii="Arial" w:eastAsia="宋体" w:hAnsi="Arial" w:cs="Arial"/>
                <w:color w:val="000000"/>
                <w:sz w:val="16"/>
                <w:szCs w:val="16"/>
              </w:rPr>
              <w:t>(20)</w:t>
            </w:r>
          </w:p>
        </w:tc>
        <w:tc>
          <w:tcPr>
            <w:tcW w:w="0" w:type="auto"/>
            <w:shd w:val="clear" w:color="auto" w:fill="FFFFFF"/>
            <w:tcMar>
              <w:top w:w="40" w:type="dxa"/>
              <w:bottom w:w="40" w:type="dxa"/>
              <w:right w:w="20" w:type="dxa"/>
            </w:tcMar>
            <w:vAlign w:val="bottom"/>
          </w:tcPr>
          <w:p w14:paraId="64A8B42C"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B42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42E" w14:textId="77777777" w:rsidR="008D6614" w:rsidRDefault="00866AF2">
            <w:pPr>
              <w:jc w:val="right"/>
              <w:textAlignment w:val="bottom"/>
            </w:pPr>
            <w:r>
              <w:rPr>
                <w:rFonts w:ascii="Arial" w:eastAsia="宋体" w:hAnsi="Arial" w:cs="Arial"/>
                <w:color w:val="000000"/>
                <w:sz w:val="16"/>
                <w:szCs w:val="16"/>
              </w:rPr>
              <w:t>(20)</w:t>
            </w:r>
          </w:p>
        </w:tc>
        <w:tc>
          <w:tcPr>
            <w:tcW w:w="0" w:type="auto"/>
            <w:shd w:val="clear" w:color="auto" w:fill="FFFFFF"/>
            <w:tcMar>
              <w:top w:w="40" w:type="dxa"/>
              <w:bottom w:w="40" w:type="dxa"/>
              <w:right w:w="20" w:type="dxa"/>
            </w:tcMar>
            <w:vAlign w:val="bottom"/>
          </w:tcPr>
          <w:p w14:paraId="64A8B42F"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430" w14:textId="77777777" w:rsidR="008D6614" w:rsidRDefault="008D6614">
            <w:pPr>
              <w:rPr>
                <w:rFonts w:ascii="宋体"/>
              </w:rPr>
            </w:pPr>
          </w:p>
        </w:tc>
        <w:tc>
          <w:tcPr>
            <w:tcW w:w="0" w:type="auto"/>
            <w:shd w:val="clear" w:color="auto" w:fill="auto"/>
            <w:vAlign w:val="center"/>
          </w:tcPr>
          <w:p w14:paraId="64A8B431" w14:textId="77777777" w:rsidR="008D6614" w:rsidRDefault="008D6614">
            <w:pPr>
              <w:rPr>
                <w:rFonts w:ascii="宋体"/>
              </w:rPr>
            </w:pPr>
          </w:p>
        </w:tc>
        <w:tc>
          <w:tcPr>
            <w:tcW w:w="0" w:type="auto"/>
            <w:shd w:val="clear" w:color="auto" w:fill="auto"/>
            <w:vAlign w:val="center"/>
          </w:tcPr>
          <w:p w14:paraId="64A8B432" w14:textId="77777777" w:rsidR="008D6614" w:rsidRDefault="008D6614">
            <w:pPr>
              <w:rPr>
                <w:rFonts w:ascii="宋体"/>
              </w:rPr>
            </w:pPr>
          </w:p>
        </w:tc>
        <w:tc>
          <w:tcPr>
            <w:tcW w:w="0" w:type="auto"/>
            <w:shd w:val="clear" w:color="auto" w:fill="auto"/>
            <w:vAlign w:val="center"/>
          </w:tcPr>
          <w:p w14:paraId="64A8B433" w14:textId="77777777" w:rsidR="008D6614" w:rsidRDefault="008D6614">
            <w:pPr>
              <w:rPr>
                <w:rFonts w:ascii="宋体"/>
              </w:rPr>
            </w:pPr>
          </w:p>
        </w:tc>
        <w:tc>
          <w:tcPr>
            <w:tcW w:w="0" w:type="auto"/>
            <w:shd w:val="clear" w:color="auto" w:fill="auto"/>
            <w:vAlign w:val="center"/>
          </w:tcPr>
          <w:p w14:paraId="64A8B434" w14:textId="77777777" w:rsidR="008D6614" w:rsidRDefault="008D6614">
            <w:pPr>
              <w:rPr>
                <w:rFonts w:ascii="宋体"/>
              </w:rPr>
            </w:pPr>
          </w:p>
        </w:tc>
        <w:tc>
          <w:tcPr>
            <w:tcW w:w="0" w:type="auto"/>
            <w:shd w:val="clear" w:color="auto" w:fill="auto"/>
            <w:vAlign w:val="center"/>
          </w:tcPr>
          <w:p w14:paraId="64A8B435" w14:textId="77777777" w:rsidR="008D6614" w:rsidRDefault="008D6614">
            <w:pPr>
              <w:rPr>
                <w:rFonts w:ascii="宋体"/>
              </w:rPr>
            </w:pPr>
          </w:p>
        </w:tc>
        <w:tc>
          <w:tcPr>
            <w:tcW w:w="0" w:type="auto"/>
            <w:shd w:val="clear" w:color="auto" w:fill="auto"/>
            <w:vAlign w:val="center"/>
          </w:tcPr>
          <w:p w14:paraId="64A8B436" w14:textId="77777777" w:rsidR="008D6614" w:rsidRDefault="008D6614">
            <w:pPr>
              <w:rPr>
                <w:rFonts w:ascii="宋体"/>
              </w:rPr>
            </w:pPr>
          </w:p>
        </w:tc>
        <w:tc>
          <w:tcPr>
            <w:tcW w:w="0" w:type="auto"/>
            <w:shd w:val="clear" w:color="auto" w:fill="auto"/>
            <w:vAlign w:val="center"/>
          </w:tcPr>
          <w:p w14:paraId="64A8B437" w14:textId="77777777" w:rsidR="008D6614" w:rsidRDefault="008D6614">
            <w:pPr>
              <w:rPr>
                <w:rFonts w:ascii="宋体"/>
              </w:rPr>
            </w:pPr>
          </w:p>
        </w:tc>
        <w:tc>
          <w:tcPr>
            <w:tcW w:w="0" w:type="auto"/>
            <w:shd w:val="clear" w:color="auto" w:fill="auto"/>
            <w:vAlign w:val="center"/>
          </w:tcPr>
          <w:p w14:paraId="64A8B438" w14:textId="77777777" w:rsidR="008D6614" w:rsidRDefault="008D6614">
            <w:pPr>
              <w:rPr>
                <w:rFonts w:ascii="宋体"/>
              </w:rPr>
            </w:pPr>
          </w:p>
        </w:tc>
        <w:tc>
          <w:tcPr>
            <w:tcW w:w="0" w:type="auto"/>
            <w:shd w:val="clear" w:color="auto" w:fill="auto"/>
            <w:vAlign w:val="center"/>
          </w:tcPr>
          <w:p w14:paraId="64A8B439" w14:textId="77777777" w:rsidR="008D6614" w:rsidRDefault="008D6614">
            <w:pPr>
              <w:rPr>
                <w:rFonts w:ascii="宋体"/>
              </w:rPr>
            </w:pPr>
          </w:p>
        </w:tc>
        <w:tc>
          <w:tcPr>
            <w:tcW w:w="0" w:type="auto"/>
            <w:shd w:val="clear" w:color="auto" w:fill="auto"/>
            <w:vAlign w:val="center"/>
          </w:tcPr>
          <w:p w14:paraId="64A8B43A" w14:textId="77777777" w:rsidR="008D6614" w:rsidRDefault="008D6614">
            <w:pPr>
              <w:rPr>
                <w:rFonts w:ascii="宋体"/>
              </w:rPr>
            </w:pPr>
          </w:p>
        </w:tc>
        <w:tc>
          <w:tcPr>
            <w:tcW w:w="0" w:type="auto"/>
            <w:shd w:val="clear" w:color="auto" w:fill="auto"/>
            <w:vAlign w:val="center"/>
          </w:tcPr>
          <w:p w14:paraId="64A8B43B" w14:textId="77777777" w:rsidR="008D6614" w:rsidRDefault="008D6614">
            <w:pPr>
              <w:rPr>
                <w:rFonts w:ascii="宋体"/>
              </w:rPr>
            </w:pPr>
          </w:p>
        </w:tc>
      </w:tr>
      <w:tr w:rsidR="008D6614" w14:paraId="64A8B45B" w14:textId="77777777">
        <w:tc>
          <w:tcPr>
            <w:tcW w:w="0" w:type="auto"/>
            <w:gridSpan w:val="3"/>
            <w:shd w:val="clear" w:color="auto" w:fill="E2E2E2"/>
            <w:tcMar>
              <w:top w:w="40" w:type="dxa"/>
              <w:left w:w="225" w:type="dxa"/>
              <w:bottom w:w="40" w:type="dxa"/>
              <w:right w:w="20" w:type="dxa"/>
            </w:tcMar>
            <w:vAlign w:val="bottom"/>
          </w:tcPr>
          <w:p w14:paraId="64A8B43D" w14:textId="77777777" w:rsidR="008D6614" w:rsidRDefault="00866AF2">
            <w:pPr>
              <w:textAlignment w:val="bottom"/>
            </w:pPr>
            <w:r>
              <w:rPr>
                <w:rFonts w:ascii="Arial" w:eastAsia="宋体" w:hAnsi="Arial" w:cs="Arial"/>
                <w:color w:val="000000"/>
                <w:sz w:val="16"/>
                <w:szCs w:val="16"/>
              </w:rPr>
              <w:t>Total</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B43E" w14:textId="77777777" w:rsidR="008D6614" w:rsidRDefault="00866AF2">
            <w:pPr>
              <w:jc w:val="right"/>
              <w:textAlignment w:val="bottom"/>
            </w:pPr>
            <w:r>
              <w:rPr>
                <w:rFonts w:ascii="Arial" w:eastAsia="宋体" w:hAnsi="Arial" w:cs="Arial"/>
                <w:color w:val="000000"/>
                <w:sz w:val="16"/>
                <w:szCs w:val="16"/>
              </w:rPr>
              <w:t>474 </w:t>
            </w:r>
          </w:p>
        </w:tc>
        <w:tc>
          <w:tcPr>
            <w:tcW w:w="0" w:type="auto"/>
            <w:tcBorders>
              <w:top w:val="single" w:sz="8" w:space="0" w:color="000000"/>
            </w:tcBorders>
            <w:shd w:val="clear" w:color="auto" w:fill="E2E2E2"/>
            <w:tcMar>
              <w:top w:w="40" w:type="dxa"/>
              <w:bottom w:w="40" w:type="dxa"/>
              <w:right w:w="20" w:type="dxa"/>
            </w:tcMar>
            <w:vAlign w:val="bottom"/>
          </w:tcPr>
          <w:p w14:paraId="64A8B43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440"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B441" w14:textId="77777777" w:rsidR="008D6614" w:rsidRDefault="00866AF2">
            <w:pPr>
              <w:jc w:val="right"/>
              <w:textAlignment w:val="bottom"/>
            </w:pPr>
            <w:r>
              <w:rPr>
                <w:rFonts w:ascii="Arial" w:eastAsia="宋体" w:hAnsi="Arial" w:cs="Arial"/>
                <w:color w:val="000000"/>
                <w:sz w:val="16"/>
                <w:szCs w:val="16"/>
              </w:rPr>
              <w:t>(11)</w:t>
            </w:r>
          </w:p>
        </w:tc>
        <w:tc>
          <w:tcPr>
            <w:tcW w:w="0" w:type="auto"/>
            <w:tcBorders>
              <w:top w:val="single" w:sz="8" w:space="0" w:color="000000"/>
            </w:tcBorders>
            <w:shd w:val="clear" w:color="auto" w:fill="E2E2E2"/>
            <w:tcMar>
              <w:top w:w="40" w:type="dxa"/>
              <w:bottom w:w="40" w:type="dxa"/>
              <w:right w:w="20" w:type="dxa"/>
            </w:tcMar>
            <w:vAlign w:val="bottom"/>
          </w:tcPr>
          <w:p w14:paraId="64A8B442"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443"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B444" w14:textId="77777777" w:rsidR="008D6614" w:rsidRDefault="00866AF2">
            <w:pPr>
              <w:jc w:val="right"/>
              <w:textAlignment w:val="bottom"/>
            </w:pPr>
            <w:r>
              <w:rPr>
                <w:rFonts w:ascii="Arial" w:eastAsia="宋体" w:hAnsi="Arial" w:cs="Arial"/>
                <w:color w:val="000000"/>
                <w:sz w:val="16"/>
                <w:szCs w:val="16"/>
              </w:rPr>
              <w:t>485 </w:t>
            </w:r>
          </w:p>
        </w:tc>
        <w:tc>
          <w:tcPr>
            <w:tcW w:w="0" w:type="auto"/>
            <w:tcBorders>
              <w:top w:val="single" w:sz="8" w:space="0" w:color="000000"/>
            </w:tcBorders>
            <w:shd w:val="clear" w:color="auto" w:fill="E2E2E2"/>
            <w:tcMar>
              <w:top w:w="40" w:type="dxa"/>
              <w:bottom w:w="40" w:type="dxa"/>
              <w:right w:w="20" w:type="dxa"/>
            </w:tcMar>
            <w:vAlign w:val="bottom"/>
          </w:tcPr>
          <w:p w14:paraId="64A8B445"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446"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B447" w14:textId="77777777" w:rsidR="008D6614" w:rsidRDefault="00866AF2">
            <w:pPr>
              <w:jc w:val="right"/>
              <w:textAlignment w:val="bottom"/>
            </w:pPr>
            <w:r>
              <w:rPr>
                <w:rFonts w:ascii="Arial" w:eastAsia="宋体" w:hAnsi="Arial" w:cs="Arial"/>
                <w:color w:val="000000"/>
                <w:sz w:val="16"/>
                <w:szCs w:val="16"/>
              </w:rPr>
              <w:t>528 </w:t>
            </w:r>
          </w:p>
        </w:tc>
        <w:tc>
          <w:tcPr>
            <w:tcW w:w="0" w:type="auto"/>
            <w:tcBorders>
              <w:top w:val="single" w:sz="8" w:space="0" w:color="000000"/>
            </w:tcBorders>
            <w:shd w:val="clear" w:color="auto" w:fill="E2E2E2"/>
            <w:tcMar>
              <w:top w:w="40" w:type="dxa"/>
              <w:bottom w:w="40" w:type="dxa"/>
              <w:right w:w="20" w:type="dxa"/>
            </w:tcMar>
            <w:vAlign w:val="bottom"/>
          </w:tcPr>
          <w:p w14:paraId="64A8B448"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E2E2E2"/>
            <w:tcMar>
              <w:left w:w="20" w:type="dxa"/>
              <w:right w:w="20" w:type="dxa"/>
            </w:tcMar>
            <w:vAlign w:val="bottom"/>
          </w:tcPr>
          <w:p w14:paraId="64A8B449"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B44A" w14:textId="77777777" w:rsidR="008D6614" w:rsidRDefault="00866AF2">
            <w:pPr>
              <w:jc w:val="right"/>
              <w:textAlignment w:val="bottom"/>
            </w:pPr>
            <w:r>
              <w:rPr>
                <w:rFonts w:ascii="Arial" w:eastAsia="宋体" w:hAnsi="Arial" w:cs="Arial"/>
                <w:color w:val="000000"/>
                <w:sz w:val="16"/>
                <w:szCs w:val="16"/>
              </w:rPr>
              <w:t>(10)</w:t>
            </w:r>
          </w:p>
        </w:tc>
        <w:tc>
          <w:tcPr>
            <w:tcW w:w="0" w:type="auto"/>
            <w:tcBorders>
              <w:top w:val="single" w:sz="8" w:space="0" w:color="000000"/>
            </w:tcBorders>
            <w:shd w:val="clear" w:color="auto" w:fill="E2E2E2"/>
            <w:tcMar>
              <w:top w:w="40" w:type="dxa"/>
              <w:bottom w:w="40" w:type="dxa"/>
              <w:right w:w="20" w:type="dxa"/>
            </w:tcMar>
            <w:vAlign w:val="bottom"/>
          </w:tcPr>
          <w:p w14:paraId="64A8B44B"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E2E2E2"/>
            <w:tcMar>
              <w:left w:w="20" w:type="dxa"/>
              <w:right w:w="20" w:type="dxa"/>
            </w:tcMar>
            <w:vAlign w:val="bottom"/>
          </w:tcPr>
          <w:p w14:paraId="64A8B44C" w14:textId="77777777" w:rsidR="008D6614" w:rsidRDefault="008D6614">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A8B44D" w14:textId="77777777" w:rsidR="008D6614" w:rsidRDefault="00866AF2">
            <w:pPr>
              <w:jc w:val="right"/>
              <w:textAlignment w:val="bottom"/>
            </w:pPr>
            <w:r>
              <w:rPr>
                <w:rFonts w:ascii="Arial" w:eastAsia="宋体" w:hAnsi="Arial" w:cs="Arial"/>
                <w:color w:val="000000"/>
                <w:sz w:val="16"/>
                <w:szCs w:val="16"/>
              </w:rPr>
              <w:t>(8)</w:t>
            </w:r>
          </w:p>
        </w:tc>
        <w:tc>
          <w:tcPr>
            <w:tcW w:w="0" w:type="auto"/>
            <w:tcBorders>
              <w:top w:val="single" w:sz="8" w:space="0" w:color="000000"/>
            </w:tcBorders>
            <w:shd w:val="clear" w:color="auto" w:fill="E2E2E2"/>
            <w:tcMar>
              <w:top w:w="40" w:type="dxa"/>
              <w:bottom w:w="40" w:type="dxa"/>
              <w:right w:w="20" w:type="dxa"/>
            </w:tcMar>
            <w:vAlign w:val="bottom"/>
          </w:tcPr>
          <w:p w14:paraId="64A8B44E"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44F" w14:textId="77777777" w:rsidR="008D6614" w:rsidRDefault="008D6614">
            <w:pPr>
              <w:rPr>
                <w:rFonts w:ascii="宋体"/>
              </w:rPr>
            </w:pPr>
          </w:p>
        </w:tc>
        <w:tc>
          <w:tcPr>
            <w:tcW w:w="0" w:type="auto"/>
            <w:shd w:val="clear" w:color="auto" w:fill="auto"/>
            <w:vAlign w:val="center"/>
          </w:tcPr>
          <w:p w14:paraId="64A8B450" w14:textId="77777777" w:rsidR="008D6614" w:rsidRDefault="008D6614">
            <w:pPr>
              <w:rPr>
                <w:rFonts w:ascii="宋体"/>
              </w:rPr>
            </w:pPr>
          </w:p>
        </w:tc>
        <w:tc>
          <w:tcPr>
            <w:tcW w:w="0" w:type="auto"/>
            <w:shd w:val="clear" w:color="auto" w:fill="auto"/>
            <w:vAlign w:val="center"/>
          </w:tcPr>
          <w:p w14:paraId="64A8B451" w14:textId="77777777" w:rsidR="008D6614" w:rsidRDefault="008D6614">
            <w:pPr>
              <w:rPr>
                <w:rFonts w:ascii="宋体"/>
              </w:rPr>
            </w:pPr>
          </w:p>
        </w:tc>
        <w:tc>
          <w:tcPr>
            <w:tcW w:w="0" w:type="auto"/>
            <w:shd w:val="clear" w:color="auto" w:fill="auto"/>
            <w:vAlign w:val="center"/>
          </w:tcPr>
          <w:p w14:paraId="64A8B452" w14:textId="77777777" w:rsidR="008D6614" w:rsidRDefault="008D6614">
            <w:pPr>
              <w:rPr>
                <w:rFonts w:ascii="宋体"/>
              </w:rPr>
            </w:pPr>
          </w:p>
        </w:tc>
        <w:tc>
          <w:tcPr>
            <w:tcW w:w="0" w:type="auto"/>
            <w:shd w:val="clear" w:color="auto" w:fill="auto"/>
            <w:vAlign w:val="center"/>
          </w:tcPr>
          <w:p w14:paraId="64A8B453" w14:textId="77777777" w:rsidR="008D6614" w:rsidRDefault="008D6614">
            <w:pPr>
              <w:rPr>
                <w:rFonts w:ascii="宋体"/>
              </w:rPr>
            </w:pPr>
          </w:p>
        </w:tc>
        <w:tc>
          <w:tcPr>
            <w:tcW w:w="0" w:type="auto"/>
            <w:shd w:val="clear" w:color="auto" w:fill="auto"/>
            <w:vAlign w:val="center"/>
          </w:tcPr>
          <w:p w14:paraId="64A8B454" w14:textId="77777777" w:rsidR="008D6614" w:rsidRDefault="008D6614">
            <w:pPr>
              <w:rPr>
                <w:rFonts w:ascii="宋体"/>
              </w:rPr>
            </w:pPr>
          </w:p>
        </w:tc>
        <w:tc>
          <w:tcPr>
            <w:tcW w:w="0" w:type="auto"/>
            <w:shd w:val="clear" w:color="auto" w:fill="auto"/>
            <w:vAlign w:val="center"/>
          </w:tcPr>
          <w:p w14:paraId="64A8B455" w14:textId="77777777" w:rsidR="008D6614" w:rsidRDefault="008D6614">
            <w:pPr>
              <w:rPr>
                <w:rFonts w:ascii="宋体"/>
              </w:rPr>
            </w:pPr>
          </w:p>
        </w:tc>
        <w:tc>
          <w:tcPr>
            <w:tcW w:w="0" w:type="auto"/>
            <w:shd w:val="clear" w:color="auto" w:fill="auto"/>
            <w:vAlign w:val="center"/>
          </w:tcPr>
          <w:p w14:paraId="64A8B456" w14:textId="77777777" w:rsidR="008D6614" w:rsidRDefault="008D6614">
            <w:pPr>
              <w:rPr>
                <w:rFonts w:ascii="宋体"/>
              </w:rPr>
            </w:pPr>
          </w:p>
        </w:tc>
        <w:tc>
          <w:tcPr>
            <w:tcW w:w="0" w:type="auto"/>
            <w:shd w:val="clear" w:color="auto" w:fill="auto"/>
            <w:vAlign w:val="center"/>
          </w:tcPr>
          <w:p w14:paraId="64A8B457" w14:textId="77777777" w:rsidR="008D6614" w:rsidRDefault="008D6614">
            <w:pPr>
              <w:rPr>
                <w:rFonts w:ascii="宋体"/>
              </w:rPr>
            </w:pPr>
          </w:p>
        </w:tc>
        <w:tc>
          <w:tcPr>
            <w:tcW w:w="0" w:type="auto"/>
            <w:shd w:val="clear" w:color="auto" w:fill="auto"/>
            <w:vAlign w:val="center"/>
          </w:tcPr>
          <w:p w14:paraId="64A8B458" w14:textId="77777777" w:rsidR="008D6614" w:rsidRDefault="008D6614">
            <w:pPr>
              <w:rPr>
                <w:rFonts w:ascii="宋体"/>
              </w:rPr>
            </w:pPr>
          </w:p>
        </w:tc>
        <w:tc>
          <w:tcPr>
            <w:tcW w:w="0" w:type="auto"/>
            <w:shd w:val="clear" w:color="auto" w:fill="auto"/>
            <w:vAlign w:val="center"/>
          </w:tcPr>
          <w:p w14:paraId="64A8B459" w14:textId="77777777" w:rsidR="008D6614" w:rsidRDefault="008D6614">
            <w:pPr>
              <w:rPr>
                <w:rFonts w:ascii="宋体"/>
              </w:rPr>
            </w:pPr>
          </w:p>
        </w:tc>
        <w:tc>
          <w:tcPr>
            <w:tcW w:w="0" w:type="auto"/>
            <w:shd w:val="clear" w:color="auto" w:fill="auto"/>
            <w:vAlign w:val="center"/>
          </w:tcPr>
          <w:p w14:paraId="64A8B45A" w14:textId="77777777" w:rsidR="008D6614" w:rsidRDefault="008D6614">
            <w:pPr>
              <w:rPr>
                <w:rFonts w:ascii="宋体"/>
              </w:rPr>
            </w:pPr>
          </w:p>
        </w:tc>
      </w:tr>
      <w:tr w:rsidR="008D6614" w14:paraId="64A8B47E" w14:textId="77777777">
        <w:tc>
          <w:tcPr>
            <w:tcW w:w="0" w:type="auto"/>
            <w:gridSpan w:val="3"/>
            <w:shd w:val="clear" w:color="auto" w:fill="FFFFFF"/>
            <w:tcMar>
              <w:top w:w="40" w:type="dxa"/>
              <w:left w:w="360" w:type="dxa"/>
              <w:bottom w:w="40" w:type="dxa"/>
              <w:right w:w="20" w:type="dxa"/>
            </w:tcMar>
            <w:vAlign w:val="bottom"/>
          </w:tcPr>
          <w:p w14:paraId="64A8B45C" w14:textId="77777777" w:rsidR="008D6614" w:rsidRDefault="00866AF2">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B45D"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B45E" w14:textId="77777777" w:rsidR="008D6614" w:rsidRDefault="00866AF2">
            <w:pPr>
              <w:jc w:val="right"/>
              <w:textAlignment w:val="bottom"/>
            </w:pPr>
            <w:r>
              <w:rPr>
                <w:rFonts w:ascii="Arial" w:eastAsia="宋体" w:hAnsi="Arial" w:cs="Arial"/>
                <w:color w:val="000000"/>
                <w:sz w:val="16"/>
                <w:szCs w:val="16"/>
              </w:rPr>
              <w:t>2,374 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B45F"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460"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B461"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B462" w14:textId="77777777" w:rsidR="008D6614" w:rsidRDefault="00866AF2">
            <w:pPr>
              <w:jc w:val="right"/>
              <w:textAlignment w:val="bottom"/>
            </w:pPr>
            <w:r>
              <w:rPr>
                <w:rFonts w:ascii="Arial" w:eastAsia="宋体" w:hAnsi="Arial" w:cs="Arial"/>
                <w:color w:val="000000"/>
                <w:sz w:val="16"/>
                <w:szCs w:val="16"/>
              </w:rPr>
              <w:t>(41)</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B463"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464"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B465"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B466" w14:textId="77777777" w:rsidR="008D6614" w:rsidRDefault="00866AF2">
            <w:pPr>
              <w:jc w:val="right"/>
              <w:textAlignment w:val="bottom"/>
            </w:pPr>
            <w:r>
              <w:rPr>
                <w:rFonts w:ascii="Arial" w:eastAsia="宋体" w:hAnsi="Arial" w:cs="Arial"/>
                <w:color w:val="000000"/>
                <w:sz w:val="16"/>
                <w:szCs w:val="16"/>
              </w:rPr>
              <w:t>2,415 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B467"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468" w14:textId="77777777" w:rsidR="008D6614" w:rsidRDefault="008D661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64A8B469" w14:textId="77777777" w:rsidR="008D6614" w:rsidRDefault="00866AF2">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64A8B46A" w14:textId="77777777" w:rsidR="008D6614" w:rsidRDefault="00866AF2">
            <w:pPr>
              <w:jc w:val="right"/>
              <w:textAlignment w:val="bottom"/>
            </w:pPr>
            <w:r>
              <w:rPr>
                <w:rFonts w:ascii="Arial" w:eastAsia="宋体" w:hAnsi="Arial" w:cs="Arial"/>
                <w:color w:val="000000"/>
                <w:sz w:val="16"/>
                <w:szCs w:val="16"/>
              </w:rPr>
              <w:t>2,413 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B46B" w14:textId="77777777" w:rsidR="008D6614" w:rsidRDefault="00866AF2">
            <w:pPr>
              <w:jc w:val="right"/>
              <w:textAlignment w:val="bottom"/>
            </w:pPr>
            <w:r>
              <w:rPr>
                <w:rFonts w:ascii="Arial" w:eastAsia="宋体" w:hAnsi="Arial" w:cs="Arial"/>
                <w:color w:val="000000"/>
                <w:sz w:val="16"/>
                <w:szCs w:val="16"/>
              </w:rPr>
              <w:t> </w:t>
            </w:r>
          </w:p>
        </w:tc>
        <w:tc>
          <w:tcPr>
            <w:tcW w:w="0" w:type="auto"/>
            <w:gridSpan w:val="3"/>
            <w:shd w:val="clear" w:color="auto" w:fill="FFFFFF"/>
            <w:tcMar>
              <w:left w:w="20" w:type="dxa"/>
              <w:right w:w="20" w:type="dxa"/>
            </w:tcMar>
            <w:vAlign w:val="bottom"/>
          </w:tcPr>
          <w:p w14:paraId="64A8B46C" w14:textId="77777777" w:rsidR="008D6614" w:rsidRDefault="008D661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A8B46D" w14:textId="77777777" w:rsidR="008D6614" w:rsidRDefault="00866AF2">
            <w:pPr>
              <w:jc w:val="right"/>
              <w:textAlignment w:val="bottom"/>
            </w:pPr>
            <w:r>
              <w:rPr>
                <w:rFonts w:ascii="Arial" w:eastAsia="宋体" w:hAnsi="Arial" w:cs="Arial"/>
                <w:color w:val="000000"/>
                <w:sz w:val="16"/>
                <w:szCs w:val="16"/>
              </w:rPr>
              <w:t>(2)</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B46E" w14:textId="77777777" w:rsidR="008D6614" w:rsidRDefault="00866AF2">
            <w:pPr>
              <w:jc w:val="right"/>
              <w:textAlignment w:val="bottom"/>
            </w:pPr>
            <w:r>
              <w:rPr>
                <w:rFonts w:ascii="Arial" w:eastAsia="宋体" w:hAnsi="Arial" w:cs="Arial"/>
                <w:color w:val="000000"/>
                <w:sz w:val="16"/>
                <w:szCs w:val="16"/>
              </w:rPr>
              <w:t>%</w:t>
            </w:r>
          </w:p>
        </w:tc>
        <w:tc>
          <w:tcPr>
            <w:tcW w:w="0" w:type="auto"/>
            <w:gridSpan w:val="3"/>
            <w:shd w:val="clear" w:color="auto" w:fill="FFFFFF"/>
            <w:tcMar>
              <w:left w:w="20" w:type="dxa"/>
              <w:right w:w="20" w:type="dxa"/>
            </w:tcMar>
            <w:vAlign w:val="bottom"/>
          </w:tcPr>
          <w:p w14:paraId="64A8B46F" w14:textId="77777777" w:rsidR="008D6614" w:rsidRDefault="008D661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A8B470" w14:textId="77777777" w:rsidR="008D6614" w:rsidRDefault="00866AF2">
            <w:pPr>
              <w:jc w:val="right"/>
              <w:textAlignment w:val="bottom"/>
            </w:pPr>
            <w:r>
              <w:rPr>
                <w:rFonts w:ascii="Arial" w:eastAsia="宋体" w:hAnsi="Arial" w:cs="Arial"/>
                <w:color w:val="000000"/>
                <w:sz w:val="16"/>
                <w:szCs w:val="16"/>
              </w:rPr>
              <w:t>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B471" w14:textId="77777777" w:rsidR="008D6614" w:rsidRDefault="00866AF2">
            <w:pPr>
              <w:jc w:val="right"/>
              <w:textAlignment w:val="bottom"/>
            </w:pPr>
            <w:r>
              <w:rPr>
                <w:rFonts w:ascii="Arial" w:eastAsia="宋体" w:hAnsi="Arial" w:cs="Arial"/>
                <w:color w:val="000000"/>
                <w:sz w:val="16"/>
                <w:szCs w:val="16"/>
              </w:rPr>
              <w:t>%</w:t>
            </w:r>
          </w:p>
        </w:tc>
        <w:tc>
          <w:tcPr>
            <w:tcW w:w="0" w:type="auto"/>
            <w:shd w:val="clear" w:color="auto" w:fill="auto"/>
            <w:vAlign w:val="center"/>
          </w:tcPr>
          <w:p w14:paraId="64A8B472" w14:textId="77777777" w:rsidR="008D6614" w:rsidRDefault="008D6614">
            <w:pPr>
              <w:rPr>
                <w:rFonts w:ascii="宋体"/>
              </w:rPr>
            </w:pPr>
          </w:p>
        </w:tc>
        <w:tc>
          <w:tcPr>
            <w:tcW w:w="0" w:type="auto"/>
            <w:shd w:val="clear" w:color="auto" w:fill="auto"/>
            <w:vAlign w:val="center"/>
          </w:tcPr>
          <w:p w14:paraId="64A8B473" w14:textId="77777777" w:rsidR="008D6614" w:rsidRDefault="008D6614">
            <w:pPr>
              <w:rPr>
                <w:rFonts w:ascii="宋体"/>
              </w:rPr>
            </w:pPr>
          </w:p>
        </w:tc>
        <w:tc>
          <w:tcPr>
            <w:tcW w:w="0" w:type="auto"/>
            <w:shd w:val="clear" w:color="auto" w:fill="auto"/>
            <w:vAlign w:val="center"/>
          </w:tcPr>
          <w:p w14:paraId="64A8B474" w14:textId="77777777" w:rsidR="008D6614" w:rsidRDefault="008D6614">
            <w:pPr>
              <w:rPr>
                <w:rFonts w:ascii="宋体"/>
              </w:rPr>
            </w:pPr>
          </w:p>
        </w:tc>
        <w:tc>
          <w:tcPr>
            <w:tcW w:w="0" w:type="auto"/>
            <w:shd w:val="clear" w:color="auto" w:fill="auto"/>
            <w:vAlign w:val="center"/>
          </w:tcPr>
          <w:p w14:paraId="64A8B475" w14:textId="77777777" w:rsidR="008D6614" w:rsidRDefault="008D6614">
            <w:pPr>
              <w:rPr>
                <w:rFonts w:ascii="宋体"/>
              </w:rPr>
            </w:pPr>
          </w:p>
        </w:tc>
        <w:tc>
          <w:tcPr>
            <w:tcW w:w="0" w:type="auto"/>
            <w:shd w:val="clear" w:color="auto" w:fill="auto"/>
            <w:vAlign w:val="center"/>
          </w:tcPr>
          <w:p w14:paraId="64A8B476" w14:textId="77777777" w:rsidR="008D6614" w:rsidRDefault="008D6614">
            <w:pPr>
              <w:rPr>
                <w:rFonts w:ascii="宋体"/>
              </w:rPr>
            </w:pPr>
          </w:p>
        </w:tc>
        <w:tc>
          <w:tcPr>
            <w:tcW w:w="0" w:type="auto"/>
            <w:shd w:val="clear" w:color="auto" w:fill="auto"/>
            <w:vAlign w:val="center"/>
          </w:tcPr>
          <w:p w14:paraId="64A8B477" w14:textId="77777777" w:rsidR="008D6614" w:rsidRDefault="008D6614">
            <w:pPr>
              <w:rPr>
                <w:rFonts w:ascii="宋体"/>
              </w:rPr>
            </w:pPr>
          </w:p>
        </w:tc>
        <w:tc>
          <w:tcPr>
            <w:tcW w:w="0" w:type="auto"/>
            <w:shd w:val="clear" w:color="auto" w:fill="auto"/>
            <w:vAlign w:val="center"/>
          </w:tcPr>
          <w:p w14:paraId="64A8B478" w14:textId="77777777" w:rsidR="008D6614" w:rsidRDefault="008D6614">
            <w:pPr>
              <w:rPr>
                <w:rFonts w:ascii="宋体"/>
              </w:rPr>
            </w:pPr>
          </w:p>
        </w:tc>
        <w:tc>
          <w:tcPr>
            <w:tcW w:w="0" w:type="auto"/>
            <w:shd w:val="clear" w:color="auto" w:fill="auto"/>
            <w:vAlign w:val="center"/>
          </w:tcPr>
          <w:p w14:paraId="64A8B479" w14:textId="77777777" w:rsidR="008D6614" w:rsidRDefault="008D6614">
            <w:pPr>
              <w:rPr>
                <w:rFonts w:ascii="宋体"/>
              </w:rPr>
            </w:pPr>
          </w:p>
        </w:tc>
        <w:tc>
          <w:tcPr>
            <w:tcW w:w="0" w:type="auto"/>
            <w:shd w:val="clear" w:color="auto" w:fill="auto"/>
            <w:vAlign w:val="center"/>
          </w:tcPr>
          <w:p w14:paraId="64A8B47A" w14:textId="77777777" w:rsidR="008D6614" w:rsidRDefault="008D6614">
            <w:pPr>
              <w:rPr>
                <w:rFonts w:ascii="宋体"/>
              </w:rPr>
            </w:pPr>
          </w:p>
        </w:tc>
        <w:tc>
          <w:tcPr>
            <w:tcW w:w="0" w:type="auto"/>
            <w:shd w:val="clear" w:color="auto" w:fill="auto"/>
            <w:vAlign w:val="center"/>
          </w:tcPr>
          <w:p w14:paraId="64A8B47B" w14:textId="77777777" w:rsidR="008D6614" w:rsidRDefault="008D6614">
            <w:pPr>
              <w:rPr>
                <w:rFonts w:ascii="宋体"/>
              </w:rPr>
            </w:pPr>
          </w:p>
        </w:tc>
        <w:tc>
          <w:tcPr>
            <w:tcW w:w="0" w:type="auto"/>
            <w:shd w:val="clear" w:color="auto" w:fill="auto"/>
            <w:vAlign w:val="center"/>
          </w:tcPr>
          <w:p w14:paraId="64A8B47C" w14:textId="77777777" w:rsidR="008D6614" w:rsidRDefault="008D6614">
            <w:pPr>
              <w:rPr>
                <w:rFonts w:ascii="宋体"/>
              </w:rPr>
            </w:pPr>
          </w:p>
        </w:tc>
        <w:tc>
          <w:tcPr>
            <w:tcW w:w="0" w:type="auto"/>
            <w:shd w:val="clear" w:color="auto" w:fill="auto"/>
            <w:vAlign w:val="center"/>
          </w:tcPr>
          <w:p w14:paraId="64A8B47D" w14:textId="77777777" w:rsidR="008D6614" w:rsidRDefault="008D6614">
            <w:pPr>
              <w:rPr>
                <w:rFonts w:ascii="宋体"/>
              </w:rPr>
            </w:pPr>
          </w:p>
        </w:tc>
      </w:tr>
    </w:tbl>
    <w:p w14:paraId="64A8B47F" w14:textId="77777777" w:rsidR="008D6614" w:rsidRDefault="008D6614"/>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8D6614" w14:paraId="64A8B483" w14:textId="77777777">
        <w:tc>
          <w:tcPr>
            <w:tcW w:w="50" w:type="pct"/>
            <w:shd w:val="clear" w:color="auto" w:fill="auto"/>
            <w:vAlign w:val="center"/>
          </w:tcPr>
          <w:p w14:paraId="64A8B480" w14:textId="77777777" w:rsidR="008D6614" w:rsidRDefault="008D6614">
            <w:pPr>
              <w:rPr>
                <w:rFonts w:ascii="宋体"/>
              </w:rPr>
            </w:pPr>
          </w:p>
        </w:tc>
        <w:tc>
          <w:tcPr>
            <w:tcW w:w="4900" w:type="pct"/>
            <w:shd w:val="clear" w:color="auto" w:fill="auto"/>
            <w:vAlign w:val="center"/>
          </w:tcPr>
          <w:p w14:paraId="64A8B481" w14:textId="77777777" w:rsidR="008D6614" w:rsidRDefault="008D6614">
            <w:pPr>
              <w:rPr>
                <w:rFonts w:ascii="宋体"/>
              </w:rPr>
            </w:pPr>
          </w:p>
        </w:tc>
        <w:tc>
          <w:tcPr>
            <w:tcW w:w="50" w:type="pct"/>
            <w:shd w:val="clear" w:color="auto" w:fill="auto"/>
            <w:vAlign w:val="center"/>
          </w:tcPr>
          <w:p w14:paraId="64A8B482" w14:textId="77777777" w:rsidR="008D6614" w:rsidRDefault="008D6614">
            <w:pPr>
              <w:rPr>
                <w:rFonts w:ascii="宋体"/>
              </w:rPr>
            </w:pPr>
          </w:p>
        </w:tc>
      </w:tr>
      <w:tr w:rsidR="008D6614" w14:paraId="64A8B485" w14:textId="77777777">
        <w:trPr>
          <w:trHeight w:val="60"/>
        </w:trPr>
        <w:tc>
          <w:tcPr>
            <w:tcW w:w="0" w:type="auto"/>
            <w:gridSpan w:val="3"/>
            <w:tcBorders>
              <w:top w:val="single" w:sz="8" w:space="0" w:color="000000"/>
            </w:tcBorders>
            <w:shd w:val="clear" w:color="auto" w:fill="auto"/>
            <w:tcMar>
              <w:left w:w="20" w:type="dxa"/>
              <w:right w:w="20" w:type="dxa"/>
            </w:tcMar>
            <w:vAlign w:val="bottom"/>
          </w:tcPr>
          <w:p w14:paraId="64A8B484" w14:textId="77777777" w:rsidR="008D6614" w:rsidRDefault="008D6614">
            <w:pPr>
              <w:rPr>
                <w:rFonts w:ascii="宋体"/>
              </w:rPr>
            </w:pPr>
          </w:p>
        </w:tc>
      </w:tr>
    </w:tbl>
    <w:p w14:paraId="64A8B486" w14:textId="77777777" w:rsidR="008D6614" w:rsidRDefault="00866AF2">
      <w:pPr>
        <w:spacing w:after="60"/>
        <w:ind w:hanging="360"/>
        <w:jc w:val="both"/>
      </w:pPr>
      <w:r>
        <w:rPr>
          <w:rFonts w:ascii="Arial" w:eastAsia="宋体" w:hAnsi="Arial" w:cs="Arial"/>
          <w:color w:val="000000"/>
          <w:sz w:val="16"/>
          <w:szCs w:val="16"/>
        </w:rPr>
        <w:t xml:space="preserve">(1)We define exchange rate effect as the year-over-year impact of foreign currency movements using prior period foreign currency rates applied to current year transactional currency amounts excluding hedging activity. </w:t>
      </w:r>
    </w:p>
    <w:p w14:paraId="64A8B487" w14:textId="77777777" w:rsidR="008D6614" w:rsidRDefault="00866AF2">
      <w:pPr>
        <w:spacing w:after="60"/>
        <w:ind w:hanging="360"/>
        <w:jc w:val="both"/>
      </w:pPr>
      <w:r>
        <w:rPr>
          <w:rFonts w:ascii="Arial" w:eastAsia="宋体" w:hAnsi="Arial" w:cs="Arial"/>
          <w:color w:val="000000"/>
          <w:sz w:val="16"/>
          <w:szCs w:val="16"/>
        </w:rPr>
        <w:t>(2)We define FX-Neutral GMV as GMV mi</w:t>
      </w:r>
      <w:r>
        <w:rPr>
          <w:rFonts w:ascii="Arial" w:eastAsia="宋体" w:hAnsi="Arial" w:cs="Arial"/>
          <w:color w:val="000000"/>
          <w:sz w:val="16"/>
          <w:szCs w:val="16"/>
        </w:rPr>
        <w:t>nus the exchange rate effect. We define the non-GAAP financial measures of FX-Neutral net revenues as net revenues minus the exchange rate effect.</w:t>
      </w:r>
    </w:p>
    <w:p w14:paraId="64A8B488" w14:textId="77777777" w:rsidR="008D6614" w:rsidRDefault="00866AF2">
      <w:pPr>
        <w:spacing w:after="60"/>
        <w:ind w:hanging="360"/>
        <w:jc w:val="both"/>
      </w:pPr>
      <w:r>
        <w:rPr>
          <w:rFonts w:ascii="Arial" w:eastAsia="宋体" w:hAnsi="Arial" w:cs="Arial"/>
          <w:color w:val="000000"/>
          <w:sz w:val="16"/>
          <w:szCs w:val="16"/>
        </w:rPr>
        <w:t>(3)Marketplace net transaction revenues were net of immaterial hedging activity during the three months ended</w:t>
      </w:r>
      <w:r>
        <w:rPr>
          <w:rFonts w:ascii="Arial" w:eastAsia="宋体" w:hAnsi="Arial" w:cs="Arial"/>
          <w:color w:val="000000"/>
          <w:sz w:val="16"/>
          <w:szCs w:val="16"/>
        </w:rPr>
        <w:t xml:space="preserve"> March 31, 2020 and $20 million of hedging activity during the three months ended March 31, 2019. </w:t>
      </w:r>
    </w:p>
    <w:p w14:paraId="64A8B489" w14:textId="77777777" w:rsidR="008D6614" w:rsidRDefault="008D6614">
      <w:pPr>
        <w:spacing w:after="60"/>
        <w:jc w:val="both"/>
      </w:pPr>
    </w:p>
    <w:p w14:paraId="64A8B48A" w14:textId="77777777" w:rsidR="008D6614" w:rsidRDefault="008D6614">
      <w:pPr>
        <w:jc w:val="center"/>
      </w:pPr>
    </w:p>
    <w:p w14:paraId="64A8B48B" w14:textId="77777777" w:rsidR="008D6614" w:rsidRDefault="00866AF2">
      <w:pPr>
        <w:jc w:val="center"/>
      </w:pPr>
      <w:r>
        <w:rPr>
          <w:rFonts w:ascii="Arial" w:eastAsia="宋体" w:hAnsi="Arial" w:cs="Arial"/>
          <w:color w:val="000000"/>
          <w:sz w:val="20"/>
          <w:szCs w:val="20"/>
        </w:rPr>
        <w:t>41</w:t>
      </w:r>
    </w:p>
    <w:p w14:paraId="64A8B48C" w14:textId="77777777" w:rsidR="008D6614" w:rsidRDefault="00866AF2">
      <w:r>
        <w:pict w14:anchorId="64A8BA06">
          <v:rect id="_x0000_i1065" style="width:415.3pt;height:1.5pt" o:hralign="center" o:hrstd="t" o:hr="t" fillcolor="#a0a0a0" stroked="f"/>
        </w:pict>
      </w:r>
    </w:p>
    <w:p w14:paraId="64A8B48D" w14:textId="77777777" w:rsidR="008D6614" w:rsidRDefault="008D6614"/>
    <w:p w14:paraId="64A8B48E" w14:textId="77777777" w:rsidR="008D6614" w:rsidRDefault="00866AF2">
      <w:r>
        <w:rPr>
          <w:rFonts w:ascii="Arial" w:eastAsia="宋体" w:hAnsi="Arial" w:cs="Arial"/>
          <w:b/>
          <w:bCs/>
          <w:i/>
          <w:iCs/>
          <w:color w:val="000000"/>
          <w:sz w:val="20"/>
          <w:szCs w:val="20"/>
        </w:rPr>
        <w:t xml:space="preserve">Liquidity and Capital Resources </w:t>
      </w:r>
    </w:p>
    <w:p w14:paraId="64A8B48F" w14:textId="77777777" w:rsidR="008D6614" w:rsidRDefault="008D6614"/>
    <w:p w14:paraId="64A8B490" w14:textId="77777777" w:rsidR="008D6614" w:rsidRDefault="00866AF2">
      <w:r>
        <w:rPr>
          <w:rFonts w:ascii="Arial" w:eastAsia="宋体" w:hAnsi="Arial" w:cs="Arial"/>
          <w:b/>
          <w:bCs/>
          <w:i/>
          <w:iCs/>
          <w:color w:val="000000"/>
          <w:sz w:val="20"/>
          <w:szCs w:val="20"/>
        </w:rPr>
        <w:t>Cash Flows</w:t>
      </w:r>
      <w:r>
        <w:rPr>
          <w:rFonts w:ascii="Arial" w:eastAsia="宋体" w:hAnsi="Arial" w:cs="Arial"/>
          <w:b/>
          <w:bCs/>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5447"/>
        <w:gridCol w:w="51"/>
        <w:gridCol w:w="137"/>
        <w:gridCol w:w="1007"/>
        <w:gridCol w:w="86"/>
        <w:gridCol w:w="36"/>
        <w:gridCol w:w="36"/>
        <w:gridCol w:w="36"/>
        <w:gridCol w:w="137"/>
        <w:gridCol w:w="985"/>
        <w:gridCol w:w="86"/>
        <w:gridCol w:w="36"/>
        <w:gridCol w:w="36"/>
        <w:gridCol w:w="36"/>
        <w:gridCol w:w="36"/>
        <w:gridCol w:w="36"/>
        <w:gridCol w:w="36"/>
      </w:tblGrid>
      <w:tr w:rsidR="008D6614" w14:paraId="64A8B49D" w14:textId="77777777">
        <w:trPr>
          <w:gridAfter w:val="6"/>
          <w:jc w:val="center"/>
        </w:trPr>
        <w:tc>
          <w:tcPr>
            <w:tcW w:w="50" w:type="pct"/>
            <w:shd w:val="clear" w:color="auto" w:fill="auto"/>
            <w:vAlign w:val="center"/>
          </w:tcPr>
          <w:p w14:paraId="64A8B491" w14:textId="77777777" w:rsidR="008D6614" w:rsidRDefault="008D6614">
            <w:pPr>
              <w:rPr>
                <w:rFonts w:ascii="宋体"/>
              </w:rPr>
            </w:pPr>
          </w:p>
        </w:tc>
        <w:tc>
          <w:tcPr>
            <w:tcW w:w="3382" w:type="pct"/>
            <w:shd w:val="clear" w:color="auto" w:fill="auto"/>
            <w:vAlign w:val="center"/>
          </w:tcPr>
          <w:p w14:paraId="64A8B492" w14:textId="77777777" w:rsidR="008D6614" w:rsidRDefault="008D6614">
            <w:pPr>
              <w:rPr>
                <w:rFonts w:ascii="宋体"/>
              </w:rPr>
            </w:pPr>
          </w:p>
        </w:tc>
        <w:tc>
          <w:tcPr>
            <w:tcW w:w="50" w:type="pct"/>
            <w:shd w:val="clear" w:color="auto" w:fill="auto"/>
            <w:vAlign w:val="center"/>
          </w:tcPr>
          <w:p w14:paraId="64A8B493" w14:textId="77777777" w:rsidR="008D6614" w:rsidRDefault="008D6614">
            <w:pPr>
              <w:rPr>
                <w:rFonts w:ascii="宋体"/>
              </w:rPr>
            </w:pPr>
          </w:p>
        </w:tc>
        <w:tc>
          <w:tcPr>
            <w:tcW w:w="50" w:type="pct"/>
            <w:shd w:val="clear" w:color="auto" w:fill="auto"/>
            <w:vAlign w:val="center"/>
          </w:tcPr>
          <w:p w14:paraId="64A8B494" w14:textId="77777777" w:rsidR="008D6614" w:rsidRDefault="008D6614">
            <w:pPr>
              <w:rPr>
                <w:rFonts w:ascii="宋体"/>
              </w:rPr>
            </w:pPr>
          </w:p>
        </w:tc>
        <w:tc>
          <w:tcPr>
            <w:tcW w:w="640" w:type="pct"/>
            <w:shd w:val="clear" w:color="auto" w:fill="auto"/>
            <w:vAlign w:val="center"/>
          </w:tcPr>
          <w:p w14:paraId="64A8B495" w14:textId="77777777" w:rsidR="008D6614" w:rsidRDefault="008D6614">
            <w:pPr>
              <w:rPr>
                <w:rFonts w:ascii="宋体"/>
              </w:rPr>
            </w:pPr>
          </w:p>
        </w:tc>
        <w:tc>
          <w:tcPr>
            <w:tcW w:w="50" w:type="pct"/>
            <w:shd w:val="clear" w:color="auto" w:fill="auto"/>
            <w:vAlign w:val="center"/>
          </w:tcPr>
          <w:p w14:paraId="64A8B496" w14:textId="77777777" w:rsidR="008D6614" w:rsidRDefault="008D6614">
            <w:pPr>
              <w:rPr>
                <w:rFonts w:ascii="宋体"/>
              </w:rPr>
            </w:pPr>
          </w:p>
        </w:tc>
        <w:tc>
          <w:tcPr>
            <w:tcW w:w="5" w:type="pct"/>
            <w:shd w:val="clear" w:color="auto" w:fill="auto"/>
            <w:vAlign w:val="center"/>
          </w:tcPr>
          <w:p w14:paraId="64A8B497" w14:textId="77777777" w:rsidR="008D6614" w:rsidRDefault="008D6614">
            <w:pPr>
              <w:rPr>
                <w:rFonts w:ascii="宋体"/>
              </w:rPr>
            </w:pPr>
          </w:p>
        </w:tc>
        <w:tc>
          <w:tcPr>
            <w:tcW w:w="26" w:type="pct"/>
            <w:shd w:val="clear" w:color="auto" w:fill="auto"/>
            <w:vAlign w:val="center"/>
          </w:tcPr>
          <w:p w14:paraId="64A8B498" w14:textId="77777777" w:rsidR="008D6614" w:rsidRDefault="008D6614">
            <w:pPr>
              <w:rPr>
                <w:rFonts w:ascii="宋体"/>
              </w:rPr>
            </w:pPr>
          </w:p>
        </w:tc>
        <w:tc>
          <w:tcPr>
            <w:tcW w:w="5" w:type="pct"/>
            <w:shd w:val="clear" w:color="auto" w:fill="auto"/>
            <w:vAlign w:val="center"/>
          </w:tcPr>
          <w:p w14:paraId="64A8B499" w14:textId="77777777" w:rsidR="008D6614" w:rsidRDefault="008D6614">
            <w:pPr>
              <w:rPr>
                <w:rFonts w:ascii="宋体"/>
              </w:rPr>
            </w:pPr>
          </w:p>
        </w:tc>
        <w:tc>
          <w:tcPr>
            <w:tcW w:w="50" w:type="pct"/>
            <w:shd w:val="clear" w:color="auto" w:fill="auto"/>
            <w:vAlign w:val="center"/>
          </w:tcPr>
          <w:p w14:paraId="64A8B49A" w14:textId="77777777" w:rsidR="008D6614" w:rsidRDefault="008D6614">
            <w:pPr>
              <w:rPr>
                <w:rFonts w:ascii="宋体"/>
              </w:rPr>
            </w:pPr>
          </w:p>
        </w:tc>
        <w:tc>
          <w:tcPr>
            <w:tcW w:w="640" w:type="pct"/>
            <w:shd w:val="clear" w:color="auto" w:fill="auto"/>
            <w:vAlign w:val="center"/>
          </w:tcPr>
          <w:p w14:paraId="64A8B49B" w14:textId="77777777" w:rsidR="008D6614" w:rsidRDefault="008D6614">
            <w:pPr>
              <w:rPr>
                <w:rFonts w:ascii="宋体"/>
              </w:rPr>
            </w:pPr>
          </w:p>
        </w:tc>
        <w:tc>
          <w:tcPr>
            <w:tcW w:w="50" w:type="pct"/>
            <w:shd w:val="clear" w:color="auto" w:fill="auto"/>
            <w:vAlign w:val="center"/>
          </w:tcPr>
          <w:p w14:paraId="64A8B49C" w14:textId="77777777" w:rsidR="008D6614" w:rsidRDefault="008D6614">
            <w:pPr>
              <w:rPr>
                <w:rFonts w:ascii="宋体"/>
              </w:rPr>
            </w:pPr>
          </w:p>
        </w:tc>
      </w:tr>
      <w:tr w:rsidR="008D6614" w14:paraId="64A8B4A2" w14:textId="77777777">
        <w:trPr>
          <w:jc w:val="center"/>
        </w:trPr>
        <w:tc>
          <w:tcPr>
            <w:tcW w:w="0" w:type="auto"/>
            <w:gridSpan w:val="3"/>
            <w:shd w:val="clear" w:color="auto" w:fill="auto"/>
            <w:tcMar>
              <w:top w:w="40" w:type="dxa"/>
              <w:left w:w="20" w:type="dxa"/>
              <w:bottom w:w="40" w:type="dxa"/>
              <w:right w:w="20" w:type="dxa"/>
            </w:tcMar>
            <w:vAlign w:val="bottom"/>
          </w:tcPr>
          <w:p w14:paraId="64A8B49E" w14:textId="77777777" w:rsidR="008D6614" w:rsidRDefault="00866AF2">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4A8B49F" w14:textId="77777777" w:rsidR="008D6614" w:rsidRDefault="00866AF2">
            <w:pPr>
              <w:jc w:val="center"/>
              <w:textAlignment w:val="bottom"/>
            </w:pPr>
            <w:r>
              <w:rPr>
                <w:rFonts w:ascii="Arial" w:eastAsia="宋体" w:hAnsi="Arial" w:cs="Arial"/>
                <w:b/>
                <w:bCs/>
                <w:color w:val="000000"/>
                <w:sz w:val="16"/>
                <w:szCs w:val="16"/>
              </w:rPr>
              <w:t>Three Months Ended March 31,</w:t>
            </w:r>
          </w:p>
        </w:tc>
        <w:tc>
          <w:tcPr>
            <w:tcW w:w="0" w:type="auto"/>
            <w:gridSpan w:val="3"/>
            <w:shd w:val="clear" w:color="auto" w:fill="auto"/>
            <w:vAlign w:val="center"/>
          </w:tcPr>
          <w:p w14:paraId="64A8B4A0" w14:textId="77777777" w:rsidR="008D6614" w:rsidRDefault="008D6614">
            <w:pPr>
              <w:rPr>
                <w:rFonts w:ascii="宋体"/>
                <w:vanish/>
              </w:rPr>
            </w:pPr>
          </w:p>
        </w:tc>
        <w:tc>
          <w:tcPr>
            <w:tcW w:w="0" w:type="auto"/>
            <w:gridSpan w:val="3"/>
            <w:shd w:val="clear" w:color="auto" w:fill="auto"/>
            <w:vAlign w:val="center"/>
          </w:tcPr>
          <w:p w14:paraId="64A8B4A1" w14:textId="77777777" w:rsidR="008D6614" w:rsidRDefault="008D6614">
            <w:pPr>
              <w:rPr>
                <w:rFonts w:ascii="宋体"/>
                <w:vanish/>
              </w:rPr>
            </w:pPr>
          </w:p>
        </w:tc>
      </w:tr>
      <w:tr w:rsidR="008D6614" w14:paraId="64A8B4AD" w14:textId="77777777">
        <w:trPr>
          <w:jc w:val="center"/>
        </w:trPr>
        <w:tc>
          <w:tcPr>
            <w:tcW w:w="0" w:type="auto"/>
            <w:gridSpan w:val="3"/>
            <w:shd w:val="clear" w:color="auto" w:fill="auto"/>
            <w:tcMar>
              <w:top w:w="40" w:type="dxa"/>
              <w:left w:w="20" w:type="dxa"/>
              <w:bottom w:w="40" w:type="dxa"/>
              <w:right w:w="20" w:type="dxa"/>
            </w:tcMar>
            <w:vAlign w:val="bottom"/>
          </w:tcPr>
          <w:p w14:paraId="64A8B4A3" w14:textId="77777777" w:rsidR="008D6614" w:rsidRDefault="00866AF2">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A8B4A4" w14:textId="77777777" w:rsidR="008D6614" w:rsidRDefault="00866AF2">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left w:w="20" w:type="dxa"/>
              <w:right w:w="20" w:type="dxa"/>
            </w:tcMar>
            <w:vAlign w:val="bottom"/>
          </w:tcPr>
          <w:p w14:paraId="64A8B4A5" w14:textId="77777777" w:rsidR="008D6614" w:rsidRDefault="008D661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A8B4A6" w14:textId="77777777" w:rsidR="008D6614" w:rsidRDefault="00866AF2">
            <w:pPr>
              <w:jc w:val="center"/>
              <w:textAlignment w:val="bottom"/>
            </w:pPr>
            <w:r>
              <w:rPr>
                <w:rFonts w:ascii="Arial" w:eastAsia="宋体" w:hAnsi="Arial" w:cs="Arial"/>
                <w:b/>
                <w:bCs/>
                <w:color w:val="000000"/>
                <w:sz w:val="16"/>
                <w:szCs w:val="16"/>
              </w:rPr>
              <w:t>2019</w:t>
            </w:r>
          </w:p>
        </w:tc>
        <w:tc>
          <w:tcPr>
            <w:tcW w:w="0" w:type="auto"/>
            <w:shd w:val="clear" w:color="auto" w:fill="auto"/>
            <w:vAlign w:val="center"/>
          </w:tcPr>
          <w:p w14:paraId="64A8B4A7" w14:textId="77777777" w:rsidR="008D6614" w:rsidRDefault="008D6614">
            <w:pPr>
              <w:rPr>
                <w:rFonts w:ascii="宋体"/>
              </w:rPr>
            </w:pPr>
          </w:p>
        </w:tc>
        <w:tc>
          <w:tcPr>
            <w:tcW w:w="0" w:type="auto"/>
            <w:shd w:val="clear" w:color="auto" w:fill="auto"/>
            <w:vAlign w:val="center"/>
          </w:tcPr>
          <w:p w14:paraId="64A8B4A8" w14:textId="77777777" w:rsidR="008D6614" w:rsidRDefault="008D6614">
            <w:pPr>
              <w:rPr>
                <w:rFonts w:ascii="宋体"/>
              </w:rPr>
            </w:pPr>
          </w:p>
        </w:tc>
        <w:tc>
          <w:tcPr>
            <w:tcW w:w="0" w:type="auto"/>
            <w:shd w:val="clear" w:color="auto" w:fill="auto"/>
            <w:vAlign w:val="center"/>
          </w:tcPr>
          <w:p w14:paraId="64A8B4A9" w14:textId="77777777" w:rsidR="008D6614" w:rsidRDefault="008D6614">
            <w:pPr>
              <w:rPr>
                <w:rFonts w:ascii="宋体"/>
              </w:rPr>
            </w:pPr>
          </w:p>
        </w:tc>
        <w:tc>
          <w:tcPr>
            <w:tcW w:w="0" w:type="auto"/>
            <w:shd w:val="clear" w:color="auto" w:fill="auto"/>
            <w:vAlign w:val="center"/>
          </w:tcPr>
          <w:p w14:paraId="64A8B4AA" w14:textId="77777777" w:rsidR="008D6614" w:rsidRDefault="008D6614">
            <w:pPr>
              <w:rPr>
                <w:rFonts w:ascii="宋体"/>
              </w:rPr>
            </w:pPr>
          </w:p>
        </w:tc>
        <w:tc>
          <w:tcPr>
            <w:tcW w:w="0" w:type="auto"/>
            <w:shd w:val="clear" w:color="auto" w:fill="auto"/>
            <w:vAlign w:val="center"/>
          </w:tcPr>
          <w:p w14:paraId="64A8B4AB" w14:textId="77777777" w:rsidR="008D6614" w:rsidRDefault="008D6614">
            <w:pPr>
              <w:rPr>
                <w:rFonts w:ascii="宋体"/>
              </w:rPr>
            </w:pPr>
          </w:p>
        </w:tc>
        <w:tc>
          <w:tcPr>
            <w:tcW w:w="0" w:type="auto"/>
            <w:shd w:val="clear" w:color="auto" w:fill="auto"/>
            <w:vAlign w:val="center"/>
          </w:tcPr>
          <w:p w14:paraId="64A8B4AC" w14:textId="77777777" w:rsidR="008D6614" w:rsidRDefault="008D6614">
            <w:pPr>
              <w:rPr>
                <w:rFonts w:ascii="宋体"/>
              </w:rPr>
            </w:pPr>
          </w:p>
        </w:tc>
      </w:tr>
      <w:tr w:rsidR="008D6614" w14:paraId="64A8B4B2" w14:textId="77777777">
        <w:trPr>
          <w:jc w:val="center"/>
        </w:trPr>
        <w:tc>
          <w:tcPr>
            <w:tcW w:w="0" w:type="auto"/>
            <w:gridSpan w:val="3"/>
            <w:shd w:val="clear" w:color="auto" w:fill="auto"/>
            <w:tcMar>
              <w:top w:w="40" w:type="dxa"/>
              <w:left w:w="20" w:type="dxa"/>
              <w:bottom w:w="40" w:type="dxa"/>
              <w:right w:w="20" w:type="dxa"/>
            </w:tcMar>
            <w:vAlign w:val="bottom"/>
          </w:tcPr>
          <w:p w14:paraId="64A8B4AE" w14:textId="77777777" w:rsidR="008D6614" w:rsidRDefault="00866AF2">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A8B4AF" w14:textId="77777777" w:rsidR="008D6614" w:rsidRDefault="00866AF2">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vAlign w:val="center"/>
          </w:tcPr>
          <w:p w14:paraId="64A8B4B0" w14:textId="77777777" w:rsidR="008D6614" w:rsidRDefault="008D6614">
            <w:pPr>
              <w:rPr>
                <w:rFonts w:ascii="宋体"/>
                <w:vanish/>
              </w:rPr>
            </w:pPr>
          </w:p>
        </w:tc>
        <w:tc>
          <w:tcPr>
            <w:tcW w:w="0" w:type="auto"/>
            <w:gridSpan w:val="3"/>
            <w:shd w:val="clear" w:color="auto" w:fill="auto"/>
            <w:vAlign w:val="center"/>
          </w:tcPr>
          <w:p w14:paraId="64A8B4B1" w14:textId="77777777" w:rsidR="008D6614" w:rsidRDefault="008D6614">
            <w:pPr>
              <w:rPr>
                <w:rFonts w:ascii="宋体"/>
                <w:vanish/>
              </w:rPr>
            </w:pPr>
          </w:p>
        </w:tc>
      </w:tr>
      <w:tr w:rsidR="008D6614" w14:paraId="64A8B4BD" w14:textId="77777777">
        <w:trPr>
          <w:jc w:val="center"/>
        </w:trPr>
        <w:tc>
          <w:tcPr>
            <w:tcW w:w="0" w:type="auto"/>
            <w:gridSpan w:val="3"/>
            <w:shd w:val="clear" w:color="auto" w:fill="E2E2E2"/>
            <w:tcMar>
              <w:top w:w="40" w:type="dxa"/>
              <w:left w:w="20" w:type="dxa"/>
              <w:bottom w:w="40" w:type="dxa"/>
              <w:right w:w="20" w:type="dxa"/>
            </w:tcMar>
            <w:vAlign w:val="bottom"/>
          </w:tcPr>
          <w:p w14:paraId="64A8B4B3" w14:textId="77777777" w:rsidR="008D6614" w:rsidRDefault="00866AF2">
            <w:pPr>
              <w:textAlignment w:val="bottom"/>
            </w:pPr>
            <w:r>
              <w:rPr>
                <w:rFonts w:ascii="Arial" w:eastAsia="宋体" w:hAnsi="Arial" w:cs="Arial"/>
                <w:color w:val="000000"/>
                <w:sz w:val="18"/>
                <w:szCs w:val="18"/>
              </w:rPr>
              <w:t xml:space="preserve">Net cash </w:t>
            </w:r>
            <w:r>
              <w:rPr>
                <w:rFonts w:ascii="Arial" w:eastAsia="宋体" w:hAnsi="Arial" w:cs="Arial"/>
                <w:color w:val="000000"/>
                <w:sz w:val="18"/>
                <w:szCs w:val="18"/>
              </w:rPr>
              <w:t>provided by (used in):</w:t>
            </w:r>
          </w:p>
        </w:tc>
        <w:tc>
          <w:tcPr>
            <w:tcW w:w="0" w:type="auto"/>
            <w:gridSpan w:val="3"/>
            <w:shd w:val="clear" w:color="auto" w:fill="E2E2E2"/>
            <w:tcMar>
              <w:top w:w="40" w:type="dxa"/>
              <w:left w:w="20" w:type="dxa"/>
              <w:bottom w:w="40" w:type="dxa"/>
              <w:right w:w="20" w:type="dxa"/>
            </w:tcMar>
            <w:vAlign w:val="bottom"/>
          </w:tcPr>
          <w:p w14:paraId="64A8B4B4" w14:textId="77777777" w:rsidR="008D6614" w:rsidRDefault="00866AF2">
            <w:pPr>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B4B5" w14:textId="77777777" w:rsidR="008D6614" w:rsidRDefault="008D6614">
            <w:pPr>
              <w:rPr>
                <w:rFonts w:ascii="宋体"/>
              </w:rPr>
            </w:pPr>
          </w:p>
        </w:tc>
        <w:tc>
          <w:tcPr>
            <w:tcW w:w="0" w:type="auto"/>
            <w:gridSpan w:val="3"/>
            <w:shd w:val="clear" w:color="auto" w:fill="E2E2E2"/>
            <w:tcMar>
              <w:top w:w="40" w:type="dxa"/>
              <w:left w:w="20" w:type="dxa"/>
              <w:bottom w:w="40" w:type="dxa"/>
              <w:right w:w="20" w:type="dxa"/>
            </w:tcMar>
            <w:vAlign w:val="bottom"/>
          </w:tcPr>
          <w:p w14:paraId="64A8B4B6" w14:textId="77777777" w:rsidR="008D6614" w:rsidRDefault="00866AF2">
            <w:pPr>
              <w:textAlignment w:val="bottom"/>
            </w:pPr>
            <w:r>
              <w:rPr>
                <w:rFonts w:ascii="Arial" w:eastAsia="宋体" w:hAnsi="Arial" w:cs="Arial"/>
                <w:color w:val="000000"/>
                <w:sz w:val="18"/>
                <w:szCs w:val="18"/>
              </w:rPr>
              <w:t> </w:t>
            </w:r>
          </w:p>
        </w:tc>
        <w:tc>
          <w:tcPr>
            <w:tcW w:w="0" w:type="auto"/>
            <w:shd w:val="clear" w:color="auto" w:fill="auto"/>
            <w:vAlign w:val="center"/>
          </w:tcPr>
          <w:p w14:paraId="64A8B4B7" w14:textId="77777777" w:rsidR="008D6614" w:rsidRDefault="008D6614">
            <w:pPr>
              <w:rPr>
                <w:rFonts w:ascii="宋体"/>
              </w:rPr>
            </w:pPr>
          </w:p>
        </w:tc>
        <w:tc>
          <w:tcPr>
            <w:tcW w:w="0" w:type="auto"/>
            <w:shd w:val="clear" w:color="auto" w:fill="auto"/>
            <w:vAlign w:val="center"/>
          </w:tcPr>
          <w:p w14:paraId="64A8B4B8" w14:textId="77777777" w:rsidR="008D6614" w:rsidRDefault="008D6614">
            <w:pPr>
              <w:rPr>
                <w:rFonts w:ascii="宋体"/>
              </w:rPr>
            </w:pPr>
          </w:p>
        </w:tc>
        <w:tc>
          <w:tcPr>
            <w:tcW w:w="0" w:type="auto"/>
            <w:shd w:val="clear" w:color="auto" w:fill="auto"/>
            <w:vAlign w:val="center"/>
          </w:tcPr>
          <w:p w14:paraId="64A8B4B9" w14:textId="77777777" w:rsidR="008D6614" w:rsidRDefault="008D6614">
            <w:pPr>
              <w:rPr>
                <w:rFonts w:ascii="宋体"/>
              </w:rPr>
            </w:pPr>
          </w:p>
        </w:tc>
        <w:tc>
          <w:tcPr>
            <w:tcW w:w="0" w:type="auto"/>
            <w:shd w:val="clear" w:color="auto" w:fill="auto"/>
            <w:vAlign w:val="center"/>
          </w:tcPr>
          <w:p w14:paraId="64A8B4BA" w14:textId="77777777" w:rsidR="008D6614" w:rsidRDefault="008D6614">
            <w:pPr>
              <w:rPr>
                <w:rFonts w:ascii="宋体"/>
              </w:rPr>
            </w:pPr>
          </w:p>
        </w:tc>
        <w:tc>
          <w:tcPr>
            <w:tcW w:w="0" w:type="auto"/>
            <w:shd w:val="clear" w:color="auto" w:fill="auto"/>
            <w:vAlign w:val="center"/>
          </w:tcPr>
          <w:p w14:paraId="64A8B4BB" w14:textId="77777777" w:rsidR="008D6614" w:rsidRDefault="008D6614">
            <w:pPr>
              <w:rPr>
                <w:rFonts w:ascii="宋体"/>
              </w:rPr>
            </w:pPr>
          </w:p>
        </w:tc>
        <w:tc>
          <w:tcPr>
            <w:tcW w:w="0" w:type="auto"/>
            <w:shd w:val="clear" w:color="auto" w:fill="auto"/>
            <w:vAlign w:val="center"/>
          </w:tcPr>
          <w:p w14:paraId="64A8B4BC" w14:textId="77777777" w:rsidR="008D6614" w:rsidRDefault="008D6614">
            <w:pPr>
              <w:rPr>
                <w:rFonts w:ascii="宋体"/>
              </w:rPr>
            </w:pPr>
          </w:p>
        </w:tc>
      </w:tr>
      <w:tr w:rsidR="008D6614" w14:paraId="64A8B4CC" w14:textId="77777777">
        <w:trPr>
          <w:jc w:val="center"/>
        </w:trPr>
        <w:tc>
          <w:tcPr>
            <w:tcW w:w="0" w:type="auto"/>
            <w:gridSpan w:val="3"/>
            <w:shd w:val="clear" w:color="auto" w:fill="FFFFFF"/>
            <w:tcMar>
              <w:top w:w="40" w:type="dxa"/>
              <w:left w:w="360" w:type="dxa"/>
              <w:bottom w:w="40" w:type="dxa"/>
              <w:right w:w="20" w:type="dxa"/>
            </w:tcMar>
            <w:vAlign w:val="bottom"/>
          </w:tcPr>
          <w:p w14:paraId="64A8B4BE" w14:textId="77777777" w:rsidR="008D6614" w:rsidRDefault="00866AF2">
            <w:pPr>
              <w:textAlignment w:val="bottom"/>
            </w:pPr>
            <w:r>
              <w:rPr>
                <w:rFonts w:ascii="Arial" w:eastAsia="宋体" w:hAnsi="Arial" w:cs="Arial"/>
                <w:color w:val="000000"/>
                <w:sz w:val="18"/>
                <w:szCs w:val="18"/>
              </w:rPr>
              <w:t>Continuing operating activities</w:t>
            </w:r>
          </w:p>
        </w:tc>
        <w:tc>
          <w:tcPr>
            <w:tcW w:w="0" w:type="auto"/>
            <w:shd w:val="clear" w:color="auto" w:fill="FFFFFF"/>
            <w:tcMar>
              <w:top w:w="40" w:type="dxa"/>
              <w:left w:w="20" w:type="dxa"/>
              <w:bottom w:w="40" w:type="dxa"/>
            </w:tcMar>
            <w:vAlign w:val="bottom"/>
          </w:tcPr>
          <w:p w14:paraId="64A8B4BF"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B4C0" w14:textId="77777777" w:rsidR="008D6614" w:rsidRDefault="00866AF2">
            <w:pPr>
              <w:jc w:val="right"/>
              <w:textAlignment w:val="bottom"/>
            </w:pPr>
            <w:r>
              <w:rPr>
                <w:rFonts w:ascii="Arial" w:eastAsia="宋体" w:hAnsi="Arial" w:cs="Arial"/>
                <w:color w:val="000000"/>
                <w:sz w:val="18"/>
                <w:szCs w:val="18"/>
              </w:rPr>
              <w:t>702 </w:t>
            </w:r>
          </w:p>
        </w:tc>
        <w:tc>
          <w:tcPr>
            <w:tcW w:w="0" w:type="auto"/>
            <w:shd w:val="clear" w:color="auto" w:fill="FFFFFF"/>
            <w:tcMar>
              <w:top w:w="40" w:type="dxa"/>
              <w:bottom w:w="40" w:type="dxa"/>
              <w:right w:w="20" w:type="dxa"/>
            </w:tcMar>
            <w:vAlign w:val="bottom"/>
          </w:tcPr>
          <w:p w14:paraId="64A8B4C1"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B4C2"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4C3"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B4C4" w14:textId="77777777" w:rsidR="008D6614" w:rsidRDefault="00866AF2">
            <w:pPr>
              <w:jc w:val="right"/>
              <w:textAlignment w:val="bottom"/>
            </w:pPr>
            <w:r>
              <w:rPr>
                <w:rFonts w:ascii="Arial" w:eastAsia="宋体" w:hAnsi="Arial" w:cs="Arial"/>
                <w:color w:val="000000"/>
                <w:sz w:val="18"/>
                <w:szCs w:val="18"/>
              </w:rPr>
              <w:t>572 </w:t>
            </w:r>
          </w:p>
        </w:tc>
        <w:tc>
          <w:tcPr>
            <w:tcW w:w="0" w:type="auto"/>
            <w:shd w:val="clear" w:color="auto" w:fill="FFFFFF"/>
            <w:tcMar>
              <w:top w:w="40" w:type="dxa"/>
              <w:bottom w:w="40" w:type="dxa"/>
              <w:right w:w="20" w:type="dxa"/>
            </w:tcMar>
            <w:vAlign w:val="bottom"/>
          </w:tcPr>
          <w:p w14:paraId="64A8B4C5"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B4C6" w14:textId="77777777" w:rsidR="008D6614" w:rsidRDefault="008D6614">
            <w:pPr>
              <w:rPr>
                <w:rFonts w:ascii="宋体"/>
              </w:rPr>
            </w:pPr>
          </w:p>
        </w:tc>
        <w:tc>
          <w:tcPr>
            <w:tcW w:w="0" w:type="auto"/>
            <w:shd w:val="clear" w:color="auto" w:fill="auto"/>
            <w:vAlign w:val="center"/>
          </w:tcPr>
          <w:p w14:paraId="64A8B4C7" w14:textId="77777777" w:rsidR="008D6614" w:rsidRDefault="008D6614">
            <w:pPr>
              <w:rPr>
                <w:rFonts w:ascii="宋体"/>
              </w:rPr>
            </w:pPr>
          </w:p>
        </w:tc>
        <w:tc>
          <w:tcPr>
            <w:tcW w:w="0" w:type="auto"/>
            <w:shd w:val="clear" w:color="auto" w:fill="auto"/>
            <w:vAlign w:val="center"/>
          </w:tcPr>
          <w:p w14:paraId="64A8B4C8" w14:textId="77777777" w:rsidR="008D6614" w:rsidRDefault="008D6614">
            <w:pPr>
              <w:rPr>
                <w:rFonts w:ascii="宋体"/>
              </w:rPr>
            </w:pPr>
          </w:p>
        </w:tc>
        <w:tc>
          <w:tcPr>
            <w:tcW w:w="0" w:type="auto"/>
            <w:shd w:val="clear" w:color="auto" w:fill="auto"/>
            <w:vAlign w:val="center"/>
          </w:tcPr>
          <w:p w14:paraId="64A8B4C9" w14:textId="77777777" w:rsidR="008D6614" w:rsidRDefault="008D6614">
            <w:pPr>
              <w:rPr>
                <w:rFonts w:ascii="宋体"/>
              </w:rPr>
            </w:pPr>
          </w:p>
        </w:tc>
        <w:tc>
          <w:tcPr>
            <w:tcW w:w="0" w:type="auto"/>
            <w:shd w:val="clear" w:color="auto" w:fill="auto"/>
            <w:vAlign w:val="center"/>
          </w:tcPr>
          <w:p w14:paraId="64A8B4CA" w14:textId="77777777" w:rsidR="008D6614" w:rsidRDefault="008D6614">
            <w:pPr>
              <w:rPr>
                <w:rFonts w:ascii="宋体"/>
              </w:rPr>
            </w:pPr>
          </w:p>
        </w:tc>
        <w:tc>
          <w:tcPr>
            <w:tcW w:w="0" w:type="auto"/>
            <w:shd w:val="clear" w:color="auto" w:fill="auto"/>
            <w:vAlign w:val="center"/>
          </w:tcPr>
          <w:p w14:paraId="64A8B4CB" w14:textId="77777777" w:rsidR="008D6614" w:rsidRDefault="008D6614">
            <w:pPr>
              <w:rPr>
                <w:rFonts w:ascii="宋体"/>
              </w:rPr>
            </w:pPr>
          </w:p>
        </w:tc>
      </w:tr>
      <w:tr w:rsidR="008D6614" w14:paraId="64A8B4D9" w14:textId="77777777">
        <w:trPr>
          <w:jc w:val="center"/>
        </w:trPr>
        <w:tc>
          <w:tcPr>
            <w:tcW w:w="0" w:type="auto"/>
            <w:gridSpan w:val="3"/>
            <w:shd w:val="clear" w:color="auto" w:fill="E2E2E2"/>
            <w:tcMar>
              <w:top w:w="40" w:type="dxa"/>
              <w:left w:w="360" w:type="dxa"/>
              <w:bottom w:w="40" w:type="dxa"/>
              <w:right w:w="20" w:type="dxa"/>
            </w:tcMar>
            <w:vAlign w:val="bottom"/>
          </w:tcPr>
          <w:p w14:paraId="64A8B4CD" w14:textId="77777777" w:rsidR="008D6614" w:rsidRDefault="00866AF2">
            <w:pPr>
              <w:textAlignment w:val="bottom"/>
            </w:pPr>
            <w:r>
              <w:rPr>
                <w:rFonts w:ascii="Arial" w:eastAsia="宋体" w:hAnsi="Arial" w:cs="Arial"/>
                <w:color w:val="000000"/>
                <w:sz w:val="18"/>
                <w:szCs w:val="18"/>
              </w:rPr>
              <w:t>Continuing investing activities</w:t>
            </w:r>
          </w:p>
        </w:tc>
        <w:tc>
          <w:tcPr>
            <w:tcW w:w="0" w:type="auto"/>
            <w:gridSpan w:val="2"/>
            <w:shd w:val="clear" w:color="auto" w:fill="E2E2E2"/>
            <w:tcMar>
              <w:top w:w="40" w:type="dxa"/>
              <w:left w:w="20" w:type="dxa"/>
              <w:bottom w:w="40" w:type="dxa"/>
              <w:right w:w="0" w:type="dxa"/>
            </w:tcMar>
            <w:vAlign w:val="bottom"/>
          </w:tcPr>
          <w:p w14:paraId="64A8B4CE" w14:textId="77777777" w:rsidR="008D6614" w:rsidRDefault="00866AF2">
            <w:pPr>
              <w:jc w:val="right"/>
              <w:textAlignment w:val="bottom"/>
            </w:pPr>
            <w:r>
              <w:rPr>
                <w:rFonts w:ascii="Arial" w:eastAsia="宋体" w:hAnsi="Arial" w:cs="Arial"/>
                <w:color w:val="000000"/>
                <w:sz w:val="18"/>
                <w:szCs w:val="18"/>
              </w:rPr>
              <w:t>(1,569)</w:t>
            </w:r>
          </w:p>
        </w:tc>
        <w:tc>
          <w:tcPr>
            <w:tcW w:w="0" w:type="auto"/>
            <w:shd w:val="clear" w:color="auto" w:fill="E2E2E2"/>
            <w:tcMar>
              <w:top w:w="40" w:type="dxa"/>
              <w:bottom w:w="40" w:type="dxa"/>
              <w:right w:w="20" w:type="dxa"/>
            </w:tcMar>
            <w:vAlign w:val="bottom"/>
          </w:tcPr>
          <w:p w14:paraId="64A8B4CF"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B4D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4D1" w14:textId="77777777" w:rsidR="008D6614" w:rsidRDefault="00866AF2">
            <w:pPr>
              <w:jc w:val="right"/>
              <w:textAlignment w:val="bottom"/>
            </w:pPr>
            <w:r>
              <w:rPr>
                <w:rFonts w:ascii="Arial" w:eastAsia="宋体" w:hAnsi="Arial" w:cs="Arial"/>
                <w:color w:val="000000"/>
                <w:sz w:val="18"/>
                <w:szCs w:val="18"/>
              </w:rPr>
              <w:t>571 </w:t>
            </w:r>
          </w:p>
        </w:tc>
        <w:tc>
          <w:tcPr>
            <w:tcW w:w="0" w:type="auto"/>
            <w:shd w:val="clear" w:color="auto" w:fill="E2E2E2"/>
            <w:tcMar>
              <w:top w:w="40" w:type="dxa"/>
              <w:bottom w:w="40" w:type="dxa"/>
              <w:right w:w="20" w:type="dxa"/>
            </w:tcMar>
            <w:vAlign w:val="bottom"/>
          </w:tcPr>
          <w:p w14:paraId="64A8B4D2"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B4D3" w14:textId="77777777" w:rsidR="008D6614" w:rsidRDefault="008D6614">
            <w:pPr>
              <w:rPr>
                <w:rFonts w:ascii="宋体"/>
              </w:rPr>
            </w:pPr>
          </w:p>
        </w:tc>
        <w:tc>
          <w:tcPr>
            <w:tcW w:w="0" w:type="auto"/>
            <w:shd w:val="clear" w:color="auto" w:fill="auto"/>
            <w:vAlign w:val="center"/>
          </w:tcPr>
          <w:p w14:paraId="64A8B4D4" w14:textId="77777777" w:rsidR="008D6614" w:rsidRDefault="008D6614">
            <w:pPr>
              <w:rPr>
                <w:rFonts w:ascii="宋体"/>
              </w:rPr>
            </w:pPr>
          </w:p>
        </w:tc>
        <w:tc>
          <w:tcPr>
            <w:tcW w:w="0" w:type="auto"/>
            <w:shd w:val="clear" w:color="auto" w:fill="auto"/>
            <w:vAlign w:val="center"/>
          </w:tcPr>
          <w:p w14:paraId="64A8B4D5" w14:textId="77777777" w:rsidR="008D6614" w:rsidRDefault="008D6614">
            <w:pPr>
              <w:rPr>
                <w:rFonts w:ascii="宋体"/>
              </w:rPr>
            </w:pPr>
          </w:p>
        </w:tc>
        <w:tc>
          <w:tcPr>
            <w:tcW w:w="0" w:type="auto"/>
            <w:shd w:val="clear" w:color="auto" w:fill="auto"/>
            <w:vAlign w:val="center"/>
          </w:tcPr>
          <w:p w14:paraId="64A8B4D6" w14:textId="77777777" w:rsidR="008D6614" w:rsidRDefault="008D6614">
            <w:pPr>
              <w:rPr>
                <w:rFonts w:ascii="宋体"/>
              </w:rPr>
            </w:pPr>
          </w:p>
        </w:tc>
        <w:tc>
          <w:tcPr>
            <w:tcW w:w="0" w:type="auto"/>
            <w:shd w:val="clear" w:color="auto" w:fill="auto"/>
            <w:vAlign w:val="center"/>
          </w:tcPr>
          <w:p w14:paraId="64A8B4D7" w14:textId="77777777" w:rsidR="008D6614" w:rsidRDefault="008D6614">
            <w:pPr>
              <w:rPr>
                <w:rFonts w:ascii="宋体"/>
              </w:rPr>
            </w:pPr>
          </w:p>
        </w:tc>
        <w:tc>
          <w:tcPr>
            <w:tcW w:w="0" w:type="auto"/>
            <w:shd w:val="clear" w:color="auto" w:fill="auto"/>
            <w:vAlign w:val="center"/>
          </w:tcPr>
          <w:p w14:paraId="64A8B4D8" w14:textId="77777777" w:rsidR="008D6614" w:rsidRDefault="008D6614">
            <w:pPr>
              <w:rPr>
                <w:rFonts w:ascii="宋体"/>
              </w:rPr>
            </w:pPr>
          </w:p>
        </w:tc>
      </w:tr>
      <w:tr w:rsidR="008D6614" w14:paraId="64A8B4E6" w14:textId="77777777">
        <w:trPr>
          <w:jc w:val="center"/>
        </w:trPr>
        <w:tc>
          <w:tcPr>
            <w:tcW w:w="0" w:type="auto"/>
            <w:gridSpan w:val="3"/>
            <w:shd w:val="clear" w:color="auto" w:fill="FFFFFF"/>
            <w:tcMar>
              <w:top w:w="40" w:type="dxa"/>
              <w:left w:w="360" w:type="dxa"/>
              <w:bottom w:w="40" w:type="dxa"/>
              <w:right w:w="20" w:type="dxa"/>
            </w:tcMar>
            <w:vAlign w:val="bottom"/>
          </w:tcPr>
          <w:p w14:paraId="64A8B4DA" w14:textId="77777777" w:rsidR="008D6614" w:rsidRDefault="00866AF2">
            <w:pPr>
              <w:textAlignment w:val="bottom"/>
            </w:pPr>
            <w:r>
              <w:rPr>
                <w:rFonts w:ascii="Arial" w:eastAsia="宋体" w:hAnsi="Arial" w:cs="Arial"/>
                <w:color w:val="000000"/>
                <w:sz w:val="18"/>
                <w:szCs w:val="18"/>
              </w:rPr>
              <w:t>Continuing financing activities</w:t>
            </w:r>
          </w:p>
        </w:tc>
        <w:tc>
          <w:tcPr>
            <w:tcW w:w="0" w:type="auto"/>
            <w:gridSpan w:val="2"/>
            <w:shd w:val="clear" w:color="auto" w:fill="FFFFFF"/>
            <w:tcMar>
              <w:top w:w="40" w:type="dxa"/>
              <w:left w:w="20" w:type="dxa"/>
              <w:bottom w:w="40" w:type="dxa"/>
              <w:right w:w="0" w:type="dxa"/>
            </w:tcMar>
            <w:vAlign w:val="bottom"/>
          </w:tcPr>
          <w:p w14:paraId="64A8B4DB" w14:textId="77777777" w:rsidR="008D6614" w:rsidRDefault="00866AF2">
            <w:pPr>
              <w:jc w:val="right"/>
              <w:textAlignment w:val="bottom"/>
            </w:pPr>
            <w:r>
              <w:rPr>
                <w:rFonts w:ascii="Arial" w:eastAsia="宋体" w:hAnsi="Arial" w:cs="Arial"/>
                <w:color w:val="000000"/>
                <w:sz w:val="18"/>
                <w:szCs w:val="18"/>
              </w:rPr>
              <w:t>(3,161)</w:t>
            </w:r>
          </w:p>
        </w:tc>
        <w:tc>
          <w:tcPr>
            <w:tcW w:w="0" w:type="auto"/>
            <w:shd w:val="clear" w:color="auto" w:fill="FFFFFF"/>
            <w:tcMar>
              <w:top w:w="40" w:type="dxa"/>
              <w:bottom w:w="40" w:type="dxa"/>
              <w:right w:w="20" w:type="dxa"/>
            </w:tcMar>
            <w:vAlign w:val="bottom"/>
          </w:tcPr>
          <w:p w14:paraId="64A8B4DC"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B4DD"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4DE" w14:textId="77777777" w:rsidR="008D6614" w:rsidRDefault="00866AF2">
            <w:pPr>
              <w:jc w:val="right"/>
              <w:textAlignment w:val="bottom"/>
            </w:pPr>
            <w:r>
              <w:rPr>
                <w:rFonts w:ascii="Arial" w:eastAsia="宋体" w:hAnsi="Arial" w:cs="Arial"/>
                <w:color w:val="000000"/>
                <w:sz w:val="18"/>
                <w:szCs w:val="18"/>
              </w:rPr>
              <w:t>(1,605)</w:t>
            </w:r>
          </w:p>
        </w:tc>
        <w:tc>
          <w:tcPr>
            <w:tcW w:w="0" w:type="auto"/>
            <w:shd w:val="clear" w:color="auto" w:fill="FFFFFF"/>
            <w:tcMar>
              <w:top w:w="40" w:type="dxa"/>
              <w:bottom w:w="40" w:type="dxa"/>
              <w:right w:w="20" w:type="dxa"/>
            </w:tcMar>
            <w:vAlign w:val="bottom"/>
          </w:tcPr>
          <w:p w14:paraId="64A8B4DF"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B4E0" w14:textId="77777777" w:rsidR="008D6614" w:rsidRDefault="008D6614">
            <w:pPr>
              <w:rPr>
                <w:rFonts w:ascii="宋体"/>
              </w:rPr>
            </w:pPr>
          </w:p>
        </w:tc>
        <w:tc>
          <w:tcPr>
            <w:tcW w:w="0" w:type="auto"/>
            <w:shd w:val="clear" w:color="auto" w:fill="auto"/>
            <w:vAlign w:val="center"/>
          </w:tcPr>
          <w:p w14:paraId="64A8B4E1" w14:textId="77777777" w:rsidR="008D6614" w:rsidRDefault="008D6614">
            <w:pPr>
              <w:rPr>
                <w:rFonts w:ascii="宋体"/>
              </w:rPr>
            </w:pPr>
          </w:p>
        </w:tc>
        <w:tc>
          <w:tcPr>
            <w:tcW w:w="0" w:type="auto"/>
            <w:shd w:val="clear" w:color="auto" w:fill="auto"/>
            <w:vAlign w:val="center"/>
          </w:tcPr>
          <w:p w14:paraId="64A8B4E2" w14:textId="77777777" w:rsidR="008D6614" w:rsidRDefault="008D6614">
            <w:pPr>
              <w:rPr>
                <w:rFonts w:ascii="宋体"/>
              </w:rPr>
            </w:pPr>
          </w:p>
        </w:tc>
        <w:tc>
          <w:tcPr>
            <w:tcW w:w="0" w:type="auto"/>
            <w:shd w:val="clear" w:color="auto" w:fill="auto"/>
            <w:vAlign w:val="center"/>
          </w:tcPr>
          <w:p w14:paraId="64A8B4E3" w14:textId="77777777" w:rsidR="008D6614" w:rsidRDefault="008D6614">
            <w:pPr>
              <w:rPr>
                <w:rFonts w:ascii="宋体"/>
              </w:rPr>
            </w:pPr>
          </w:p>
        </w:tc>
        <w:tc>
          <w:tcPr>
            <w:tcW w:w="0" w:type="auto"/>
            <w:shd w:val="clear" w:color="auto" w:fill="auto"/>
            <w:vAlign w:val="center"/>
          </w:tcPr>
          <w:p w14:paraId="64A8B4E4" w14:textId="77777777" w:rsidR="008D6614" w:rsidRDefault="008D6614">
            <w:pPr>
              <w:rPr>
                <w:rFonts w:ascii="宋体"/>
              </w:rPr>
            </w:pPr>
          </w:p>
        </w:tc>
        <w:tc>
          <w:tcPr>
            <w:tcW w:w="0" w:type="auto"/>
            <w:shd w:val="clear" w:color="auto" w:fill="auto"/>
            <w:vAlign w:val="center"/>
          </w:tcPr>
          <w:p w14:paraId="64A8B4E5" w14:textId="77777777" w:rsidR="008D6614" w:rsidRDefault="008D6614">
            <w:pPr>
              <w:rPr>
                <w:rFonts w:ascii="宋体"/>
              </w:rPr>
            </w:pPr>
          </w:p>
        </w:tc>
      </w:tr>
      <w:tr w:rsidR="008D6614" w14:paraId="64A8B4F3" w14:textId="77777777">
        <w:trPr>
          <w:jc w:val="center"/>
        </w:trPr>
        <w:tc>
          <w:tcPr>
            <w:tcW w:w="0" w:type="auto"/>
            <w:gridSpan w:val="3"/>
            <w:shd w:val="clear" w:color="auto" w:fill="E2E2E2"/>
            <w:tcMar>
              <w:top w:w="40" w:type="dxa"/>
              <w:left w:w="360" w:type="dxa"/>
              <w:bottom w:w="40" w:type="dxa"/>
              <w:right w:w="20" w:type="dxa"/>
            </w:tcMar>
            <w:vAlign w:val="bottom"/>
          </w:tcPr>
          <w:p w14:paraId="64A8B4E7" w14:textId="77777777" w:rsidR="008D6614" w:rsidRDefault="00866AF2">
            <w:pPr>
              <w:textAlignment w:val="bottom"/>
            </w:pPr>
            <w:r>
              <w:rPr>
                <w:rFonts w:ascii="Arial" w:eastAsia="宋体" w:hAnsi="Arial" w:cs="Arial"/>
                <w:color w:val="000000"/>
                <w:sz w:val="18"/>
                <w:szCs w:val="18"/>
              </w:rPr>
              <w:t xml:space="preserve">Effect of exchange rates on cash, cash </w:t>
            </w:r>
            <w:r>
              <w:rPr>
                <w:rFonts w:ascii="Arial" w:eastAsia="宋体" w:hAnsi="Arial" w:cs="Arial"/>
                <w:color w:val="000000"/>
                <w:sz w:val="18"/>
                <w:szCs w:val="18"/>
              </w:rPr>
              <w:t>equivalents and restricted cash</w:t>
            </w:r>
          </w:p>
        </w:tc>
        <w:tc>
          <w:tcPr>
            <w:tcW w:w="0" w:type="auto"/>
            <w:gridSpan w:val="2"/>
            <w:shd w:val="clear" w:color="auto" w:fill="E2E2E2"/>
            <w:tcMar>
              <w:top w:w="40" w:type="dxa"/>
              <w:left w:w="20" w:type="dxa"/>
              <w:bottom w:w="40" w:type="dxa"/>
              <w:right w:w="0" w:type="dxa"/>
            </w:tcMar>
            <w:vAlign w:val="bottom"/>
          </w:tcPr>
          <w:p w14:paraId="64A8B4E8" w14:textId="77777777" w:rsidR="008D6614" w:rsidRDefault="00866AF2">
            <w:pPr>
              <w:jc w:val="right"/>
              <w:textAlignment w:val="bottom"/>
            </w:pPr>
            <w:r>
              <w:rPr>
                <w:rFonts w:ascii="Arial" w:eastAsia="宋体" w:hAnsi="Arial" w:cs="Arial"/>
                <w:color w:val="000000"/>
                <w:sz w:val="18"/>
                <w:szCs w:val="18"/>
              </w:rPr>
              <w:t>(34)</w:t>
            </w:r>
          </w:p>
        </w:tc>
        <w:tc>
          <w:tcPr>
            <w:tcW w:w="0" w:type="auto"/>
            <w:shd w:val="clear" w:color="auto" w:fill="E2E2E2"/>
            <w:tcMar>
              <w:top w:w="40" w:type="dxa"/>
              <w:bottom w:w="40" w:type="dxa"/>
              <w:right w:w="20" w:type="dxa"/>
            </w:tcMar>
            <w:vAlign w:val="bottom"/>
          </w:tcPr>
          <w:p w14:paraId="64A8B4E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B4EA"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4EB" w14:textId="77777777" w:rsidR="008D6614" w:rsidRDefault="00866AF2">
            <w:pPr>
              <w:jc w:val="right"/>
              <w:textAlignment w:val="bottom"/>
            </w:pPr>
            <w:r>
              <w:rPr>
                <w:rFonts w:ascii="Arial" w:eastAsia="宋体" w:hAnsi="Arial" w:cs="Arial"/>
                <w:color w:val="000000"/>
                <w:sz w:val="18"/>
                <w:szCs w:val="18"/>
              </w:rPr>
              <w:t>(10)</w:t>
            </w:r>
          </w:p>
        </w:tc>
        <w:tc>
          <w:tcPr>
            <w:tcW w:w="0" w:type="auto"/>
            <w:shd w:val="clear" w:color="auto" w:fill="E2E2E2"/>
            <w:tcMar>
              <w:top w:w="40" w:type="dxa"/>
              <w:bottom w:w="40" w:type="dxa"/>
              <w:right w:w="20" w:type="dxa"/>
            </w:tcMar>
            <w:vAlign w:val="bottom"/>
          </w:tcPr>
          <w:p w14:paraId="64A8B4E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B4ED" w14:textId="77777777" w:rsidR="008D6614" w:rsidRDefault="008D6614">
            <w:pPr>
              <w:rPr>
                <w:rFonts w:ascii="宋体"/>
              </w:rPr>
            </w:pPr>
          </w:p>
        </w:tc>
        <w:tc>
          <w:tcPr>
            <w:tcW w:w="0" w:type="auto"/>
            <w:shd w:val="clear" w:color="auto" w:fill="auto"/>
            <w:vAlign w:val="center"/>
          </w:tcPr>
          <w:p w14:paraId="64A8B4EE" w14:textId="77777777" w:rsidR="008D6614" w:rsidRDefault="008D6614">
            <w:pPr>
              <w:rPr>
                <w:rFonts w:ascii="宋体"/>
              </w:rPr>
            </w:pPr>
          </w:p>
        </w:tc>
        <w:tc>
          <w:tcPr>
            <w:tcW w:w="0" w:type="auto"/>
            <w:shd w:val="clear" w:color="auto" w:fill="auto"/>
            <w:vAlign w:val="center"/>
          </w:tcPr>
          <w:p w14:paraId="64A8B4EF" w14:textId="77777777" w:rsidR="008D6614" w:rsidRDefault="008D6614">
            <w:pPr>
              <w:rPr>
                <w:rFonts w:ascii="宋体"/>
              </w:rPr>
            </w:pPr>
          </w:p>
        </w:tc>
        <w:tc>
          <w:tcPr>
            <w:tcW w:w="0" w:type="auto"/>
            <w:shd w:val="clear" w:color="auto" w:fill="auto"/>
            <w:vAlign w:val="center"/>
          </w:tcPr>
          <w:p w14:paraId="64A8B4F0" w14:textId="77777777" w:rsidR="008D6614" w:rsidRDefault="008D6614">
            <w:pPr>
              <w:rPr>
                <w:rFonts w:ascii="宋体"/>
              </w:rPr>
            </w:pPr>
          </w:p>
        </w:tc>
        <w:tc>
          <w:tcPr>
            <w:tcW w:w="0" w:type="auto"/>
            <w:shd w:val="clear" w:color="auto" w:fill="auto"/>
            <w:vAlign w:val="center"/>
          </w:tcPr>
          <w:p w14:paraId="64A8B4F1" w14:textId="77777777" w:rsidR="008D6614" w:rsidRDefault="008D6614">
            <w:pPr>
              <w:rPr>
                <w:rFonts w:ascii="宋体"/>
              </w:rPr>
            </w:pPr>
          </w:p>
        </w:tc>
        <w:tc>
          <w:tcPr>
            <w:tcW w:w="0" w:type="auto"/>
            <w:shd w:val="clear" w:color="auto" w:fill="auto"/>
            <w:vAlign w:val="center"/>
          </w:tcPr>
          <w:p w14:paraId="64A8B4F2" w14:textId="77777777" w:rsidR="008D6614" w:rsidRDefault="008D6614">
            <w:pPr>
              <w:rPr>
                <w:rFonts w:ascii="宋体"/>
              </w:rPr>
            </w:pPr>
          </w:p>
        </w:tc>
      </w:tr>
      <w:tr w:rsidR="008D6614" w14:paraId="64A8B500" w14:textId="77777777">
        <w:trPr>
          <w:jc w:val="center"/>
        </w:trPr>
        <w:tc>
          <w:tcPr>
            <w:tcW w:w="0" w:type="auto"/>
            <w:gridSpan w:val="3"/>
            <w:shd w:val="clear" w:color="auto" w:fill="FFFFFF"/>
            <w:tcMar>
              <w:top w:w="40" w:type="dxa"/>
              <w:left w:w="360" w:type="dxa"/>
              <w:bottom w:w="40" w:type="dxa"/>
              <w:right w:w="20" w:type="dxa"/>
            </w:tcMar>
            <w:vAlign w:val="bottom"/>
          </w:tcPr>
          <w:p w14:paraId="64A8B4F4" w14:textId="77777777" w:rsidR="008D6614" w:rsidRDefault="00866AF2">
            <w:pPr>
              <w:textAlignment w:val="bottom"/>
            </w:pPr>
            <w:r>
              <w:rPr>
                <w:rFonts w:ascii="Arial" w:eastAsia="宋体" w:hAnsi="Arial" w:cs="Arial"/>
                <w:color w:val="000000"/>
                <w:sz w:val="18"/>
                <w:szCs w:val="18"/>
              </w:rPr>
              <w:t>Net decrease in cash and cash equivalents - discontinued operations</w:t>
            </w:r>
          </w:p>
        </w:tc>
        <w:tc>
          <w:tcPr>
            <w:tcW w:w="0" w:type="auto"/>
            <w:gridSpan w:val="2"/>
            <w:shd w:val="clear" w:color="auto" w:fill="FFFFFF"/>
            <w:tcMar>
              <w:top w:w="40" w:type="dxa"/>
              <w:left w:w="20" w:type="dxa"/>
              <w:bottom w:w="40" w:type="dxa"/>
              <w:right w:w="0" w:type="dxa"/>
            </w:tcMar>
            <w:vAlign w:val="bottom"/>
          </w:tcPr>
          <w:p w14:paraId="64A8B4F5" w14:textId="77777777" w:rsidR="008D6614" w:rsidRDefault="00866AF2">
            <w:pPr>
              <w:jc w:val="right"/>
              <w:textAlignment w:val="bottom"/>
            </w:pPr>
            <w:r>
              <w:rPr>
                <w:rFonts w:ascii="Arial" w:eastAsia="宋体" w:hAnsi="Arial" w:cs="Arial"/>
                <w:color w:val="000000"/>
                <w:sz w:val="18"/>
                <w:szCs w:val="18"/>
              </w:rPr>
              <w:t>3,965 </w:t>
            </w:r>
          </w:p>
        </w:tc>
        <w:tc>
          <w:tcPr>
            <w:tcW w:w="0" w:type="auto"/>
            <w:shd w:val="clear" w:color="auto" w:fill="FFFFFF"/>
            <w:tcMar>
              <w:top w:w="40" w:type="dxa"/>
              <w:bottom w:w="40" w:type="dxa"/>
              <w:right w:w="20" w:type="dxa"/>
            </w:tcMar>
            <w:vAlign w:val="bottom"/>
          </w:tcPr>
          <w:p w14:paraId="64A8B4F6"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B4F7"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4F8" w14:textId="77777777" w:rsidR="008D6614" w:rsidRDefault="00866AF2">
            <w:pPr>
              <w:jc w:val="right"/>
              <w:textAlignment w:val="bottom"/>
            </w:pPr>
            <w:r>
              <w:rPr>
                <w:rFonts w:ascii="Arial" w:eastAsia="宋体" w:hAnsi="Arial" w:cs="Arial"/>
                <w:color w:val="000000"/>
                <w:sz w:val="18"/>
                <w:szCs w:val="18"/>
              </w:rPr>
              <w:t>(35)</w:t>
            </w:r>
          </w:p>
        </w:tc>
        <w:tc>
          <w:tcPr>
            <w:tcW w:w="0" w:type="auto"/>
            <w:shd w:val="clear" w:color="auto" w:fill="FFFFFF"/>
            <w:tcMar>
              <w:top w:w="40" w:type="dxa"/>
              <w:bottom w:w="40" w:type="dxa"/>
              <w:right w:w="20" w:type="dxa"/>
            </w:tcMar>
            <w:vAlign w:val="bottom"/>
          </w:tcPr>
          <w:p w14:paraId="64A8B4F9"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B4FA" w14:textId="77777777" w:rsidR="008D6614" w:rsidRDefault="008D6614">
            <w:pPr>
              <w:rPr>
                <w:rFonts w:ascii="宋体"/>
              </w:rPr>
            </w:pPr>
          </w:p>
        </w:tc>
        <w:tc>
          <w:tcPr>
            <w:tcW w:w="0" w:type="auto"/>
            <w:shd w:val="clear" w:color="auto" w:fill="auto"/>
            <w:vAlign w:val="center"/>
          </w:tcPr>
          <w:p w14:paraId="64A8B4FB" w14:textId="77777777" w:rsidR="008D6614" w:rsidRDefault="008D6614">
            <w:pPr>
              <w:rPr>
                <w:rFonts w:ascii="宋体"/>
              </w:rPr>
            </w:pPr>
          </w:p>
        </w:tc>
        <w:tc>
          <w:tcPr>
            <w:tcW w:w="0" w:type="auto"/>
            <w:shd w:val="clear" w:color="auto" w:fill="auto"/>
            <w:vAlign w:val="center"/>
          </w:tcPr>
          <w:p w14:paraId="64A8B4FC" w14:textId="77777777" w:rsidR="008D6614" w:rsidRDefault="008D6614">
            <w:pPr>
              <w:rPr>
                <w:rFonts w:ascii="宋体"/>
              </w:rPr>
            </w:pPr>
          </w:p>
        </w:tc>
        <w:tc>
          <w:tcPr>
            <w:tcW w:w="0" w:type="auto"/>
            <w:shd w:val="clear" w:color="auto" w:fill="auto"/>
            <w:vAlign w:val="center"/>
          </w:tcPr>
          <w:p w14:paraId="64A8B4FD" w14:textId="77777777" w:rsidR="008D6614" w:rsidRDefault="008D6614">
            <w:pPr>
              <w:rPr>
                <w:rFonts w:ascii="宋体"/>
              </w:rPr>
            </w:pPr>
          </w:p>
        </w:tc>
        <w:tc>
          <w:tcPr>
            <w:tcW w:w="0" w:type="auto"/>
            <w:shd w:val="clear" w:color="auto" w:fill="auto"/>
            <w:vAlign w:val="center"/>
          </w:tcPr>
          <w:p w14:paraId="64A8B4FE" w14:textId="77777777" w:rsidR="008D6614" w:rsidRDefault="008D6614">
            <w:pPr>
              <w:rPr>
                <w:rFonts w:ascii="宋体"/>
              </w:rPr>
            </w:pPr>
          </w:p>
        </w:tc>
        <w:tc>
          <w:tcPr>
            <w:tcW w:w="0" w:type="auto"/>
            <w:shd w:val="clear" w:color="auto" w:fill="auto"/>
            <w:vAlign w:val="center"/>
          </w:tcPr>
          <w:p w14:paraId="64A8B4FF" w14:textId="77777777" w:rsidR="008D6614" w:rsidRDefault="008D6614">
            <w:pPr>
              <w:rPr>
                <w:rFonts w:ascii="宋体"/>
              </w:rPr>
            </w:pPr>
          </w:p>
        </w:tc>
      </w:tr>
      <w:tr w:rsidR="008D6614" w14:paraId="64A8B50F" w14:textId="77777777">
        <w:trPr>
          <w:jc w:val="center"/>
        </w:trPr>
        <w:tc>
          <w:tcPr>
            <w:tcW w:w="0" w:type="auto"/>
            <w:gridSpan w:val="3"/>
            <w:shd w:val="clear" w:color="auto" w:fill="E2E2E2"/>
            <w:tcMar>
              <w:top w:w="40" w:type="dxa"/>
              <w:left w:w="20" w:type="dxa"/>
              <w:bottom w:w="40" w:type="dxa"/>
              <w:right w:w="20" w:type="dxa"/>
            </w:tcMar>
            <w:vAlign w:val="bottom"/>
          </w:tcPr>
          <w:p w14:paraId="64A8B501" w14:textId="77777777" w:rsidR="008D6614" w:rsidRDefault="00866AF2">
            <w:pPr>
              <w:textAlignment w:val="bottom"/>
            </w:pPr>
            <w:r>
              <w:rPr>
                <w:rFonts w:ascii="Arial" w:eastAsia="宋体" w:hAnsi="Arial" w:cs="Arial"/>
                <w:color w:val="000000"/>
                <w:sz w:val="18"/>
                <w:szCs w:val="18"/>
              </w:rPr>
              <w:t>Net increase (decrease) in cash, cash equivalents and restricted cash</w:t>
            </w: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B502"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B503" w14:textId="77777777" w:rsidR="008D6614" w:rsidRDefault="00866AF2">
            <w:pPr>
              <w:jc w:val="right"/>
              <w:textAlignment w:val="bottom"/>
            </w:pPr>
            <w:r>
              <w:rPr>
                <w:rFonts w:ascii="Arial" w:eastAsia="宋体" w:hAnsi="Arial" w:cs="Arial"/>
                <w:color w:val="000000"/>
                <w:sz w:val="18"/>
                <w:szCs w:val="18"/>
              </w:rPr>
              <w:t>(97)</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B504"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B505" w14:textId="77777777" w:rsidR="008D6614" w:rsidRDefault="008D6614">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tcMar>
            <w:vAlign w:val="bottom"/>
          </w:tcPr>
          <w:p w14:paraId="64A8B506" w14:textId="77777777" w:rsidR="008D6614" w:rsidRDefault="00866AF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bottom w:w="40" w:type="dxa"/>
              <w:right w:w="0" w:type="dxa"/>
            </w:tcMar>
            <w:vAlign w:val="bottom"/>
          </w:tcPr>
          <w:p w14:paraId="64A8B507" w14:textId="77777777" w:rsidR="008D6614" w:rsidRDefault="00866AF2">
            <w:pPr>
              <w:jc w:val="right"/>
              <w:textAlignment w:val="bottom"/>
            </w:pPr>
            <w:r>
              <w:rPr>
                <w:rFonts w:ascii="Arial" w:eastAsia="宋体" w:hAnsi="Arial" w:cs="Arial"/>
                <w:color w:val="000000"/>
                <w:sz w:val="18"/>
                <w:szCs w:val="18"/>
              </w:rPr>
              <w:t>(507)</w:t>
            </w:r>
          </w:p>
        </w:tc>
        <w:tc>
          <w:tcPr>
            <w:tcW w:w="0" w:type="auto"/>
            <w:tcBorders>
              <w:top w:val="single" w:sz="8" w:space="0" w:color="000000"/>
              <w:bottom w:val="double" w:sz="6" w:space="0" w:color="000000"/>
            </w:tcBorders>
            <w:shd w:val="clear" w:color="auto" w:fill="E2E2E2"/>
            <w:tcMar>
              <w:top w:w="40" w:type="dxa"/>
              <w:bottom w:w="40" w:type="dxa"/>
              <w:right w:w="20" w:type="dxa"/>
            </w:tcMar>
            <w:vAlign w:val="bottom"/>
          </w:tcPr>
          <w:p w14:paraId="64A8B508"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B509" w14:textId="77777777" w:rsidR="008D6614" w:rsidRDefault="008D6614">
            <w:pPr>
              <w:rPr>
                <w:rFonts w:ascii="宋体"/>
              </w:rPr>
            </w:pPr>
          </w:p>
        </w:tc>
        <w:tc>
          <w:tcPr>
            <w:tcW w:w="0" w:type="auto"/>
            <w:shd w:val="clear" w:color="auto" w:fill="auto"/>
            <w:vAlign w:val="center"/>
          </w:tcPr>
          <w:p w14:paraId="64A8B50A" w14:textId="77777777" w:rsidR="008D6614" w:rsidRDefault="008D6614">
            <w:pPr>
              <w:rPr>
                <w:rFonts w:ascii="宋体"/>
              </w:rPr>
            </w:pPr>
          </w:p>
        </w:tc>
        <w:tc>
          <w:tcPr>
            <w:tcW w:w="0" w:type="auto"/>
            <w:shd w:val="clear" w:color="auto" w:fill="auto"/>
            <w:vAlign w:val="center"/>
          </w:tcPr>
          <w:p w14:paraId="64A8B50B" w14:textId="77777777" w:rsidR="008D6614" w:rsidRDefault="008D6614">
            <w:pPr>
              <w:rPr>
                <w:rFonts w:ascii="宋体"/>
              </w:rPr>
            </w:pPr>
          </w:p>
        </w:tc>
        <w:tc>
          <w:tcPr>
            <w:tcW w:w="0" w:type="auto"/>
            <w:shd w:val="clear" w:color="auto" w:fill="auto"/>
            <w:vAlign w:val="center"/>
          </w:tcPr>
          <w:p w14:paraId="64A8B50C" w14:textId="77777777" w:rsidR="008D6614" w:rsidRDefault="008D6614">
            <w:pPr>
              <w:rPr>
                <w:rFonts w:ascii="宋体"/>
              </w:rPr>
            </w:pPr>
          </w:p>
        </w:tc>
        <w:tc>
          <w:tcPr>
            <w:tcW w:w="0" w:type="auto"/>
            <w:shd w:val="clear" w:color="auto" w:fill="auto"/>
            <w:vAlign w:val="center"/>
          </w:tcPr>
          <w:p w14:paraId="64A8B50D" w14:textId="77777777" w:rsidR="008D6614" w:rsidRDefault="008D6614">
            <w:pPr>
              <w:rPr>
                <w:rFonts w:ascii="宋体"/>
              </w:rPr>
            </w:pPr>
          </w:p>
        </w:tc>
        <w:tc>
          <w:tcPr>
            <w:tcW w:w="0" w:type="auto"/>
            <w:shd w:val="clear" w:color="auto" w:fill="auto"/>
            <w:vAlign w:val="center"/>
          </w:tcPr>
          <w:p w14:paraId="64A8B50E" w14:textId="77777777" w:rsidR="008D6614" w:rsidRDefault="008D6614">
            <w:pPr>
              <w:rPr>
                <w:rFonts w:ascii="宋体"/>
              </w:rPr>
            </w:pPr>
          </w:p>
        </w:tc>
      </w:tr>
    </w:tbl>
    <w:p w14:paraId="64A8B510" w14:textId="77777777" w:rsidR="008D6614" w:rsidRDefault="00866AF2">
      <w:r>
        <w:rPr>
          <w:rFonts w:ascii="Arial" w:eastAsia="宋体" w:hAnsi="Arial" w:cs="Arial"/>
          <w:color w:val="000000"/>
          <w:sz w:val="20"/>
          <w:szCs w:val="20"/>
        </w:rPr>
        <w:t> </w:t>
      </w:r>
    </w:p>
    <w:p w14:paraId="64A8B511" w14:textId="77777777" w:rsidR="008D6614" w:rsidRDefault="00866AF2">
      <w:pPr>
        <w:ind w:firstLine="270"/>
      </w:pPr>
      <w:r>
        <w:rPr>
          <w:rFonts w:ascii="Arial" w:eastAsia="宋体" w:hAnsi="Arial" w:cs="Arial"/>
          <w:i/>
          <w:iCs/>
          <w:color w:val="000000"/>
          <w:sz w:val="20"/>
          <w:szCs w:val="20"/>
        </w:rPr>
        <w:t>Continuing Operating Activities</w:t>
      </w:r>
    </w:p>
    <w:p w14:paraId="64A8B512" w14:textId="77777777" w:rsidR="008D6614" w:rsidRDefault="008D6614">
      <w:pPr>
        <w:jc w:val="both"/>
      </w:pPr>
    </w:p>
    <w:p w14:paraId="64A8B513" w14:textId="77777777" w:rsidR="008D6614" w:rsidRDefault="00866AF2">
      <w:pPr>
        <w:ind w:firstLine="540"/>
        <w:jc w:val="both"/>
      </w:pPr>
      <w:r>
        <w:rPr>
          <w:rFonts w:ascii="Arial" w:eastAsia="宋体" w:hAnsi="Arial" w:cs="Arial"/>
          <w:color w:val="000000"/>
          <w:sz w:val="20"/>
          <w:szCs w:val="20"/>
        </w:rPr>
        <w:t xml:space="preserve">Cash provided by continuing operating activities of $702 million in the three months ended March 31, 2020 was primarily attributable to net income of $3.4 billion with adjustments for income from discontinued operations of </w:t>
      </w:r>
      <w:r>
        <w:rPr>
          <w:rFonts w:ascii="Arial" w:eastAsia="宋体" w:hAnsi="Arial" w:cs="Arial"/>
          <w:color w:val="000000"/>
          <w:sz w:val="20"/>
          <w:szCs w:val="20"/>
        </w:rPr>
        <w:t>$2.9 billion, $147 million in depreciation and amortization, $100 million in stock-based compensation, $102 million in provision for transaction losses, $52 million for deferred income taxes, partially offset by $134 million in changes in assets and liabil</w:t>
      </w:r>
      <w:r>
        <w:rPr>
          <w:rFonts w:ascii="Arial" w:eastAsia="宋体" w:hAnsi="Arial" w:cs="Arial"/>
          <w:color w:val="000000"/>
          <w:sz w:val="20"/>
          <w:szCs w:val="20"/>
        </w:rPr>
        <w:t xml:space="preserve">ities, net of acquisition effects, $38 million for a gain on sale of an investment and an adjustment to net income of $12 million for changes in the fair value of the Adyen warrant. </w:t>
      </w:r>
    </w:p>
    <w:p w14:paraId="64A8B514" w14:textId="77777777" w:rsidR="008D6614" w:rsidRDefault="008D6614">
      <w:pPr>
        <w:ind w:firstLine="540"/>
        <w:jc w:val="both"/>
      </w:pPr>
    </w:p>
    <w:p w14:paraId="64A8B515" w14:textId="77777777" w:rsidR="008D6614" w:rsidRDefault="00866AF2">
      <w:pPr>
        <w:ind w:firstLine="270"/>
      </w:pPr>
      <w:r>
        <w:rPr>
          <w:rFonts w:ascii="Arial" w:eastAsia="宋体" w:hAnsi="Arial" w:cs="Arial"/>
          <w:i/>
          <w:iCs/>
          <w:color w:val="000000"/>
          <w:sz w:val="20"/>
          <w:szCs w:val="20"/>
        </w:rPr>
        <w:t>Continuing Investing Activities</w:t>
      </w:r>
    </w:p>
    <w:p w14:paraId="64A8B516" w14:textId="77777777" w:rsidR="008D6614" w:rsidRDefault="008D6614">
      <w:pPr>
        <w:ind w:firstLine="270"/>
      </w:pPr>
    </w:p>
    <w:p w14:paraId="64A8B517" w14:textId="77777777" w:rsidR="008D6614" w:rsidRDefault="00866AF2">
      <w:pPr>
        <w:ind w:firstLine="540"/>
        <w:jc w:val="both"/>
      </w:pPr>
      <w:r>
        <w:rPr>
          <w:rFonts w:ascii="Arial" w:eastAsia="宋体" w:hAnsi="Arial" w:cs="Arial"/>
          <w:color w:val="000000"/>
          <w:sz w:val="20"/>
          <w:szCs w:val="20"/>
        </w:rPr>
        <w:t>Cash used in continuing investing activ</w:t>
      </w:r>
      <w:r>
        <w:rPr>
          <w:rFonts w:ascii="Arial" w:eastAsia="宋体" w:hAnsi="Arial" w:cs="Arial"/>
          <w:color w:val="000000"/>
          <w:sz w:val="20"/>
          <w:szCs w:val="20"/>
        </w:rPr>
        <w:t>ities of $1.6 billion in the three months ended March 31, 2020 was primarily attributable to cash paid for investments of $10.7 billion and property and equipment of $98 million, partially offset by proceeds of $9.2 billion from the maturities and sales of</w:t>
      </w:r>
      <w:r>
        <w:rPr>
          <w:rFonts w:ascii="Arial" w:eastAsia="宋体" w:hAnsi="Arial" w:cs="Arial"/>
          <w:color w:val="000000"/>
          <w:sz w:val="20"/>
          <w:szCs w:val="20"/>
        </w:rPr>
        <w:t xml:space="preserve"> investments.</w:t>
      </w:r>
    </w:p>
    <w:p w14:paraId="64A8B518" w14:textId="77777777" w:rsidR="008D6614" w:rsidRDefault="008D6614">
      <w:pPr>
        <w:ind w:firstLine="540"/>
        <w:jc w:val="both"/>
      </w:pPr>
    </w:p>
    <w:p w14:paraId="64A8B519" w14:textId="77777777" w:rsidR="008D6614" w:rsidRDefault="00866AF2">
      <w:pPr>
        <w:ind w:firstLine="270"/>
      </w:pPr>
      <w:r>
        <w:rPr>
          <w:rFonts w:ascii="Arial" w:eastAsia="宋体" w:hAnsi="Arial" w:cs="Arial"/>
          <w:i/>
          <w:iCs/>
          <w:color w:val="000000"/>
          <w:sz w:val="20"/>
          <w:szCs w:val="20"/>
        </w:rPr>
        <w:t>Continuing Financing Activities</w:t>
      </w:r>
    </w:p>
    <w:p w14:paraId="64A8B51A" w14:textId="77777777" w:rsidR="008D6614" w:rsidRDefault="008D6614"/>
    <w:p w14:paraId="64A8B51B" w14:textId="77777777" w:rsidR="008D6614" w:rsidRDefault="00866AF2">
      <w:pPr>
        <w:ind w:firstLine="540"/>
        <w:jc w:val="both"/>
      </w:pPr>
      <w:r>
        <w:rPr>
          <w:rFonts w:ascii="Arial" w:eastAsia="宋体" w:hAnsi="Arial" w:cs="Arial"/>
          <w:color w:val="000000"/>
          <w:sz w:val="20"/>
          <w:szCs w:val="20"/>
        </w:rPr>
        <w:t xml:space="preserve">Cash used in continuing financing activities of $3.2 billion in the three months ended March 31, 2020 was primarily attributable to cash paid to repurchase $4.0 billion of common stock, of which $3.0 billion </w:t>
      </w:r>
      <w:r>
        <w:rPr>
          <w:rFonts w:ascii="Arial" w:eastAsia="宋体" w:hAnsi="Arial" w:cs="Arial"/>
          <w:color w:val="000000"/>
          <w:sz w:val="20"/>
          <w:szCs w:val="20"/>
        </w:rPr>
        <w:t>related to repurchases of common stock under an accelerated share repurchase program, and $114 million of cash dividends, which were partially offset by $1.0 billion of proceeds from debt issuances.</w:t>
      </w:r>
    </w:p>
    <w:p w14:paraId="64A8B51C" w14:textId="77777777" w:rsidR="008D6614" w:rsidRDefault="008D6614">
      <w:pPr>
        <w:ind w:firstLine="540"/>
      </w:pPr>
    </w:p>
    <w:p w14:paraId="64A8B51D" w14:textId="77777777" w:rsidR="008D6614" w:rsidRDefault="00866AF2">
      <w:pPr>
        <w:ind w:firstLine="540"/>
        <w:jc w:val="both"/>
      </w:pPr>
      <w:r>
        <w:rPr>
          <w:rFonts w:ascii="Arial" w:eastAsia="宋体" w:hAnsi="Arial" w:cs="Arial"/>
          <w:color w:val="000000"/>
          <w:sz w:val="20"/>
          <w:szCs w:val="20"/>
        </w:rPr>
        <w:t xml:space="preserve">The negative effect of exchange rate movements on cash, </w:t>
      </w:r>
      <w:r>
        <w:rPr>
          <w:rFonts w:ascii="Arial" w:eastAsia="宋体" w:hAnsi="Arial" w:cs="Arial"/>
          <w:color w:val="000000"/>
          <w:sz w:val="20"/>
          <w:szCs w:val="20"/>
        </w:rPr>
        <w:t>cash equivalents and restricted cash was due to the strengthening of the U.S. dollar against other currencies, primarily the Korean won, British pound, Turkish Iira and Australian dollar during the three months ended March 31, 2020 compared to the 2019 yea</w:t>
      </w:r>
      <w:r>
        <w:rPr>
          <w:rFonts w:ascii="Arial" w:eastAsia="宋体" w:hAnsi="Arial" w:cs="Arial"/>
          <w:color w:val="000000"/>
          <w:sz w:val="20"/>
          <w:szCs w:val="20"/>
        </w:rPr>
        <w:t>r-end rate.</w:t>
      </w:r>
    </w:p>
    <w:p w14:paraId="64A8B51E" w14:textId="77777777" w:rsidR="008D6614" w:rsidRDefault="008D6614">
      <w:pPr>
        <w:ind w:firstLine="540"/>
      </w:pPr>
    </w:p>
    <w:p w14:paraId="64A8B51F" w14:textId="77777777" w:rsidR="008D6614" w:rsidRDefault="008D6614">
      <w:pPr>
        <w:jc w:val="center"/>
      </w:pPr>
    </w:p>
    <w:p w14:paraId="64A8B520" w14:textId="77777777" w:rsidR="008D6614" w:rsidRDefault="00866AF2">
      <w:pPr>
        <w:jc w:val="center"/>
      </w:pPr>
      <w:r>
        <w:rPr>
          <w:rFonts w:ascii="Arial" w:eastAsia="宋体" w:hAnsi="Arial" w:cs="Arial"/>
          <w:color w:val="000000"/>
          <w:sz w:val="20"/>
          <w:szCs w:val="20"/>
        </w:rPr>
        <w:t>42</w:t>
      </w:r>
    </w:p>
    <w:p w14:paraId="64A8B521" w14:textId="77777777" w:rsidR="008D6614" w:rsidRDefault="00866AF2">
      <w:r>
        <w:pict w14:anchorId="64A8BA07">
          <v:rect id="_x0000_i1066" style="width:415.3pt;height:1.5pt" o:hralign="center" o:hrstd="t" o:hr="t" fillcolor="#a0a0a0" stroked="f"/>
        </w:pict>
      </w:r>
    </w:p>
    <w:p w14:paraId="64A8B522" w14:textId="77777777" w:rsidR="008D6614" w:rsidRDefault="008D6614"/>
    <w:p w14:paraId="64A8B523" w14:textId="77777777" w:rsidR="008D6614" w:rsidRDefault="00866AF2">
      <w:pPr>
        <w:ind w:firstLine="270"/>
      </w:pPr>
      <w:r>
        <w:rPr>
          <w:rFonts w:ascii="Arial" w:eastAsia="宋体" w:hAnsi="Arial" w:cs="Arial"/>
          <w:b/>
          <w:bCs/>
          <w:i/>
          <w:iCs/>
          <w:color w:val="000000"/>
          <w:sz w:val="20"/>
          <w:szCs w:val="20"/>
        </w:rPr>
        <w:t>Stock Repurchases</w:t>
      </w:r>
    </w:p>
    <w:p w14:paraId="64A8B524" w14:textId="77777777" w:rsidR="008D6614" w:rsidRDefault="008D6614"/>
    <w:p w14:paraId="64A8B525" w14:textId="77777777" w:rsidR="008D6614" w:rsidRDefault="00866AF2">
      <w:pPr>
        <w:ind w:firstLine="540"/>
        <w:jc w:val="both"/>
      </w:pPr>
      <w:r>
        <w:rPr>
          <w:rFonts w:ascii="Arial" w:eastAsia="宋体" w:hAnsi="Arial" w:cs="Arial"/>
          <w:color w:val="000000"/>
          <w:sz w:val="20"/>
          <w:szCs w:val="20"/>
        </w:rPr>
        <w:t xml:space="preserve">In January 2019, our Board authorized a $4.0 billion stock repurchase program and in January 2020, our Board authorized an additional $5.0 billion stock repurchase program. These stock repurchase programs have no expiration from the date of authorization. </w:t>
      </w:r>
    </w:p>
    <w:p w14:paraId="64A8B526" w14:textId="77777777" w:rsidR="008D6614" w:rsidRDefault="008D6614">
      <w:pPr>
        <w:ind w:firstLine="540"/>
        <w:jc w:val="both"/>
      </w:pPr>
    </w:p>
    <w:p w14:paraId="64A8B527" w14:textId="77777777" w:rsidR="008D6614" w:rsidRDefault="00866AF2">
      <w:pPr>
        <w:ind w:firstLine="540"/>
        <w:jc w:val="both"/>
      </w:pPr>
      <w:r>
        <w:rPr>
          <w:rFonts w:ascii="Arial" w:eastAsia="宋体" w:hAnsi="Arial" w:cs="Arial"/>
          <w:color w:val="212529"/>
          <w:sz w:val="20"/>
          <w:szCs w:val="20"/>
        </w:rPr>
        <w:t>On February 13, 2020, we entered into accelerated share repurchase agreements (the “ASR Agreements”) with each three financial institutions (each, an “ASR Counterparty”), as part of our share repurchase program. Under the ASR Agreements, we paid an aggre</w:t>
      </w:r>
      <w:r>
        <w:rPr>
          <w:rFonts w:ascii="Arial" w:eastAsia="宋体" w:hAnsi="Arial" w:cs="Arial"/>
          <w:color w:val="212529"/>
          <w:sz w:val="20"/>
          <w:szCs w:val="20"/>
        </w:rPr>
        <w:t>gate amount of $3.0 billion to the ASR Counterparties and received an initial delivery of approximately 69 million shares of our common stock, which shares were recorded as a $2.55 billion increase to treasury stock. The final number of shares to be repurc</w:t>
      </w:r>
      <w:r>
        <w:rPr>
          <w:rFonts w:ascii="Arial" w:eastAsia="宋体" w:hAnsi="Arial" w:cs="Arial"/>
          <w:color w:val="212529"/>
          <w:sz w:val="20"/>
          <w:szCs w:val="20"/>
        </w:rPr>
        <w:t>hased will be based on the volume-weighted average stock price of our common stock during the terms of the agreements, less a discount. This is evaluated as an unsettled forward contract indexed to our own stock, with $450 million classified within stockho</w:t>
      </w:r>
      <w:r>
        <w:rPr>
          <w:rFonts w:ascii="Arial" w:eastAsia="宋体" w:hAnsi="Arial" w:cs="Arial"/>
          <w:color w:val="212529"/>
          <w:sz w:val="20"/>
          <w:szCs w:val="20"/>
        </w:rPr>
        <w:t>lders’ equity. The transactions are scheduled to settle in the third quarter of 2020 but may settle earlier in certain circumstances. At final settlement, each ASR Counterparty may be required to deliver additional shares of our common stock to us or, unde</w:t>
      </w:r>
      <w:r>
        <w:rPr>
          <w:rFonts w:ascii="Arial" w:eastAsia="宋体" w:hAnsi="Arial" w:cs="Arial"/>
          <w:color w:val="212529"/>
          <w:sz w:val="20"/>
          <w:szCs w:val="20"/>
        </w:rPr>
        <w:t xml:space="preserve">r certain circumstances, we may be required to make a cash payment or deliver shares of our common stock to the applicable ASR Counterparty, with the method of settlement at our election. </w:t>
      </w:r>
    </w:p>
    <w:p w14:paraId="64A8B528" w14:textId="77777777" w:rsidR="008D6614" w:rsidRDefault="008D6614">
      <w:pPr>
        <w:ind w:firstLine="540"/>
        <w:jc w:val="both"/>
      </w:pPr>
    </w:p>
    <w:p w14:paraId="64A8B529" w14:textId="77777777" w:rsidR="008D6614" w:rsidRDefault="00866AF2">
      <w:pPr>
        <w:ind w:firstLine="540"/>
        <w:jc w:val="both"/>
      </w:pPr>
      <w:r>
        <w:rPr>
          <w:rFonts w:ascii="Arial" w:eastAsia="宋体" w:hAnsi="Arial" w:cs="Arial"/>
          <w:color w:val="000000"/>
          <w:sz w:val="20"/>
          <w:szCs w:val="20"/>
        </w:rPr>
        <w:t>Our stock repurchase programs are intended to programmatically off</w:t>
      </w:r>
      <w:r>
        <w:rPr>
          <w:rFonts w:ascii="Arial" w:eastAsia="宋体" w:hAnsi="Arial" w:cs="Arial"/>
          <w:color w:val="000000"/>
          <w:sz w:val="20"/>
          <w:szCs w:val="20"/>
        </w:rPr>
        <w:t xml:space="preserve">set the impact of dilution from our equity compensation programs and, subject to market conditions and other factors, to make opportunistic and programmatic repurchases of our common stock to reduce our outstanding share count. Any share repurchases under </w:t>
      </w:r>
      <w:r>
        <w:rPr>
          <w:rFonts w:ascii="Arial" w:eastAsia="宋体" w:hAnsi="Arial" w:cs="Arial"/>
          <w:color w:val="000000"/>
          <w:sz w:val="20"/>
          <w:szCs w:val="20"/>
        </w:rPr>
        <w:t>our stock repurchase programs may be made through open market transactions, block trades, privately negotiated transactions (including accelerated share repurchase transactions) or other means at times and in such amounts as management deems appropriate an</w:t>
      </w:r>
      <w:r>
        <w:rPr>
          <w:rFonts w:ascii="Arial" w:eastAsia="宋体" w:hAnsi="Arial" w:cs="Arial"/>
          <w:color w:val="000000"/>
          <w:sz w:val="20"/>
          <w:szCs w:val="20"/>
        </w:rPr>
        <w:t>d will be funded from our working capital or other financing alternatives.</w:t>
      </w:r>
    </w:p>
    <w:p w14:paraId="64A8B52A" w14:textId="77777777" w:rsidR="008D6614" w:rsidRDefault="008D6614">
      <w:pPr>
        <w:ind w:firstLine="540"/>
        <w:jc w:val="both"/>
      </w:pPr>
    </w:p>
    <w:p w14:paraId="64A8B52B" w14:textId="77777777" w:rsidR="008D6614" w:rsidRDefault="00866AF2">
      <w:pPr>
        <w:ind w:firstLine="540"/>
        <w:jc w:val="both"/>
      </w:pPr>
      <w:r>
        <w:rPr>
          <w:rFonts w:ascii="Arial" w:eastAsia="宋体" w:hAnsi="Arial" w:cs="Arial"/>
          <w:color w:val="000000"/>
          <w:sz w:val="20"/>
          <w:szCs w:val="20"/>
        </w:rPr>
        <w:t xml:space="preserve">During the three months ended March 31, 2020, we repurchased approximately $4 billion of our common stock under our stock repurchase programs. As of March 31, 2020, a total of </w:t>
      </w:r>
      <w:r>
        <w:rPr>
          <w:rFonts w:ascii="Arial" w:eastAsia="宋体" w:hAnsi="Arial" w:cs="Arial"/>
          <w:color w:val="000000"/>
          <w:sz w:val="20"/>
          <w:szCs w:val="20"/>
        </w:rPr>
        <w:t>approximately $3.2 billion remained available for future repurchases of our common stock under our stock repurchase programs. </w:t>
      </w:r>
    </w:p>
    <w:p w14:paraId="64A8B52C" w14:textId="77777777" w:rsidR="008D6614" w:rsidRDefault="008D6614">
      <w:pPr>
        <w:ind w:firstLine="540"/>
        <w:jc w:val="both"/>
      </w:pPr>
    </w:p>
    <w:p w14:paraId="64A8B52D" w14:textId="77777777" w:rsidR="008D6614" w:rsidRDefault="00866AF2">
      <w:pPr>
        <w:ind w:firstLine="540"/>
        <w:jc w:val="both"/>
      </w:pPr>
      <w:r>
        <w:rPr>
          <w:rFonts w:ascii="Arial" w:eastAsia="宋体" w:hAnsi="Arial" w:cs="Arial"/>
          <w:color w:val="000000"/>
          <w:sz w:val="20"/>
          <w:szCs w:val="20"/>
        </w:rPr>
        <w:t>We expect, subject to market conditions and other uncertainties, to continue making opportunistic and programmatic repurchases o</w:t>
      </w:r>
      <w:r>
        <w:rPr>
          <w:rFonts w:ascii="Arial" w:eastAsia="宋体" w:hAnsi="Arial" w:cs="Arial"/>
          <w:color w:val="000000"/>
          <w:sz w:val="20"/>
          <w:szCs w:val="20"/>
        </w:rPr>
        <w:t>f our common stock. However, our stock repurchase programs may be limited or terminated at any time without prior notice. The timing and actual number of shares repurchased will depend on a variety of factors, including corporate and regulatory requirement</w:t>
      </w:r>
      <w:r>
        <w:rPr>
          <w:rFonts w:ascii="Arial" w:eastAsia="宋体" w:hAnsi="Arial" w:cs="Arial"/>
          <w:color w:val="000000"/>
          <w:sz w:val="20"/>
          <w:szCs w:val="20"/>
        </w:rPr>
        <w:t>s, the impacts of the COVID-19 pandemic, price and other market conditions and management’s determination as to the appropriate use of our cash.  </w:t>
      </w:r>
    </w:p>
    <w:p w14:paraId="64A8B52E" w14:textId="77777777" w:rsidR="008D6614" w:rsidRDefault="008D6614">
      <w:pPr>
        <w:ind w:firstLine="540"/>
        <w:jc w:val="both"/>
      </w:pPr>
    </w:p>
    <w:p w14:paraId="64A8B52F" w14:textId="77777777" w:rsidR="008D6614" w:rsidRDefault="00866AF2">
      <w:pPr>
        <w:ind w:firstLine="270"/>
      </w:pPr>
      <w:r>
        <w:rPr>
          <w:rFonts w:ascii="Arial" w:eastAsia="宋体" w:hAnsi="Arial" w:cs="Arial"/>
          <w:b/>
          <w:bCs/>
          <w:i/>
          <w:iCs/>
          <w:color w:val="000000"/>
          <w:sz w:val="20"/>
          <w:szCs w:val="20"/>
        </w:rPr>
        <w:t>Dividends</w:t>
      </w:r>
    </w:p>
    <w:p w14:paraId="64A8B530" w14:textId="77777777" w:rsidR="008D6614" w:rsidRDefault="008D6614">
      <w:pPr>
        <w:ind w:firstLine="270"/>
      </w:pPr>
    </w:p>
    <w:p w14:paraId="64A8B531" w14:textId="77777777" w:rsidR="008D6614" w:rsidRDefault="00866AF2">
      <w:pPr>
        <w:ind w:firstLine="540"/>
        <w:jc w:val="both"/>
      </w:pPr>
      <w:r>
        <w:rPr>
          <w:rFonts w:ascii="Arial" w:eastAsia="宋体" w:hAnsi="Arial" w:cs="Arial"/>
          <w:color w:val="000000"/>
          <w:sz w:val="20"/>
          <w:szCs w:val="20"/>
        </w:rPr>
        <w:t>We paid a tot</w:t>
      </w:r>
      <w:r>
        <w:rPr>
          <w:rFonts w:ascii="Arial" w:eastAsia="宋体" w:hAnsi="Arial" w:cs="Arial"/>
          <w:color w:val="000000"/>
          <w:sz w:val="20"/>
          <w:szCs w:val="20"/>
          <w:shd w:val="clear" w:color="auto" w:fill="FFFFFF"/>
        </w:rPr>
        <w:t>al of $114 million in</w:t>
      </w:r>
      <w:r>
        <w:rPr>
          <w:rFonts w:ascii="Arial" w:eastAsia="宋体" w:hAnsi="Arial" w:cs="Arial"/>
          <w:color w:val="000000"/>
          <w:sz w:val="20"/>
          <w:szCs w:val="20"/>
        </w:rPr>
        <w:t xml:space="preserve"> cash dividends during the three months ended March 31, 2020. I</w:t>
      </w:r>
      <w:r>
        <w:rPr>
          <w:rFonts w:ascii="Arial" w:eastAsia="宋体" w:hAnsi="Arial" w:cs="Arial"/>
          <w:color w:val="000000"/>
          <w:sz w:val="20"/>
          <w:szCs w:val="20"/>
        </w:rPr>
        <w:t>n April 2020, our Board of Directors declared a cash dividend of $0.16 per share of common stock to be paid on June 19, 2020 to stockholders of record as of June 1, 2020.</w:t>
      </w:r>
    </w:p>
    <w:p w14:paraId="64A8B532" w14:textId="77777777" w:rsidR="008D6614" w:rsidRDefault="008D6614">
      <w:pPr>
        <w:ind w:firstLine="270"/>
      </w:pPr>
    </w:p>
    <w:p w14:paraId="64A8B533" w14:textId="77777777" w:rsidR="008D6614" w:rsidRDefault="00866AF2">
      <w:pPr>
        <w:ind w:firstLine="270"/>
      </w:pPr>
      <w:r>
        <w:rPr>
          <w:rFonts w:ascii="Arial" w:eastAsia="宋体" w:hAnsi="Arial" w:cs="Arial"/>
          <w:b/>
          <w:bCs/>
          <w:i/>
          <w:iCs/>
          <w:color w:val="000000"/>
          <w:sz w:val="20"/>
          <w:szCs w:val="20"/>
        </w:rPr>
        <w:t>Shelf Registration Statement and Debt</w:t>
      </w:r>
    </w:p>
    <w:p w14:paraId="64A8B534" w14:textId="77777777" w:rsidR="008D6614" w:rsidRDefault="008D6614">
      <w:pPr>
        <w:ind w:firstLine="90"/>
      </w:pPr>
    </w:p>
    <w:p w14:paraId="64A8B535" w14:textId="77777777" w:rsidR="008D6614" w:rsidRDefault="00866AF2">
      <w:pPr>
        <w:ind w:firstLine="270"/>
      </w:pPr>
      <w:r>
        <w:rPr>
          <w:rFonts w:ascii="Arial" w:eastAsia="宋体" w:hAnsi="Arial" w:cs="Arial"/>
          <w:i/>
          <w:iCs/>
          <w:color w:val="000000"/>
          <w:sz w:val="20"/>
          <w:szCs w:val="20"/>
        </w:rPr>
        <w:t>Shelf Registration</w:t>
      </w:r>
    </w:p>
    <w:p w14:paraId="64A8B536" w14:textId="77777777" w:rsidR="008D6614" w:rsidRDefault="008D6614">
      <w:pPr>
        <w:ind w:firstLine="540"/>
        <w:jc w:val="both"/>
      </w:pPr>
    </w:p>
    <w:p w14:paraId="64A8B537" w14:textId="77777777" w:rsidR="008D6614" w:rsidRDefault="00866AF2">
      <w:pPr>
        <w:ind w:firstLine="540"/>
        <w:jc w:val="both"/>
      </w:pPr>
      <w:r>
        <w:rPr>
          <w:rFonts w:ascii="Arial" w:eastAsia="宋体" w:hAnsi="Arial" w:cs="Arial"/>
          <w:color w:val="000000"/>
          <w:sz w:val="20"/>
          <w:szCs w:val="20"/>
        </w:rPr>
        <w:t xml:space="preserve">As of March 31, 2020, we </w:t>
      </w:r>
      <w:r>
        <w:rPr>
          <w:rFonts w:ascii="Arial" w:eastAsia="宋体" w:hAnsi="Arial" w:cs="Arial"/>
          <w:color w:val="000000"/>
          <w:sz w:val="20"/>
          <w:szCs w:val="20"/>
        </w:rPr>
        <w:t>had an effective shelf registration statement on file with the Securities and Exchange Commission that allows us to issue various types of debt securities, as well as common stock, preferred stock, warrants, depositary shares representing fractional intere</w:t>
      </w:r>
      <w:r>
        <w:rPr>
          <w:rFonts w:ascii="Arial" w:eastAsia="宋体" w:hAnsi="Arial" w:cs="Arial"/>
          <w:color w:val="000000"/>
          <w:sz w:val="20"/>
          <w:szCs w:val="20"/>
        </w:rPr>
        <w:t>st in shares of preferred stock, purchase contracts and units from time to time in one or more offerings. Each issuance under the shelf registration statement will require the filing of a prospectus supplement identifying the amount and terms of the securi</w:t>
      </w:r>
      <w:r>
        <w:rPr>
          <w:rFonts w:ascii="Arial" w:eastAsia="宋体" w:hAnsi="Arial" w:cs="Arial"/>
          <w:color w:val="000000"/>
          <w:sz w:val="20"/>
          <w:szCs w:val="20"/>
        </w:rPr>
        <w:t>ties to be issued. The registration statement does not limit the amount of securities that may be issued thereunder. Our ability to issue securities is subject to market conditions and other factors including, in the case of our debt securities, our credit</w:t>
      </w:r>
      <w:r>
        <w:rPr>
          <w:rFonts w:ascii="Arial" w:eastAsia="宋体" w:hAnsi="Arial" w:cs="Arial"/>
          <w:color w:val="000000"/>
          <w:sz w:val="20"/>
          <w:szCs w:val="20"/>
        </w:rPr>
        <w:t xml:space="preserve"> ratings and compliance with the covenants in our credit agreement.</w:t>
      </w:r>
    </w:p>
    <w:p w14:paraId="64A8B538" w14:textId="77777777" w:rsidR="008D6614" w:rsidRDefault="008D6614">
      <w:pPr>
        <w:ind w:firstLine="540"/>
        <w:jc w:val="both"/>
      </w:pPr>
    </w:p>
    <w:p w14:paraId="64A8B539" w14:textId="77777777" w:rsidR="008D6614" w:rsidRDefault="008D6614">
      <w:pPr>
        <w:jc w:val="center"/>
      </w:pPr>
    </w:p>
    <w:p w14:paraId="64A8B53A" w14:textId="77777777" w:rsidR="008D6614" w:rsidRDefault="00866AF2">
      <w:pPr>
        <w:jc w:val="center"/>
      </w:pPr>
      <w:r>
        <w:rPr>
          <w:rFonts w:ascii="Arial" w:eastAsia="宋体" w:hAnsi="Arial" w:cs="Arial"/>
          <w:color w:val="000000"/>
          <w:sz w:val="20"/>
          <w:szCs w:val="20"/>
        </w:rPr>
        <w:t>43</w:t>
      </w:r>
    </w:p>
    <w:p w14:paraId="64A8B53B" w14:textId="77777777" w:rsidR="008D6614" w:rsidRDefault="00866AF2">
      <w:r>
        <w:pict w14:anchorId="64A8BA08">
          <v:rect id="_x0000_i1067" style="width:415.3pt;height:1.5pt" o:hralign="center" o:hrstd="t" o:hr="t" fillcolor="#a0a0a0" stroked="f"/>
        </w:pict>
      </w:r>
    </w:p>
    <w:p w14:paraId="64A8B53C" w14:textId="77777777" w:rsidR="008D6614" w:rsidRDefault="008D6614"/>
    <w:p w14:paraId="64A8B53D" w14:textId="77777777" w:rsidR="008D6614" w:rsidRDefault="00866AF2">
      <w:pPr>
        <w:ind w:firstLine="270"/>
      </w:pPr>
      <w:r>
        <w:rPr>
          <w:rFonts w:ascii="Arial" w:eastAsia="宋体" w:hAnsi="Arial" w:cs="Arial"/>
          <w:i/>
          <w:iCs/>
          <w:color w:val="000000"/>
          <w:sz w:val="20"/>
          <w:szCs w:val="20"/>
        </w:rPr>
        <w:t>Senior Notes</w:t>
      </w:r>
    </w:p>
    <w:p w14:paraId="64A8B53E" w14:textId="77777777" w:rsidR="008D6614" w:rsidRDefault="008D6614">
      <w:pPr>
        <w:ind w:firstLine="540"/>
        <w:jc w:val="both"/>
      </w:pPr>
    </w:p>
    <w:p w14:paraId="64A8B53F" w14:textId="77777777" w:rsidR="008D6614" w:rsidRDefault="00866AF2">
      <w:pPr>
        <w:ind w:firstLine="540"/>
        <w:jc w:val="both"/>
      </w:pPr>
      <w:r>
        <w:rPr>
          <w:rFonts w:ascii="Arial" w:eastAsia="宋体" w:hAnsi="Arial" w:cs="Arial"/>
          <w:color w:val="000000"/>
          <w:sz w:val="20"/>
          <w:szCs w:val="20"/>
        </w:rPr>
        <w:t xml:space="preserve">As of March 31, 2020, we had floating- and fixed-rate senior notes outstanding for an aggregate principal amount of $8.8 billion. The net proceeds from the issuances </w:t>
      </w:r>
      <w:r>
        <w:rPr>
          <w:rFonts w:ascii="Arial" w:eastAsia="宋体" w:hAnsi="Arial" w:cs="Arial"/>
          <w:color w:val="000000"/>
          <w:sz w:val="20"/>
          <w:szCs w:val="20"/>
        </w:rPr>
        <w:t>of these senior notes are used for general corporate purposes, including, among other things, capital expenditures, share repurchases, repayment of indebtedness and possible acquisitions. The floating rate notes are not redeemable prior to maturity. On and</w:t>
      </w:r>
      <w:r>
        <w:rPr>
          <w:rFonts w:ascii="Arial" w:eastAsia="宋体" w:hAnsi="Arial" w:cs="Arial"/>
          <w:color w:val="000000"/>
          <w:sz w:val="20"/>
          <w:szCs w:val="20"/>
        </w:rPr>
        <w:t xml:space="preserve"> after March 1, 2021, we may redeem some or all of the 6.000% fixed rate notes due 2056 at any time and from time to time prior to their maturity, at a redemption price equal to 100% of the principal amount of the notes to be redeemed, plus accrued and unp</w:t>
      </w:r>
      <w:r>
        <w:rPr>
          <w:rFonts w:ascii="Arial" w:eastAsia="宋体" w:hAnsi="Arial" w:cs="Arial"/>
          <w:color w:val="000000"/>
          <w:sz w:val="20"/>
          <w:szCs w:val="20"/>
        </w:rPr>
        <w:t>aid interest. We may redeem some or all of the other fixed rate notes of each series at any time and from time to time prior to their maturity, generally at a make-whole redemption price plus accrued and unpaid interest. If a change of control triggering e</w:t>
      </w:r>
      <w:r>
        <w:rPr>
          <w:rFonts w:ascii="Arial" w:eastAsia="宋体" w:hAnsi="Arial" w:cs="Arial"/>
          <w:color w:val="000000"/>
          <w:sz w:val="20"/>
          <w:szCs w:val="20"/>
        </w:rPr>
        <w:t>vent (as defined in the applicable senior notes) occurs with respect to the 2.150% fixed rate notes due 2020, the 3.800% fixed rate notes due 2022, the floating rate notes due 2023, the 2.750% fixed rate notes due 2023, the 1.900% fixed rate notes due 2025</w:t>
      </w:r>
      <w:r>
        <w:rPr>
          <w:rFonts w:ascii="Arial" w:eastAsia="宋体" w:hAnsi="Arial" w:cs="Arial"/>
          <w:color w:val="000000"/>
          <w:sz w:val="20"/>
          <w:szCs w:val="20"/>
        </w:rPr>
        <w:t>, the 3.600% fixed rate notes due 2027, the 2.700% fixed rate notes due 2030 or the 6.000% fixed rate notes due 2056, we must, subject to certain exceptions, offer to repurchase all of the notes of the applicable series at a price equal to 101% of the prin</w:t>
      </w:r>
      <w:r>
        <w:rPr>
          <w:rFonts w:ascii="Arial" w:eastAsia="宋体" w:hAnsi="Arial" w:cs="Arial"/>
          <w:color w:val="000000"/>
          <w:sz w:val="20"/>
          <w:szCs w:val="20"/>
        </w:rPr>
        <w:t xml:space="preserve">cipal amount plus accrued and unpaid interest. For additional details related to our senior notes, please see “Note 10 – Debt” to the condensed consolidated financial statements included in this report. </w:t>
      </w:r>
    </w:p>
    <w:p w14:paraId="64A8B540" w14:textId="77777777" w:rsidR="008D6614" w:rsidRDefault="008D6614">
      <w:pPr>
        <w:ind w:firstLine="540"/>
        <w:jc w:val="both"/>
      </w:pPr>
    </w:p>
    <w:p w14:paraId="64A8B541" w14:textId="77777777" w:rsidR="008D6614" w:rsidRDefault="00866AF2">
      <w:pPr>
        <w:ind w:firstLine="540"/>
        <w:jc w:val="both"/>
      </w:pPr>
      <w:r>
        <w:rPr>
          <w:rFonts w:ascii="Arial" w:eastAsia="宋体" w:hAnsi="Arial" w:cs="Arial"/>
          <w:color w:val="000000"/>
          <w:sz w:val="20"/>
          <w:szCs w:val="20"/>
        </w:rPr>
        <w:t>To help achieve our interest rate risk management o</w:t>
      </w:r>
      <w:r>
        <w:rPr>
          <w:rFonts w:ascii="Arial" w:eastAsia="宋体" w:hAnsi="Arial" w:cs="Arial"/>
          <w:color w:val="000000"/>
          <w:sz w:val="20"/>
          <w:szCs w:val="20"/>
        </w:rPr>
        <w:t>bjectives, in connection with the previous issuance of certain senior notes, we entered into interest rate swap agreements that effectively converted $2.4 billion of the fixed rate notes to floating rate debt based on the London Interbank Offered Rate (“LI</w:t>
      </w:r>
      <w:r>
        <w:rPr>
          <w:rFonts w:ascii="Arial" w:eastAsia="宋体" w:hAnsi="Arial" w:cs="Arial"/>
          <w:color w:val="000000"/>
          <w:sz w:val="20"/>
          <w:szCs w:val="20"/>
        </w:rPr>
        <w:t>BOR”) plus a spread. These swaps were designated as fair value hedges against changes in the fair value of certain fixed rate senior notes resulting from changes in interest rates. As of March 31, 2020, we had no interest rate swaps designated as fair valu</w:t>
      </w:r>
      <w:r>
        <w:rPr>
          <w:rFonts w:ascii="Arial" w:eastAsia="宋体" w:hAnsi="Arial" w:cs="Arial"/>
          <w:color w:val="000000"/>
          <w:sz w:val="20"/>
          <w:szCs w:val="20"/>
        </w:rPr>
        <w:t>e hedges outstanding as $1.15 billion related to our 2.200% senior notes of the $2.4 billion aggregate notional amount matured in 2019 and in 2019 we terminated the interest rate swaps related to $750 million of our 2.875% senior notes due July 2021 and $5</w:t>
      </w:r>
      <w:r>
        <w:rPr>
          <w:rFonts w:ascii="Arial" w:eastAsia="宋体" w:hAnsi="Arial" w:cs="Arial"/>
          <w:color w:val="000000"/>
          <w:sz w:val="20"/>
          <w:szCs w:val="20"/>
        </w:rPr>
        <w:t>00 million of our 3.450% senior notes due July 2024. As a result of the early termination, hedge accounting was discontinued prospectively and the gain on termination was recorded as an increase to the long-term debt balance and is being recognized over th</w:t>
      </w:r>
      <w:r>
        <w:rPr>
          <w:rFonts w:ascii="Arial" w:eastAsia="宋体" w:hAnsi="Arial" w:cs="Arial"/>
          <w:color w:val="000000"/>
          <w:sz w:val="20"/>
          <w:szCs w:val="20"/>
        </w:rPr>
        <w:t>e remaining life of the underlying debt as a reduction to interest expense. The gain recognized during the three months ended March 31, 2020 was immaterial</w:t>
      </w:r>
      <w:r>
        <w:rPr>
          <w:rFonts w:ascii="Times New Roman" w:eastAsia="宋体" w:hAnsi="Times New Roman"/>
          <w:color w:val="000000"/>
          <w:sz w:val="20"/>
          <w:szCs w:val="20"/>
        </w:rPr>
        <w:t xml:space="preserve">. </w:t>
      </w:r>
      <w:r>
        <w:rPr>
          <w:rFonts w:ascii="Arial" w:eastAsia="宋体" w:hAnsi="Arial" w:cs="Arial"/>
          <w:color w:val="000000"/>
          <w:sz w:val="20"/>
          <w:szCs w:val="20"/>
        </w:rPr>
        <w:t xml:space="preserve">For additional details related to the interest rate swap termination, please see, “Note 10 – Debt” </w:t>
      </w:r>
      <w:r>
        <w:rPr>
          <w:rFonts w:ascii="Arial" w:eastAsia="宋体" w:hAnsi="Arial" w:cs="Arial"/>
          <w:color w:val="000000"/>
          <w:sz w:val="20"/>
          <w:szCs w:val="20"/>
        </w:rPr>
        <w:t>to the condensed consolidated financial statements included in this report.</w:t>
      </w:r>
    </w:p>
    <w:p w14:paraId="64A8B542" w14:textId="77777777" w:rsidR="008D6614" w:rsidRDefault="008D6614">
      <w:pPr>
        <w:ind w:firstLine="540"/>
        <w:jc w:val="both"/>
      </w:pPr>
    </w:p>
    <w:p w14:paraId="64A8B543" w14:textId="77777777" w:rsidR="008D6614" w:rsidRDefault="00866AF2">
      <w:pPr>
        <w:ind w:firstLine="540"/>
        <w:jc w:val="both"/>
      </w:pPr>
      <w:r>
        <w:rPr>
          <w:rFonts w:ascii="Arial" w:eastAsia="宋体" w:hAnsi="Arial" w:cs="Arial"/>
          <w:color w:val="000000"/>
          <w:sz w:val="20"/>
          <w:szCs w:val="20"/>
        </w:rPr>
        <w:t>The indenture pursuant to which the senior notes were issued includes customary covenants that, among other things and subject to exceptions, limit our ability to incur, assume or</w:t>
      </w:r>
      <w:r>
        <w:rPr>
          <w:rFonts w:ascii="Arial" w:eastAsia="宋体" w:hAnsi="Arial" w:cs="Arial"/>
          <w:color w:val="000000"/>
          <w:sz w:val="20"/>
          <w:szCs w:val="20"/>
        </w:rPr>
        <w:t xml:space="preserve"> guarantee debt secured by liens on specified assets or enter into sale and lease-back transactions with respect to specified properties, and also includes customary events of default with customary grace periods in certain circumstances, including payment</w:t>
      </w:r>
      <w:r>
        <w:rPr>
          <w:rFonts w:ascii="Arial" w:eastAsia="宋体" w:hAnsi="Arial" w:cs="Arial"/>
          <w:color w:val="000000"/>
          <w:sz w:val="20"/>
          <w:szCs w:val="20"/>
        </w:rPr>
        <w:t xml:space="preserve"> defaults and bankruptcy-related defaults.</w:t>
      </w:r>
    </w:p>
    <w:p w14:paraId="64A8B544" w14:textId="77777777" w:rsidR="008D6614" w:rsidRDefault="008D6614">
      <w:pPr>
        <w:ind w:firstLine="270"/>
      </w:pPr>
    </w:p>
    <w:p w14:paraId="64A8B545" w14:textId="77777777" w:rsidR="008D6614" w:rsidRDefault="00866AF2">
      <w:pPr>
        <w:ind w:firstLine="270"/>
      </w:pPr>
      <w:r>
        <w:rPr>
          <w:rFonts w:ascii="Arial" w:eastAsia="宋体" w:hAnsi="Arial" w:cs="Arial"/>
          <w:i/>
          <w:iCs/>
          <w:color w:val="000000"/>
          <w:sz w:val="20"/>
          <w:szCs w:val="20"/>
        </w:rPr>
        <w:t>Commercial Paper</w:t>
      </w:r>
    </w:p>
    <w:p w14:paraId="64A8B546" w14:textId="77777777" w:rsidR="008D6614" w:rsidRDefault="008D6614">
      <w:pPr>
        <w:ind w:firstLine="360"/>
      </w:pPr>
    </w:p>
    <w:p w14:paraId="64A8B547" w14:textId="77777777" w:rsidR="008D6614" w:rsidRDefault="00866AF2">
      <w:pPr>
        <w:ind w:firstLine="540"/>
        <w:jc w:val="both"/>
      </w:pPr>
      <w:r>
        <w:rPr>
          <w:rFonts w:ascii="Arial" w:eastAsia="宋体" w:hAnsi="Arial" w:cs="Arial"/>
          <w:color w:val="000000"/>
          <w:sz w:val="20"/>
          <w:szCs w:val="20"/>
        </w:rPr>
        <w:t xml:space="preserve">We have a commercial paper program pursuant to which we may issue commercial paper notes in an aggregate principal amount at maturity of up to </w:t>
      </w:r>
      <w:r>
        <w:rPr>
          <w:rFonts w:ascii="Arial" w:eastAsia="宋体" w:hAnsi="Arial" w:cs="Arial"/>
          <w:color w:val="000000"/>
          <w:sz w:val="20"/>
          <w:szCs w:val="20"/>
          <w:shd w:val="clear" w:color="auto" w:fill="FFFFFF"/>
        </w:rPr>
        <w:t>$1.5 billion</w:t>
      </w:r>
      <w:r>
        <w:rPr>
          <w:rFonts w:ascii="Arial" w:eastAsia="宋体" w:hAnsi="Arial" w:cs="Arial"/>
          <w:color w:val="000000"/>
          <w:sz w:val="20"/>
          <w:szCs w:val="20"/>
        </w:rPr>
        <w:t xml:space="preserve"> outstanding at any time with maturities of up to 397 days from the date of issue. As of March 31, 20</w:t>
      </w:r>
      <w:r>
        <w:rPr>
          <w:rFonts w:ascii="Arial" w:eastAsia="宋体" w:hAnsi="Arial" w:cs="Arial"/>
          <w:color w:val="000000"/>
          <w:sz w:val="20"/>
          <w:szCs w:val="20"/>
        </w:rPr>
        <w:t xml:space="preserve">20, there were </w:t>
      </w:r>
      <w:r>
        <w:rPr>
          <w:rFonts w:ascii="Arial" w:eastAsia="宋体" w:hAnsi="Arial" w:cs="Arial"/>
          <w:color w:val="000000"/>
          <w:sz w:val="20"/>
          <w:szCs w:val="20"/>
          <w:shd w:val="clear" w:color="auto" w:fill="FFFFFF"/>
        </w:rPr>
        <w:t>no</w:t>
      </w:r>
      <w:r>
        <w:rPr>
          <w:rFonts w:ascii="Arial" w:eastAsia="宋体" w:hAnsi="Arial" w:cs="Arial"/>
          <w:color w:val="000000"/>
          <w:sz w:val="20"/>
          <w:szCs w:val="20"/>
        </w:rPr>
        <w:t xml:space="preserve"> commercial paper notes outstanding. </w:t>
      </w:r>
    </w:p>
    <w:p w14:paraId="64A8B548" w14:textId="77777777" w:rsidR="008D6614" w:rsidRDefault="008D6614">
      <w:pPr>
        <w:ind w:firstLine="360"/>
      </w:pPr>
    </w:p>
    <w:p w14:paraId="64A8B549" w14:textId="77777777" w:rsidR="008D6614" w:rsidRDefault="00866AF2">
      <w:pPr>
        <w:ind w:firstLine="270"/>
      </w:pPr>
      <w:r>
        <w:rPr>
          <w:rFonts w:ascii="Arial" w:eastAsia="宋体" w:hAnsi="Arial" w:cs="Arial"/>
          <w:i/>
          <w:iCs/>
          <w:color w:val="000000"/>
          <w:sz w:val="20"/>
          <w:szCs w:val="20"/>
        </w:rPr>
        <w:t>Credit Agreement</w:t>
      </w:r>
    </w:p>
    <w:p w14:paraId="64A8B54A" w14:textId="77777777" w:rsidR="008D6614" w:rsidRDefault="008D6614">
      <w:pPr>
        <w:ind w:firstLine="90"/>
        <w:jc w:val="both"/>
      </w:pPr>
    </w:p>
    <w:p w14:paraId="64A8B54B" w14:textId="77777777" w:rsidR="008D6614" w:rsidRDefault="00866AF2">
      <w:pPr>
        <w:ind w:firstLine="540"/>
        <w:jc w:val="both"/>
      </w:pPr>
      <w:r>
        <w:rPr>
          <w:rFonts w:ascii="Arial" w:eastAsia="宋体" w:hAnsi="Arial" w:cs="Arial"/>
          <w:color w:val="000000"/>
          <w:sz w:val="20"/>
          <w:szCs w:val="20"/>
        </w:rPr>
        <w:t xml:space="preserve">In March 2020, we entered into a credit agreement that provides for an unsecured $2 billion five-year credit facility. We may also, subject to the agreement of the </w:t>
      </w:r>
      <w:r>
        <w:rPr>
          <w:rFonts w:ascii="Arial" w:eastAsia="宋体" w:hAnsi="Arial" w:cs="Arial"/>
          <w:color w:val="000000"/>
          <w:sz w:val="20"/>
          <w:szCs w:val="20"/>
        </w:rPr>
        <w:t>applicable lenders, increase commitments under the revolving credit facility by up to $1 billion. Funds borrowed under the credit agreement may be used for working capital, capital expenditures, acquisitions and other general corporate purposes. The credit</w:t>
      </w:r>
      <w:r>
        <w:rPr>
          <w:rFonts w:ascii="Arial" w:eastAsia="宋体" w:hAnsi="Arial" w:cs="Arial"/>
          <w:color w:val="000000"/>
          <w:sz w:val="20"/>
          <w:szCs w:val="20"/>
        </w:rPr>
        <w:t xml:space="preserve"> agreement replaced our prior $2 billion unsecured revolving credit agreement dated November 2015, which was terminated effective March 2020.</w:t>
      </w:r>
    </w:p>
    <w:p w14:paraId="64A8B54C" w14:textId="77777777" w:rsidR="008D6614" w:rsidRDefault="008D6614">
      <w:pPr>
        <w:ind w:firstLine="540"/>
        <w:jc w:val="both"/>
      </w:pPr>
    </w:p>
    <w:p w14:paraId="64A8B54D" w14:textId="77777777" w:rsidR="008D6614" w:rsidRDefault="00866AF2">
      <w:pPr>
        <w:ind w:firstLine="540"/>
        <w:jc w:val="both"/>
      </w:pPr>
      <w:r>
        <w:rPr>
          <w:rFonts w:ascii="Arial" w:eastAsia="宋体" w:hAnsi="Arial" w:cs="Arial"/>
          <w:color w:val="000000"/>
          <w:sz w:val="20"/>
          <w:szCs w:val="20"/>
        </w:rPr>
        <w:t>As of March 31, 2020,</w:t>
      </w:r>
      <w:r>
        <w:rPr>
          <w:rFonts w:ascii="Arial" w:eastAsia="宋体" w:hAnsi="Arial" w:cs="Arial"/>
          <w:color w:val="000000"/>
          <w:sz w:val="20"/>
          <w:szCs w:val="20"/>
          <w:shd w:val="clear" w:color="auto" w:fill="FFFFFF"/>
        </w:rPr>
        <w:t xml:space="preserve"> no borrowings were outstanding under our $2 billion credit agreement. However, as described</w:t>
      </w:r>
      <w:r>
        <w:rPr>
          <w:rFonts w:ascii="Arial" w:eastAsia="宋体" w:hAnsi="Arial" w:cs="Arial"/>
          <w:color w:val="000000"/>
          <w:sz w:val="20"/>
          <w:szCs w:val="20"/>
          <w:shd w:val="clear" w:color="auto" w:fill="FFFFFF"/>
        </w:rPr>
        <w:t xml:space="preserve"> </w:t>
      </w:r>
      <w:r>
        <w:rPr>
          <w:rFonts w:ascii="Arial" w:eastAsia="宋体" w:hAnsi="Arial" w:cs="Arial"/>
          <w:color w:val="000000"/>
          <w:sz w:val="20"/>
          <w:szCs w:val="20"/>
        </w:rPr>
        <w:t>above, we have an up to $1.5 billion commercial paper program and are required to maintain available borrowing capacity under our credit agreement in order to repay commercial paper borrowings in the event we are unable to repay those borrowings from othe</w:t>
      </w:r>
      <w:r>
        <w:rPr>
          <w:rFonts w:ascii="Arial" w:eastAsia="宋体" w:hAnsi="Arial" w:cs="Arial"/>
          <w:color w:val="000000"/>
          <w:sz w:val="20"/>
          <w:szCs w:val="20"/>
        </w:rPr>
        <w:t xml:space="preserve">r sources when they become due, in an aggregate amount of $1.5 billion. However as of March 31, 2020, no borrowings were outstanding under our commercial paper program; therefore, $2 billion of borrowing capacity was available for other purposes permitted </w:t>
      </w:r>
      <w:r>
        <w:rPr>
          <w:rFonts w:ascii="Arial" w:eastAsia="宋体" w:hAnsi="Arial" w:cs="Arial"/>
          <w:color w:val="000000"/>
          <w:sz w:val="20"/>
          <w:szCs w:val="20"/>
        </w:rPr>
        <w:t xml:space="preserve">by the credit agreement. The </w:t>
      </w:r>
    </w:p>
    <w:p w14:paraId="64A8B54E" w14:textId="77777777" w:rsidR="008D6614" w:rsidRDefault="008D6614">
      <w:pPr>
        <w:jc w:val="center"/>
      </w:pPr>
    </w:p>
    <w:p w14:paraId="64A8B54F" w14:textId="77777777" w:rsidR="008D6614" w:rsidRDefault="00866AF2">
      <w:pPr>
        <w:jc w:val="center"/>
      </w:pPr>
      <w:r>
        <w:rPr>
          <w:rFonts w:ascii="Arial" w:eastAsia="宋体" w:hAnsi="Arial" w:cs="Arial"/>
          <w:color w:val="000000"/>
          <w:sz w:val="20"/>
          <w:szCs w:val="20"/>
        </w:rPr>
        <w:t>44</w:t>
      </w:r>
    </w:p>
    <w:p w14:paraId="64A8B550" w14:textId="77777777" w:rsidR="008D6614" w:rsidRDefault="00866AF2">
      <w:r>
        <w:pict w14:anchorId="64A8BA09">
          <v:rect id="_x0000_i1068" style="width:415.3pt;height:1.5pt" o:hralign="center" o:hrstd="t" o:hr="t" fillcolor="#a0a0a0" stroked="f"/>
        </w:pict>
      </w:r>
    </w:p>
    <w:p w14:paraId="64A8B551" w14:textId="77777777" w:rsidR="008D6614" w:rsidRDefault="008D6614"/>
    <w:p w14:paraId="64A8B552" w14:textId="77777777" w:rsidR="008D6614" w:rsidRDefault="00866AF2">
      <w:pPr>
        <w:jc w:val="both"/>
      </w:pPr>
      <w:r>
        <w:rPr>
          <w:rFonts w:ascii="Arial" w:eastAsia="宋体" w:hAnsi="Arial" w:cs="Arial"/>
          <w:color w:val="000000"/>
          <w:sz w:val="20"/>
          <w:szCs w:val="20"/>
        </w:rPr>
        <w:t>credit agreement includes a covenant limiting our consolidated leverage ratio to no more than 4.0:1.0, subject to, upon the occurrence of a qualified material acquisition, if so elected by us, a step-up to 4.5:1.0 for t</w:t>
      </w:r>
      <w:r>
        <w:rPr>
          <w:rFonts w:ascii="Arial" w:eastAsia="宋体" w:hAnsi="Arial" w:cs="Arial"/>
          <w:color w:val="000000"/>
          <w:sz w:val="20"/>
          <w:szCs w:val="20"/>
        </w:rPr>
        <w:t>he four fiscal quarters completed following such qualified material acquisition. The credit agreement includes customary events of default, with corresponding grace periods in certain circumstances, including payment defaults, cross-defaults and bankruptcy</w:t>
      </w:r>
      <w:r>
        <w:rPr>
          <w:rFonts w:ascii="Arial" w:eastAsia="宋体" w:hAnsi="Arial" w:cs="Arial"/>
          <w:color w:val="000000"/>
          <w:sz w:val="20"/>
          <w:szCs w:val="20"/>
        </w:rPr>
        <w:t>-related defaults.</w:t>
      </w:r>
      <w:r>
        <w:rPr>
          <w:rFonts w:ascii="Arial" w:eastAsia="宋体" w:hAnsi="Arial" w:cs="Arial"/>
          <w:color w:val="000000"/>
        </w:rPr>
        <w:t xml:space="preserve"> </w:t>
      </w:r>
      <w:r>
        <w:rPr>
          <w:rFonts w:ascii="Arial" w:eastAsia="宋体" w:hAnsi="Arial" w:cs="Arial"/>
          <w:color w:val="000000"/>
          <w:sz w:val="20"/>
          <w:szCs w:val="20"/>
        </w:rPr>
        <w:t>In addition, the credit agreement contains customary affirmative and negative covenants, including restrictions regarding the incurrence of liens and subsidiary indebtedness, in each case, subject to customary exceptions. The credit agre</w:t>
      </w:r>
      <w:r>
        <w:rPr>
          <w:rFonts w:ascii="Arial" w:eastAsia="宋体" w:hAnsi="Arial" w:cs="Arial"/>
          <w:color w:val="000000"/>
          <w:sz w:val="20"/>
          <w:szCs w:val="20"/>
        </w:rPr>
        <w:t>ement also contains customary representations and warranties.</w:t>
      </w:r>
    </w:p>
    <w:p w14:paraId="64A8B553" w14:textId="77777777" w:rsidR="008D6614" w:rsidRDefault="008D6614">
      <w:pPr>
        <w:ind w:firstLine="540"/>
      </w:pPr>
    </w:p>
    <w:p w14:paraId="64A8B554" w14:textId="77777777" w:rsidR="008D6614" w:rsidRDefault="00866AF2">
      <w:pPr>
        <w:ind w:firstLine="540"/>
        <w:jc w:val="both"/>
      </w:pPr>
      <w:r>
        <w:rPr>
          <w:rFonts w:ascii="Arial" w:eastAsia="宋体" w:hAnsi="Arial" w:cs="Arial"/>
          <w:color w:val="000000"/>
          <w:sz w:val="20"/>
          <w:szCs w:val="20"/>
        </w:rPr>
        <w:t>We were in compliance with all covenants in our outstanding debt instruments for the three months ended March 31, 2020.</w:t>
      </w:r>
    </w:p>
    <w:p w14:paraId="64A8B555" w14:textId="77777777" w:rsidR="008D6614" w:rsidRDefault="008D6614">
      <w:pPr>
        <w:ind w:firstLine="540"/>
      </w:pPr>
    </w:p>
    <w:p w14:paraId="64A8B556" w14:textId="77777777" w:rsidR="008D6614" w:rsidRDefault="00866AF2">
      <w:pPr>
        <w:ind w:firstLine="270"/>
      </w:pPr>
      <w:r>
        <w:rPr>
          <w:rFonts w:ascii="Arial" w:eastAsia="宋体" w:hAnsi="Arial" w:cs="Arial"/>
          <w:i/>
          <w:iCs/>
          <w:color w:val="000000"/>
          <w:sz w:val="20"/>
          <w:szCs w:val="20"/>
        </w:rPr>
        <w:t>Credit Ratings</w:t>
      </w:r>
    </w:p>
    <w:p w14:paraId="64A8B557" w14:textId="77777777" w:rsidR="008D6614" w:rsidRDefault="008D6614">
      <w:pPr>
        <w:ind w:firstLine="270"/>
      </w:pPr>
    </w:p>
    <w:p w14:paraId="64A8B558" w14:textId="77777777" w:rsidR="008D6614" w:rsidRDefault="00866AF2">
      <w:pPr>
        <w:ind w:firstLine="540"/>
        <w:jc w:val="both"/>
      </w:pPr>
      <w:r>
        <w:rPr>
          <w:rFonts w:ascii="Arial" w:eastAsia="宋体" w:hAnsi="Arial" w:cs="Arial"/>
          <w:color w:val="000000"/>
          <w:sz w:val="20"/>
          <w:szCs w:val="20"/>
        </w:rPr>
        <w:t xml:space="preserve">As of March 31, 2020, we were rated investment grade by </w:t>
      </w:r>
      <w:r>
        <w:rPr>
          <w:rFonts w:ascii="Arial" w:eastAsia="宋体" w:hAnsi="Arial" w:cs="Arial"/>
          <w:color w:val="000000"/>
          <w:sz w:val="20"/>
          <w:szCs w:val="20"/>
        </w:rPr>
        <w:t>Standard and Poor’s Financial Services, LLC (long-term rated BBB+, short-term rated A-2, with a stable outlook), Moody’s Investor Service (long-term rated Baa1, short-term rated P-2, with a stable outlook), and Fitch Ratings, Inc. (long-term rated BBB, sho</w:t>
      </w:r>
      <w:r>
        <w:rPr>
          <w:rFonts w:ascii="Arial" w:eastAsia="宋体" w:hAnsi="Arial" w:cs="Arial"/>
          <w:color w:val="000000"/>
          <w:sz w:val="20"/>
          <w:szCs w:val="20"/>
        </w:rPr>
        <w:t>rt-term rated F-2, with a stable outlook). We disclose these ratings to enhance the understanding of our sources of liquidity and the effects of our ratings on our costs of funds. Our borrowing costs depend, in part, on our credit ratings and any further a</w:t>
      </w:r>
      <w:r>
        <w:rPr>
          <w:rFonts w:ascii="Arial" w:eastAsia="宋体" w:hAnsi="Arial" w:cs="Arial"/>
          <w:color w:val="000000"/>
          <w:sz w:val="20"/>
          <w:szCs w:val="20"/>
        </w:rPr>
        <w:t xml:space="preserve">ctions taken by these credit rating agencies to lower our credit ratings, as described above, will likely increase our borrowing costs.  </w:t>
      </w:r>
    </w:p>
    <w:p w14:paraId="64A8B559" w14:textId="77777777" w:rsidR="008D6614" w:rsidRDefault="008D6614">
      <w:pPr>
        <w:ind w:firstLine="540"/>
      </w:pPr>
    </w:p>
    <w:p w14:paraId="64A8B55A" w14:textId="77777777" w:rsidR="008D6614" w:rsidRDefault="00866AF2">
      <w:r>
        <w:rPr>
          <w:rFonts w:ascii="Arial" w:eastAsia="宋体" w:hAnsi="Arial" w:cs="Arial"/>
          <w:b/>
          <w:bCs/>
          <w:i/>
          <w:iCs/>
          <w:color w:val="000000"/>
          <w:sz w:val="20"/>
          <w:szCs w:val="20"/>
        </w:rPr>
        <w:t>Liquidity and Capital Resource Requirements</w:t>
      </w:r>
    </w:p>
    <w:p w14:paraId="64A8B55B" w14:textId="77777777" w:rsidR="008D6614" w:rsidRDefault="008D6614"/>
    <w:p w14:paraId="64A8B55C" w14:textId="77777777" w:rsidR="008D6614" w:rsidRDefault="00866AF2">
      <w:pPr>
        <w:ind w:firstLine="540"/>
        <w:jc w:val="both"/>
      </w:pPr>
      <w:r>
        <w:rPr>
          <w:rFonts w:ascii="Arial" w:eastAsia="宋体" w:hAnsi="Arial" w:cs="Arial"/>
          <w:color w:val="000000"/>
          <w:sz w:val="20"/>
          <w:szCs w:val="20"/>
        </w:rPr>
        <w:t>As of March 31, 2020 and December 31, 2019, we had assets classified as cash and cash equivalents, as well as short-term and long-term non-equity investments, in an aggregate amount of $5.2 billion and $3.8 billion, respectively. As of March 31, 2020, this</w:t>
      </w:r>
      <w:r>
        <w:rPr>
          <w:rFonts w:ascii="Arial" w:eastAsia="宋体" w:hAnsi="Arial" w:cs="Arial"/>
          <w:color w:val="000000"/>
          <w:sz w:val="20"/>
          <w:szCs w:val="20"/>
        </w:rPr>
        <w:t xml:space="preserve"> amount included assets held in certain of our foreign operations totaling approximately $3.2 billion. As we repatriate these funds to the U.S., we will be required to pay income taxes in certain U.S. states and applicable foreign withholding taxes on thos</w:t>
      </w:r>
      <w:r>
        <w:rPr>
          <w:rFonts w:ascii="Arial" w:eastAsia="宋体" w:hAnsi="Arial" w:cs="Arial"/>
          <w:color w:val="000000"/>
          <w:sz w:val="20"/>
          <w:szCs w:val="20"/>
        </w:rPr>
        <w:t xml:space="preserve">e amounts during the period when such repatriation occurs. We have accrued deferred taxes for the tax effect of repatriating the funds to the U.S. </w:t>
      </w:r>
    </w:p>
    <w:p w14:paraId="64A8B55D" w14:textId="77777777" w:rsidR="008D6614" w:rsidRDefault="008D6614">
      <w:pPr>
        <w:ind w:firstLine="540"/>
        <w:jc w:val="both"/>
      </w:pPr>
    </w:p>
    <w:p w14:paraId="64A8B55E" w14:textId="77777777" w:rsidR="008D6614" w:rsidRDefault="00866AF2">
      <w:pPr>
        <w:ind w:firstLine="540"/>
        <w:jc w:val="both"/>
      </w:pPr>
      <w:r>
        <w:rPr>
          <w:rFonts w:ascii="Arial" w:eastAsia="宋体" w:hAnsi="Arial" w:cs="Arial"/>
          <w:color w:val="000000"/>
          <w:sz w:val="20"/>
          <w:szCs w:val="20"/>
        </w:rPr>
        <w:t xml:space="preserve">We actively monitor all counterparties that hold our cash and cash equivalents and non-equity investments, </w:t>
      </w:r>
      <w:r>
        <w:rPr>
          <w:rFonts w:ascii="Arial" w:eastAsia="宋体" w:hAnsi="Arial" w:cs="Arial"/>
          <w:color w:val="000000"/>
          <w:sz w:val="20"/>
          <w:szCs w:val="20"/>
        </w:rPr>
        <w:t>focusing primarily on the safety of principal and secondarily on improving yield on these assets. We diversify our cash and cash equivalents and investments among various counterparties in order to reduce our exposure should any one of these counterparties</w:t>
      </w:r>
      <w:r>
        <w:rPr>
          <w:rFonts w:ascii="Arial" w:eastAsia="宋体" w:hAnsi="Arial" w:cs="Arial"/>
          <w:color w:val="000000"/>
          <w:sz w:val="20"/>
          <w:szCs w:val="20"/>
        </w:rPr>
        <w:t xml:space="preserve"> fail or encounter difficulties. To date, we have not experienced any material loss or lack of access to our invested cash, cash equivalents or short-term investments; however, we can provide no assurances that access to our invested cash, cash equivalents</w:t>
      </w:r>
      <w:r>
        <w:rPr>
          <w:rFonts w:ascii="Arial" w:eastAsia="宋体" w:hAnsi="Arial" w:cs="Arial"/>
          <w:color w:val="000000"/>
          <w:sz w:val="20"/>
          <w:szCs w:val="20"/>
        </w:rPr>
        <w:t xml:space="preserve"> or short-term investments will not be impacted by adverse conditions in the financial markets, including, without limitation, as a result of the impact of the COVID-19 pandemic. At any point in time we have funds in our operating accounts and customer acc</w:t>
      </w:r>
      <w:r>
        <w:rPr>
          <w:rFonts w:ascii="Arial" w:eastAsia="宋体" w:hAnsi="Arial" w:cs="Arial"/>
          <w:color w:val="000000"/>
          <w:sz w:val="20"/>
          <w:szCs w:val="20"/>
        </w:rPr>
        <w:t>ounts that are deposited and invested with third party financial institutions.</w:t>
      </w:r>
    </w:p>
    <w:p w14:paraId="64A8B55F" w14:textId="77777777" w:rsidR="008D6614" w:rsidRDefault="008D6614">
      <w:pPr>
        <w:ind w:firstLine="540"/>
        <w:jc w:val="both"/>
      </w:pPr>
    </w:p>
    <w:p w14:paraId="64A8B560" w14:textId="77777777" w:rsidR="008D6614" w:rsidRDefault="00866AF2">
      <w:pPr>
        <w:ind w:firstLine="540"/>
        <w:jc w:val="both"/>
      </w:pPr>
      <w:r>
        <w:rPr>
          <w:rFonts w:ascii="Arial" w:eastAsia="宋体" w:hAnsi="Arial" w:cs="Arial"/>
          <w:color w:val="000000"/>
          <w:sz w:val="20"/>
          <w:szCs w:val="20"/>
        </w:rPr>
        <w:t xml:space="preserve">We believe that our existing cash, cash equivalents and short-term and long-term investments, together with cash expected to be generated from operations, borrowings available </w:t>
      </w:r>
      <w:r>
        <w:rPr>
          <w:rFonts w:ascii="Arial" w:eastAsia="宋体" w:hAnsi="Arial" w:cs="Arial"/>
          <w:color w:val="000000"/>
          <w:sz w:val="20"/>
          <w:szCs w:val="20"/>
        </w:rPr>
        <w:t xml:space="preserve">under our credit agreement and commercial paper program, and our access to capital markets, will be sufficient to fund our operating activities, anticipated capital expenditures, repayment of debt and stock repurchases for the foreseeable future. However, </w:t>
      </w:r>
      <w:r>
        <w:rPr>
          <w:rFonts w:ascii="Arial" w:eastAsia="宋体" w:hAnsi="Arial" w:cs="Arial"/>
          <w:color w:val="000000"/>
          <w:sz w:val="20"/>
          <w:szCs w:val="20"/>
        </w:rPr>
        <w:t>COVID-19 and related measures to contain its impact have caused material disruptions in both national and global financial markets and economies. The future impact of COVID-19 and these containment measures cannot be predicted with certainty and may increa</w:t>
      </w:r>
      <w:r>
        <w:rPr>
          <w:rFonts w:ascii="Arial" w:eastAsia="宋体" w:hAnsi="Arial" w:cs="Arial"/>
          <w:color w:val="000000"/>
          <w:sz w:val="20"/>
          <w:szCs w:val="20"/>
        </w:rPr>
        <w:t>se our borrowing costs and other costs of capital and otherwise adversely affect our business, results of operations, financial condition and liquidity, and we cannot assure that we will have access to external financing at times and on terms we consider a</w:t>
      </w:r>
      <w:r>
        <w:rPr>
          <w:rFonts w:ascii="Arial" w:eastAsia="宋体" w:hAnsi="Arial" w:cs="Arial"/>
          <w:color w:val="000000"/>
          <w:sz w:val="20"/>
          <w:szCs w:val="20"/>
        </w:rPr>
        <w:t>cceptable, or at all, or that we will not experience other liquidity issues going forward.</w:t>
      </w:r>
    </w:p>
    <w:p w14:paraId="64A8B561" w14:textId="77777777" w:rsidR="008D6614" w:rsidRDefault="008D6614">
      <w:pPr>
        <w:ind w:firstLine="540"/>
        <w:jc w:val="both"/>
      </w:pPr>
    </w:p>
    <w:p w14:paraId="64A8B562" w14:textId="77777777" w:rsidR="008D6614" w:rsidRDefault="00866AF2">
      <w:r>
        <w:rPr>
          <w:rFonts w:ascii="Arial" w:eastAsia="宋体" w:hAnsi="Arial" w:cs="Arial"/>
          <w:b/>
          <w:bCs/>
          <w:i/>
          <w:iCs/>
          <w:color w:val="000000"/>
          <w:sz w:val="20"/>
          <w:szCs w:val="20"/>
        </w:rPr>
        <w:t>Off-Balance Sheet Arrangements</w:t>
      </w:r>
    </w:p>
    <w:p w14:paraId="64A8B563" w14:textId="77777777" w:rsidR="008D6614" w:rsidRDefault="008D6614"/>
    <w:p w14:paraId="64A8B564" w14:textId="77777777" w:rsidR="008D6614" w:rsidRDefault="00866AF2">
      <w:pPr>
        <w:ind w:firstLine="540"/>
        <w:jc w:val="both"/>
      </w:pPr>
      <w:r>
        <w:rPr>
          <w:rFonts w:ascii="Arial" w:eastAsia="宋体" w:hAnsi="Arial" w:cs="Arial"/>
          <w:color w:val="000000"/>
          <w:sz w:val="20"/>
          <w:szCs w:val="20"/>
        </w:rPr>
        <w:t>As of March 31, 2020, we had no off-balance sheet arrangements that have, or are reasonably likely to have, a current or future mate</w:t>
      </w:r>
      <w:r>
        <w:rPr>
          <w:rFonts w:ascii="Arial" w:eastAsia="宋体" w:hAnsi="Arial" w:cs="Arial"/>
          <w:color w:val="000000"/>
          <w:sz w:val="20"/>
          <w:szCs w:val="20"/>
        </w:rPr>
        <w:t xml:space="preserve">rial effect on our consolidated financial condition, results of operations, liquidity, capital expenditures or capital resources. </w:t>
      </w:r>
    </w:p>
    <w:p w14:paraId="64A8B565" w14:textId="77777777" w:rsidR="008D6614" w:rsidRDefault="008D6614">
      <w:pPr>
        <w:ind w:firstLine="540"/>
        <w:jc w:val="both"/>
      </w:pPr>
    </w:p>
    <w:p w14:paraId="64A8B566" w14:textId="77777777" w:rsidR="008D6614" w:rsidRDefault="008D6614">
      <w:pPr>
        <w:jc w:val="center"/>
      </w:pPr>
    </w:p>
    <w:p w14:paraId="64A8B567" w14:textId="77777777" w:rsidR="008D6614" w:rsidRDefault="00866AF2">
      <w:pPr>
        <w:jc w:val="center"/>
      </w:pPr>
      <w:r>
        <w:rPr>
          <w:rFonts w:ascii="Arial" w:eastAsia="宋体" w:hAnsi="Arial" w:cs="Arial"/>
          <w:color w:val="000000"/>
          <w:sz w:val="20"/>
          <w:szCs w:val="20"/>
        </w:rPr>
        <w:t>45</w:t>
      </w:r>
    </w:p>
    <w:p w14:paraId="64A8B568" w14:textId="77777777" w:rsidR="008D6614" w:rsidRDefault="00866AF2">
      <w:r>
        <w:pict w14:anchorId="64A8BA0A">
          <v:rect id="_x0000_i1069" style="width:415.3pt;height:1.5pt" o:hralign="center" o:hrstd="t" o:hr="t" fillcolor="#a0a0a0" stroked="f"/>
        </w:pict>
      </w:r>
    </w:p>
    <w:p w14:paraId="64A8B569" w14:textId="77777777" w:rsidR="008D6614" w:rsidRDefault="008D6614"/>
    <w:p w14:paraId="64A8B56A" w14:textId="77777777" w:rsidR="008D6614" w:rsidRDefault="00866AF2">
      <w:pPr>
        <w:ind w:firstLine="540"/>
        <w:jc w:val="both"/>
      </w:pPr>
      <w:r>
        <w:rPr>
          <w:rFonts w:ascii="Arial" w:eastAsia="宋体" w:hAnsi="Arial" w:cs="Arial"/>
          <w:color w:val="000000"/>
          <w:sz w:val="20"/>
          <w:szCs w:val="20"/>
        </w:rPr>
        <w:t>We have a cash pooling arrangement with a financial institution for cash management purposes. This arrangement allows</w:t>
      </w:r>
      <w:r>
        <w:rPr>
          <w:rFonts w:ascii="Arial" w:eastAsia="宋体" w:hAnsi="Arial" w:cs="Arial"/>
          <w:color w:val="000000"/>
          <w:sz w:val="20"/>
          <w:szCs w:val="20"/>
        </w:rPr>
        <w:t xml:space="preserve"> for cash withdrawals from the financial institution based upon our aggregate operating cash balances held within the same financial institution (“Aggregate Cash Deposits”). This arrangement also allows us to withdraw amounts exceeding the Aggregate Cash D</w:t>
      </w:r>
      <w:r>
        <w:rPr>
          <w:rFonts w:ascii="Arial" w:eastAsia="宋体" w:hAnsi="Arial" w:cs="Arial"/>
          <w:color w:val="000000"/>
          <w:sz w:val="20"/>
          <w:szCs w:val="20"/>
        </w:rPr>
        <w:t>eposits up to an agreed-upon limit. The net balance of the withdrawals and the Aggregate Cash Deposits are used by the financial institution as a basis for calculating our net interest expense or income under the arrangement. As of March 31, 2020, we had a</w:t>
      </w:r>
      <w:r>
        <w:rPr>
          <w:rFonts w:ascii="Arial" w:eastAsia="宋体" w:hAnsi="Arial" w:cs="Arial"/>
          <w:color w:val="000000"/>
          <w:sz w:val="20"/>
          <w:szCs w:val="20"/>
        </w:rPr>
        <w:t xml:space="preserve"> total of $4.5 billion in aggregate cash deposits, partially offset by $4.5 billion in cash withdrawals, held within the financial institution under the cash pooling arrangement.</w:t>
      </w:r>
    </w:p>
    <w:p w14:paraId="64A8B56B" w14:textId="77777777" w:rsidR="008D6614" w:rsidRDefault="008D6614">
      <w:pPr>
        <w:jc w:val="both"/>
      </w:pPr>
    </w:p>
    <w:p w14:paraId="64A8B56C" w14:textId="77777777" w:rsidR="008D6614" w:rsidRDefault="00866AF2">
      <w:r>
        <w:rPr>
          <w:rFonts w:ascii="Arial" w:eastAsia="宋体" w:hAnsi="Arial" w:cs="Arial"/>
          <w:b/>
          <w:bCs/>
          <w:i/>
          <w:iCs/>
          <w:color w:val="000000"/>
          <w:sz w:val="20"/>
          <w:szCs w:val="20"/>
        </w:rPr>
        <w:t>Indemnification Provisions</w:t>
      </w:r>
    </w:p>
    <w:p w14:paraId="64A8B56D" w14:textId="77777777" w:rsidR="008D6614" w:rsidRDefault="008D6614"/>
    <w:p w14:paraId="64A8B56E" w14:textId="77777777" w:rsidR="008D6614" w:rsidRDefault="00866AF2">
      <w:pPr>
        <w:ind w:firstLine="540"/>
        <w:jc w:val="both"/>
      </w:pPr>
      <w:r>
        <w:rPr>
          <w:rFonts w:ascii="Arial" w:eastAsia="宋体" w:hAnsi="Arial" w:cs="Arial"/>
          <w:color w:val="000000"/>
          <w:sz w:val="20"/>
          <w:szCs w:val="20"/>
        </w:rPr>
        <w:t>We entered into a separation and distribution ag</w:t>
      </w:r>
      <w:r>
        <w:rPr>
          <w:rFonts w:ascii="Arial" w:eastAsia="宋体" w:hAnsi="Arial" w:cs="Arial"/>
          <w:color w:val="000000"/>
          <w:sz w:val="20"/>
          <w:szCs w:val="20"/>
        </w:rPr>
        <w:t>reement and various other agreements with PayPal to govern the separation and relationship of the two companies. These agreements provide for specific indemnity and liability obligations and could lead to disputes between us and PayPal, which may be signif</w:t>
      </w:r>
      <w:r>
        <w:rPr>
          <w:rFonts w:ascii="Arial" w:eastAsia="宋体" w:hAnsi="Arial" w:cs="Arial"/>
          <w:color w:val="000000"/>
          <w:sz w:val="20"/>
          <w:szCs w:val="20"/>
        </w:rPr>
        <w:t>icant. In addition, the indemnity rights we have against PayPal under the agreements may not be sufficient to protect us and our indemnity obligations to PayPal may be significant.</w:t>
      </w:r>
    </w:p>
    <w:p w14:paraId="64A8B56F" w14:textId="77777777" w:rsidR="008D6614" w:rsidRDefault="008D6614">
      <w:pPr>
        <w:ind w:firstLine="540"/>
        <w:jc w:val="both"/>
      </w:pPr>
    </w:p>
    <w:p w14:paraId="64A8B570" w14:textId="77777777" w:rsidR="008D6614" w:rsidRDefault="00866AF2">
      <w:pPr>
        <w:ind w:firstLine="540"/>
        <w:jc w:val="both"/>
      </w:pPr>
      <w:r>
        <w:rPr>
          <w:rFonts w:ascii="Arial" w:eastAsia="宋体" w:hAnsi="Arial" w:cs="Arial"/>
          <w:color w:val="000000"/>
          <w:sz w:val="20"/>
          <w:szCs w:val="20"/>
        </w:rPr>
        <w:t xml:space="preserve">In addition, we have entered into indemnification agreements with each of </w:t>
      </w:r>
      <w:r>
        <w:rPr>
          <w:rFonts w:ascii="Arial" w:eastAsia="宋体" w:hAnsi="Arial" w:cs="Arial"/>
          <w:color w:val="000000"/>
          <w:sz w:val="20"/>
          <w:szCs w:val="20"/>
        </w:rPr>
        <w:t>our directors, executive officers and certain other officers. These agreements require us to indemnify such individuals, to the fullest extent permitted by Delaware law, for certain liabilities to which they may become subject as a result of their affiliat</w:t>
      </w:r>
      <w:r>
        <w:rPr>
          <w:rFonts w:ascii="Arial" w:eastAsia="宋体" w:hAnsi="Arial" w:cs="Arial"/>
          <w:color w:val="000000"/>
          <w:sz w:val="20"/>
          <w:szCs w:val="20"/>
        </w:rPr>
        <w:t>ion with us.</w:t>
      </w:r>
    </w:p>
    <w:p w14:paraId="64A8B571" w14:textId="77777777" w:rsidR="008D6614" w:rsidRDefault="008D6614">
      <w:pPr>
        <w:ind w:firstLine="540"/>
        <w:jc w:val="both"/>
      </w:pPr>
    </w:p>
    <w:p w14:paraId="64A8B572" w14:textId="77777777" w:rsidR="008D6614" w:rsidRDefault="00866AF2">
      <w:pPr>
        <w:ind w:firstLine="540"/>
        <w:jc w:val="both"/>
      </w:pPr>
      <w:r>
        <w:rPr>
          <w:rFonts w:ascii="Arial" w:eastAsia="宋体" w:hAnsi="Arial" w:cs="Arial"/>
          <w:color w:val="000000"/>
          <w:sz w:val="20"/>
          <w:szCs w:val="20"/>
        </w:rPr>
        <w:t>In the ordinary course of business, we have included limited indemnification provisions in certain of our agreements with parties with which we have commercial relations, including our standard marketing, promotions and application programmin</w:t>
      </w:r>
      <w:r>
        <w:rPr>
          <w:rFonts w:ascii="Arial" w:eastAsia="宋体" w:hAnsi="Arial" w:cs="Arial"/>
          <w:color w:val="000000"/>
          <w:sz w:val="20"/>
          <w:szCs w:val="20"/>
        </w:rPr>
        <w:t>g interface license agreements. Under these contracts, we generally indemnify, hold harmless and agree to reimburse the indemnified party for losses suffered or incurred by the indemnified party in connection with claims by a third party with respect to ou</w:t>
      </w:r>
      <w:r>
        <w:rPr>
          <w:rFonts w:ascii="Arial" w:eastAsia="宋体" w:hAnsi="Arial" w:cs="Arial"/>
          <w:color w:val="000000"/>
          <w:sz w:val="20"/>
          <w:szCs w:val="20"/>
        </w:rPr>
        <w:t>r domain names, trademarks, logos and other branding elements to the extent that such marks are applicable to our performance under the subject agreement. In certain cases, we have agreed to provide indemnification for intellectual property infringement. I</w:t>
      </w:r>
      <w:r>
        <w:rPr>
          <w:rFonts w:ascii="Arial" w:eastAsia="宋体" w:hAnsi="Arial" w:cs="Arial"/>
          <w:color w:val="000000"/>
          <w:sz w:val="20"/>
          <w:szCs w:val="20"/>
        </w:rPr>
        <w:t>t is not possible to determine the maximum potential loss under these indemnification provisions due to our limited history of prior indemnification claims and the unique facts and circumstances involved in each particular provision. To date, losses record</w:t>
      </w:r>
      <w:r>
        <w:rPr>
          <w:rFonts w:ascii="Arial" w:eastAsia="宋体" w:hAnsi="Arial" w:cs="Arial"/>
          <w:color w:val="000000"/>
          <w:sz w:val="20"/>
          <w:szCs w:val="20"/>
        </w:rPr>
        <w:t>ed in our condensed consolidated statement of income in connection with our indemnification provisions have not been significant, either individually or collectively.</w:t>
      </w:r>
    </w:p>
    <w:p w14:paraId="64A8B573" w14:textId="77777777" w:rsidR="008D6614" w:rsidRDefault="008D6614"/>
    <w:p w14:paraId="64A8B574" w14:textId="77777777" w:rsidR="008D6614" w:rsidRDefault="00866AF2">
      <w:pPr>
        <w:ind w:hanging="1080"/>
      </w:pPr>
      <w:r>
        <w:rPr>
          <w:rFonts w:ascii="Arial" w:eastAsia="宋体" w:hAnsi="Arial" w:cs="Arial"/>
          <w:b/>
          <w:bCs/>
          <w:color w:val="000000"/>
          <w:sz w:val="20"/>
          <w:szCs w:val="20"/>
        </w:rPr>
        <w:t>Item 3: Quantitative and Qualitative Disclosures About Market Risk</w:t>
      </w:r>
    </w:p>
    <w:p w14:paraId="64A8B575" w14:textId="77777777" w:rsidR="008D6614" w:rsidRDefault="008D6614">
      <w:pPr>
        <w:jc w:val="both"/>
      </w:pPr>
    </w:p>
    <w:p w14:paraId="64A8B576" w14:textId="77777777" w:rsidR="008D6614" w:rsidRDefault="00866AF2">
      <w:pPr>
        <w:jc w:val="both"/>
      </w:pPr>
      <w:r>
        <w:rPr>
          <w:rFonts w:ascii="Arial" w:eastAsia="宋体" w:hAnsi="Arial" w:cs="Arial"/>
          <w:b/>
          <w:bCs/>
          <w:i/>
          <w:iCs/>
          <w:color w:val="000000"/>
          <w:sz w:val="20"/>
          <w:szCs w:val="20"/>
        </w:rPr>
        <w:t xml:space="preserve">Interest Rate </w:t>
      </w:r>
      <w:r>
        <w:rPr>
          <w:rFonts w:ascii="Arial" w:eastAsia="宋体" w:hAnsi="Arial" w:cs="Arial"/>
          <w:b/>
          <w:bCs/>
          <w:i/>
          <w:iCs/>
          <w:color w:val="000000"/>
          <w:sz w:val="20"/>
          <w:szCs w:val="20"/>
        </w:rPr>
        <w:t>Risk</w:t>
      </w:r>
    </w:p>
    <w:p w14:paraId="64A8B577" w14:textId="77777777" w:rsidR="008D6614" w:rsidRDefault="008D6614">
      <w:pPr>
        <w:ind w:firstLine="540"/>
        <w:jc w:val="both"/>
      </w:pPr>
    </w:p>
    <w:p w14:paraId="64A8B578" w14:textId="77777777" w:rsidR="008D6614" w:rsidRDefault="00866AF2">
      <w:pPr>
        <w:ind w:firstLine="540"/>
        <w:jc w:val="both"/>
      </w:pPr>
      <w:r>
        <w:rPr>
          <w:rFonts w:ascii="Arial" w:eastAsia="宋体" w:hAnsi="Arial" w:cs="Arial"/>
          <w:color w:val="000000"/>
          <w:sz w:val="20"/>
          <w:szCs w:val="20"/>
        </w:rPr>
        <w:t>We are exposed to interest rate risk relating to our investments and outstanding debt. In addition, adverse economic conditions and events (including volatility or distress in the equity and/or debt or credit markets) may impact regional and global f</w:t>
      </w:r>
      <w:r>
        <w:rPr>
          <w:rFonts w:ascii="Arial" w:eastAsia="宋体" w:hAnsi="Arial" w:cs="Arial"/>
          <w:color w:val="000000"/>
          <w:sz w:val="20"/>
          <w:szCs w:val="20"/>
        </w:rPr>
        <w:t>inancial markets. We seek to reduce earnings volatility that may result from adverse economic conditions and events or changes in interest rates.</w:t>
      </w:r>
    </w:p>
    <w:p w14:paraId="64A8B579" w14:textId="77777777" w:rsidR="008D6614" w:rsidRDefault="008D6614">
      <w:pPr>
        <w:ind w:firstLine="450"/>
        <w:jc w:val="both"/>
      </w:pPr>
    </w:p>
    <w:p w14:paraId="64A8B57A" w14:textId="77777777" w:rsidR="008D6614" w:rsidRDefault="00866AF2">
      <w:pPr>
        <w:ind w:firstLine="540"/>
        <w:jc w:val="both"/>
      </w:pPr>
      <w:r>
        <w:rPr>
          <w:rFonts w:ascii="Arial" w:eastAsia="宋体" w:hAnsi="Arial" w:cs="Arial"/>
          <w:color w:val="000000"/>
          <w:sz w:val="20"/>
          <w:szCs w:val="20"/>
        </w:rPr>
        <w:t xml:space="preserve">The primary objective of our investment activities is to preserve principal while at the same time improving </w:t>
      </w:r>
      <w:r>
        <w:rPr>
          <w:rFonts w:ascii="Arial" w:eastAsia="宋体" w:hAnsi="Arial" w:cs="Arial"/>
          <w:color w:val="000000"/>
          <w:sz w:val="20"/>
          <w:szCs w:val="20"/>
        </w:rPr>
        <w:t>yields without significantly increasing risk. To achieve this objective, we maintain our cash equivalents and short-term and long-term investments in a variety of asset types, including bank deposits, government bonds and corporate debt securities. As of M</w:t>
      </w:r>
      <w:r>
        <w:rPr>
          <w:rFonts w:ascii="Arial" w:eastAsia="宋体" w:hAnsi="Arial" w:cs="Arial"/>
          <w:color w:val="000000"/>
          <w:sz w:val="20"/>
          <w:szCs w:val="20"/>
        </w:rPr>
        <w:t xml:space="preserve">arch 31, 2020, approximately </w:t>
      </w:r>
      <w:r>
        <w:rPr>
          <w:rFonts w:ascii="Arial" w:eastAsia="宋体" w:hAnsi="Arial" w:cs="Arial"/>
          <w:color w:val="000000"/>
          <w:sz w:val="20"/>
          <w:szCs w:val="20"/>
          <w:shd w:val="clear" w:color="auto" w:fill="FFFFFF"/>
        </w:rPr>
        <w:t>16%</w:t>
      </w:r>
      <w:r>
        <w:rPr>
          <w:rFonts w:ascii="Arial" w:eastAsia="宋体" w:hAnsi="Arial" w:cs="Arial"/>
          <w:color w:val="000000"/>
          <w:sz w:val="20"/>
          <w:szCs w:val="20"/>
        </w:rPr>
        <w:t xml:space="preserve"> of our total cash and investments was held in cash and cash equivalents. As such, changes in interest r</w:t>
      </w:r>
      <w:r>
        <w:rPr>
          <w:rFonts w:ascii="Arial" w:eastAsia="宋体" w:hAnsi="Arial" w:cs="Arial"/>
          <w:color w:val="000000"/>
          <w:sz w:val="20"/>
          <w:szCs w:val="20"/>
          <w:shd w:val="clear" w:color="auto" w:fill="FFFFFF"/>
        </w:rPr>
        <w:t>ates will impact interest inco</w:t>
      </w:r>
      <w:r>
        <w:rPr>
          <w:rFonts w:ascii="Arial" w:eastAsia="宋体" w:hAnsi="Arial" w:cs="Arial"/>
          <w:color w:val="000000"/>
          <w:sz w:val="20"/>
          <w:szCs w:val="20"/>
        </w:rPr>
        <w:t>me. As discussed below, the fair market values of our fixed rate securities may be adverse</w:t>
      </w:r>
      <w:r>
        <w:rPr>
          <w:rFonts w:ascii="Arial" w:eastAsia="宋体" w:hAnsi="Arial" w:cs="Arial"/>
          <w:color w:val="000000"/>
          <w:sz w:val="20"/>
          <w:szCs w:val="20"/>
        </w:rPr>
        <w:t xml:space="preserve">ly affected due to a rise in interest rates, and we may suffer losses in principal if we are forced to sell securities that have declined in market value due to changes in interest rates. </w:t>
      </w:r>
    </w:p>
    <w:p w14:paraId="64A8B57B" w14:textId="77777777" w:rsidR="008D6614" w:rsidRDefault="00866AF2">
      <w:pPr>
        <w:jc w:val="both"/>
      </w:pPr>
      <w:r>
        <w:rPr>
          <w:rFonts w:ascii="Arial" w:eastAsia="宋体" w:hAnsi="Arial" w:cs="Arial"/>
          <w:color w:val="000000"/>
          <w:sz w:val="14"/>
          <w:szCs w:val="14"/>
        </w:rPr>
        <w:t> </w:t>
      </w:r>
    </w:p>
    <w:p w14:paraId="64A8B57C" w14:textId="77777777" w:rsidR="008D6614" w:rsidRDefault="008D6614">
      <w:pPr>
        <w:jc w:val="center"/>
      </w:pPr>
    </w:p>
    <w:p w14:paraId="64A8B57D" w14:textId="77777777" w:rsidR="008D6614" w:rsidRDefault="00866AF2">
      <w:pPr>
        <w:jc w:val="center"/>
      </w:pPr>
      <w:r>
        <w:rPr>
          <w:rFonts w:ascii="Arial" w:eastAsia="宋体" w:hAnsi="Arial" w:cs="Arial"/>
          <w:color w:val="000000"/>
          <w:sz w:val="20"/>
          <w:szCs w:val="20"/>
        </w:rPr>
        <w:t>46</w:t>
      </w:r>
    </w:p>
    <w:p w14:paraId="64A8B57E" w14:textId="77777777" w:rsidR="008D6614" w:rsidRDefault="00866AF2">
      <w:r>
        <w:pict w14:anchorId="64A8BA0B">
          <v:rect id="_x0000_i1070" style="width:415.3pt;height:1.5pt" o:hralign="center" o:hrstd="t" o:hr="t" fillcolor="#a0a0a0" stroked="f"/>
        </w:pict>
      </w:r>
    </w:p>
    <w:p w14:paraId="64A8B57F" w14:textId="77777777" w:rsidR="008D6614" w:rsidRDefault="008D6614"/>
    <w:p w14:paraId="64A8B580" w14:textId="77777777" w:rsidR="008D6614" w:rsidRDefault="00866AF2">
      <w:pPr>
        <w:ind w:firstLine="540"/>
        <w:jc w:val="both"/>
      </w:pPr>
      <w:r>
        <w:rPr>
          <w:rFonts w:ascii="Arial" w:eastAsia="宋体" w:hAnsi="Arial" w:cs="Arial"/>
          <w:color w:val="000000"/>
          <w:sz w:val="20"/>
          <w:szCs w:val="20"/>
        </w:rPr>
        <w:t>As of March 31, 2020, the balance of our corporate debt an</w:t>
      </w:r>
      <w:r>
        <w:rPr>
          <w:rFonts w:ascii="Arial" w:eastAsia="宋体" w:hAnsi="Arial" w:cs="Arial"/>
          <w:color w:val="000000"/>
          <w:sz w:val="20"/>
          <w:szCs w:val="20"/>
        </w:rPr>
        <w:t>d government bond securities was $4.3 billion, which represented approximately 78% of our total cash and investments. Investments in both fixed-rate and floating-rate interest-earning instruments carry varying degrees of interest rate risk. The fair market</w:t>
      </w:r>
      <w:r>
        <w:rPr>
          <w:rFonts w:ascii="Arial" w:eastAsia="宋体" w:hAnsi="Arial" w:cs="Arial"/>
          <w:color w:val="000000"/>
          <w:sz w:val="20"/>
          <w:szCs w:val="20"/>
        </w:rPr>
        <w:t xml:space="preserve"> value of our fixed-rate investment securities may be adversely impacted due to a rise in interest rates. In general, fixed-rate securities with longer maturities are subject to greater interest rate risk than those with shorter maturities. While floating </w:t>
      </w:r>
      <w:r>
        <w:rPr>
          <w:rFonts w:ascii="Arial" w:eastAsia="宋体" w:hAnsi="Arial" w:cs="Arial"/>
          <w:color w:val="000000"/>
          <w:sz w:val="20"/>
          <w:szCs w:val="20"/>
        </w:rPr>
        <w:t>rate securities generally are subject to less interest rate risk than fixed-rate securities, floating-rate securities may produce less income than expected if interest rates decrease and may also suffer a decline in market value if interest rates increase.</w:t>
      </w:r>
      <w:r>
        <w:rPr>
          <w:rFonts w:ascii="Arial" w:eastAsia="宋体" w:hAnsi="Arial" w:cs="Arial"/>
          <w:color w:val="000000"/>
          <w:sz w:val="20"/>
          <w:szCs w:val="20"/>
        </w:rPr>
        <w:t xml:space="preserve"> Due in part to these factors, our investment income may fall short of expectations or we may suffer losses in principal if we sell securities that have declined in market value due to changes in interest rates. A hypothetical 100 basis point increase in i</w:t>
      </w:r>
      <w:r>
        <w:rPr>
          <w:rFonts w:ascii="Arial" w:eastAsia="宋体" w:hAnsi="Arial" w:cs="Arial"/>
          <w:color w:val="000000"/>
          <w:sz w:val="20"/>
          <w:szCs w:val="20"/>
        </w:rPr>
        <w:t>nterest rates would have resulted in a decrease in the fair value of our investments of $7 million and $8 million as of March 31, 2020 and December 31, 2019, respectively.</w:t>
      </w:r>
    </w:p>
    <w:p w14:paraId="64A8B581" w14:textId="77777777" w:rsidR="008D6614" w:rsidRDefault="008D6614">
      <w:pPr>
        <w:ind w:firstLine="540"/>
        <w:jc w:val="both"/>
      </w:pPr>
    </w:p>
    <w:p w14:paraId="64A8B582" w14:textId="77777777" w:rsidR="008D6614" w:rsidRDefault="00866AF2">
      <w:pPr>
        <w:ind w:firstLine="540"/>
        <w:jc w:val="both"/>
      </w:pPr>
      <w:r>
        <w:rPr>
          <w:rFonts w:ascii="Arial" w:eastAsia="宋体" w:hAnsi="Arial" w:cs="Arial"/>
          <w:color w:val="000000"/>
          <w:sz w:val="20"/>
          <w:szCs w:val="20"/>
        </w:rPr>
        <w:t>As of March 31, 2020, we had an aggregate principal amount of $8.8 billion of outst</w:t>
      </w:r>
      <w:r>
        <w:rPr>
          <w:rFonts w:ascii="Arial" w:eastAsia="宋体" w:hAnsi="Arial" w:cs="Arial"/>
          <w:color w:val="000000"/>
          <w:sz w:val="20"/>
          <w:szCs w:val="20"/>
        </w:rPr>
        <w:t>anding senior notes, of which 95% bore interest at fixed rates. In 2014, we entered into $2.4 billion of interest rate swap agreements that had an economic effect of modifying the fixed interest obligations associated with $1.15 billion of our 2.200% senio</w:t>
      </w:r>
      <w:r>
        <w:rPr>
          <w:rFonts w:ascii="Arial" w:eastAsia="宋体" w:hAnsi="Arial" w:cs="Arial"/>
          <w:color w:val="000000"/>
          <w:sz w:val="20"/>
          <w:szCs w:val="20"/>
        </w:rPr>
        <w:t>r notes due July 2019, $750 million of our 2.875% senior notes due July 2021, and $500 million of our 3.450% senior notes due July 2024 so that the interest payable on those notes effectively became variable based on LIBOR plus a spread. In July 2019, $1.1</w:t>
      </w:r>
      <w:r>
        <w:rPr>
          <w:rFonts w:ascii="Arial" w:eastAsia="宋体" w:hAnsi="Arial" w:cs="Arial"/>
          <w:color w:val="000000"/>
          <w:sz w:val="20"/>
          <w:szCs w:val="20"/>
        </w:rPr>
        <w:t>5 billion of the $2.4 billion aggregate notional amount matured and we terminated the interest rate swaps related to $750 million of our 2.875% senior notes due July 2021 and $500 million of our 3.450% senior notes due July 2024, which were designated as f</w:t>
      </w:r>
      <w:r>
        <w:rPr>
          <w:rFonts w:ascii="Arial" w:eastAsia="宋体" w:hAnsi="Arial" w:cs="Arial"/>
          <w:color w:val="000000"/>
          <w:sz w:val="20"/>
          <w:szCs w:val="20"/>
        </w:rPr>
        <w:t xml:space="preserve">air value hedges. As a result of the early termination hedge, accounting was discontinued prospectively and the gain on termination was recorded as an increase to the long-term debt balance and is being recognized over the remaining life of the underlying </w:t>
      </w:r>
      <w:r>
        <w:rPr>
          <w:rFonts w:ascii="Arial" w:eastAsia="宋体" w:hAnsi="Arial" w:cs="Arial"/>
          <w:color w:val="000000"/>
          <w:sz w:val="20"/>
          <w:szCs w:val="20"/>
        </w:rPr>
        <w:t>debt as a reduction to interest expense. The gain recognized during the three months ended March 31, 2020 was immaterial</w:t>
      </w:r>
      <w:r>
        <w:rPr>
          <w:rFonts w:ascii="Times New Roman" w:eastAsia="宋体" w:hAnsi="Times New Roman"/>
          <w:color w:val="000000"/>
          <w:sz w:val="20"/>
          <w:szCs w:val="20"/>
        </w:rPr>
        <w:t>.</w:t>
      </w:r>
    </w:p>
    <w:p w14:paraId="64A8B583" w14:textId="77777777" w:rsidR="008D6614" w:rsidRDefault="008D6614">
      <w:pPr>
        <w:ind w:firstLine="540"/>
        <w:jc w:val="both"/>
      </w:pPr>
    </w:p>
    <w:p w14:paraId="64A8B584" w14:textId="77777777" w:rsidR="008D6614" w:rsidRDefault="00866AF2">
      <w:pPr>
        <w:ind w:firstLine="540"/>
        <w:jc w:val="both"/>
      </w:pPr>
      <w:r>
        <w:rPr>
          <w:rFonts w:ascii="Arial" w:eastAsia="宋体" w:hAnsi="Arial" w:cs="Arial"/>
          <w:color w:val="000000"/>
          <w:sz w:val="20"/>
          <w:szCs w:val="20"/>
        </w:rPr>
        <w:t>During the first quarter of 2020, we began to hedge the variability of forecasted interest payments using forward-starting interest r</w:t>
      </w:r>
      <w:r>
        <w:rPr>
          <w:rFonts w:ascii="Arial" w:eastAsia="宋体" w:hAnsi="Arial" w:cs="Arial"/>
          <w:color w:val="000000"/>
          <w:sz w:val="20"/>
          <w:szCs w:val="20"/>
        </w:rPr>
        <w:t>ate swaps. The notional amount of these swaps was $100 million as of March 31, 2020, with terms calling for us to receive interest at a variable rate and to pay interest at a fixed rate. These interest rate swaps effectively fix the benchmark interest rate</w:t>
      </w:r>
      <w:r>
        <w:rPr>
          <w:rFonts w:ascii="Arial" w:eastAsia="宋体" w:hAnsi="Arial" w:cs="Arial"/>
          <w:color w:val="000000"/>
          <w:sz w:val="20"/>
          <w:szCs w:val="20"/>
        </w:rPr>
        <w:t xml:space="preserve"> on anticipated debt issuance in 2022, and they will be terminated upon issuance of the debt. When entering into forward-starting interest rate swaps, we are subject to market risk with respect to changes in the underlying benchmark interest rate that impa</w:t>
      </w:r>
      <w:r>
        <w:rPr>
          <w:rFonts w:ascii="Arial" w:eastAsia="宋体" w:hAnsi="Arial" w:cs="Arial"/>
          <w:color w:val="000000"/>
          <w:sz w:val="20"/>
          <w:szCs w:val="20"/>
        </w:rPr>
        <w:t xml:space="preserve">cts the fair value of the forward-starting interest rate swaps. We manage market risk by matching the terms of the swaps with the terms of the expected debt issuance. We considered the historical volatility of short-term interest rates and determined that </w:t>
      </w:r>
      <w:r>
        <w:rPr>
          <w:rFonts w:ascii="Arial" w:eastAsia="宋体" w:hAnsi="Arial" w:cs="Arial"/>
          <w:color w:val="000000"/>
          <w:sz w:val="20"/>
          <w:szCs w:val="20"/>
        </w:rPr>
        <w:t>it was reasonably possible that an adverse change of 100 basis points could be experienced in the near term. A hypothetical 1% (100 basis points) decrease in interest rates would have resulted in a decrease in the fair values of our forward-starting intere</w:t>
      </w:r>
      <w:r>
        <w:rPr>
          <w:rFonts w:ascii="Arial" w:eastAsia="宋体" w:hAnsi="Arial" w:cs="Arial"/>
          <w:color w:val="000000"/>
          <w:sz w:val="20"/>
          <w:szCs w:val="20"/>
        </w:rPr>
        <w:t xml:space="preserve">st swaps of approximately $9.8 million at March 31, 2020. </w:t>
      </w:r>
    </w:p>
    <w:p w14:paraId="64A8B585" w14:textId="77777777" w:rsidR="008D6614" w:rsidRDefault="008D6614">
      <w:pPr>
        <w:ind w:firstLine="540"/>
        <w:jc w:val="both"/>
      </w:pPr>
    </w:p>
    <w:p w14:paraId="64A8B586" w14:textId="77777777" w:rsidR="008D6614" w:rsidRDefault="00866AF2">
      <w:pPr>
        <w:ind w:firstLine="540"/>
        <w:jc w:val="both"/>
      </w:pPr>
      <w:r>
        <w:rPr>
          <w:rFonts w:ascii="Arial" w:eastAsia="宋体" w:hAnsi="Arial" w:cs="Arial"/>
          <w:color w:val="000000"/>
          <w:sz w:val="20"/>
          <w:szCs w:val="20"/>
        </w:rPr>
        <w:t>Further changes in interest rates will impact interest expense on any borrowings under our revolving credit facility, which bear interest at floating rates, and the interest rate on any commercial</w:t>
      </w:r>
      <w:r>
        <w:rPr>
          <w:rFonts w:ascii="Arial" w:eastAsia="宋体" w:hAnsi="Arial" w:cs="Arial"/>
          <w:color w:val="000000"/>
          <w:sz w:val="20"/>
          <w:szCs w:val="20"/>
        </w:rPr>
        <w:t xml:space="preserve"> paper borrowings we make and any debt securities we may issue in the future and, accordingly, will impact interest expense. For additional details related to our debt, see “Note 10 – Debt” to the condensed consolidated financial statements included in thi</w:t>
      </w:r>
      <w:r>
        <w:rPr>
          <w:rFonts w:ascii="Arial" w:eastAsia="宋体" w:hAnsi="Arial" w:cs="Arial"/>
          <w:color w:val="000000"/>
          <w:sz w:val="20"/>
          <w:szCs w:val="20"/>
        </w:rPr>
        <w:t xml:space="preserve">s report. </w:t>
      </w:r>
    </w:p>
    <w:p w14:paraId="64A8B587" w14:textId="77777777" w:rsidR="008D6614" w:rsidRDefault="00866AF2">
      <w:pPr>
        <w:jc w:val="both"/>
      </w:pPr>
      <w:r>
        <w:rPr>
          <w:rFonts w:ascii="Arial" w:eastAsia="宋体" w:hAnsi="Arial" w:cs="Arial"/>
          <w:color w:val="000000"/>
          <w:sz w:val="20"/>
          <w:szCs w:val="20"/>
        </w:rPr>
        <w:t> </w:t>
      </w:r>
    </w:p>
    <w:p w14:paraId="64A8B588" w14:textId="77777777" w:rsidR="008D6614" w:rsidRDefault="00866AF2">
      <w:pPr>
        <w:jc w:val="both"/>
      </w:pPr>
      <w:r>
        <w:rPr>
          <w:rFonts w:ascii="Arial" w:eastAsia="宋体" w:hAnsi="Arial" w:cs="Arial"/>
          <w:b/>
          <w:bCs/>
          <w:i/>
          <w:iCs/>
          <w:color w:val="000000"/>
          <w:sz w:val="20"/>
          <w:szCs w:val="20"/>
        </w:rPr>
        <w:t>Equity Price Risk</w:t>
      </w:r>
    </w:p>
    <w:p w14:paraId="64A8B589" w14:textId="77777777" w:rsidR="008D6614" w:rsidRDefault="008D6614">
      <w:pPr>
        <w:jc w:val="both"/>
      </w:pPr>
    </w:p>
    <w:p w14:paraId="64A8B58A" w14:textId="77777777" w:rsidR="008D6614" w:rsidRDefault="00866AF2">
      <w:pPr>
        <w:ind w:firstLine="540"/>
        <w:jc w:val="both"/>
      </w:pPr>
      <w:r>
        <w:rPr>
          <w:rFonts w:ascii="Arial" w:eastAsia="宋体" w:hAnsi="Arial" w:cs="Arial"/>
          <w:i/>
          <w:iCs/>
          <w:color w:val="000000"/>
          <w:sz w:val="20"/>
          <w:szCs w:val="20"/>
        </w:rPr>
        <w:t>Equity Investments</w:t>
      </w:r>
    </w:p>
    <w:p w14:paraId="64A8B58B" w14:textId="77777777" w:rsidR="008D6614" w:rsidRDefault="008D6614">
      <w:pPr>
        <w:ind w:firstLine="540"/>
        <w:jc w:val="both"/>
      </w:pPr>
    </w:p>
    <w:p w14:paraId="64A8B58C" w14:textId="77777777" w:rsidR="008D6614" w:rsidRDefault="00866AF2">
      <w:pPr>
        <w:ind w:firstLine="540"/>
        <w:jc w:val="both"/>
      </w:pPr>
      <w:r>
        <w:rPr>
          <w:rFonts w:ascii="Arial" w:eastAsia="宋体" w:hAnsi="Arial" w:cs="Arial"/>
          <w:color w:val="000000"/>
          <w:sz w:val="20"/>
          <w:szCs w:val="20"/>
        </w:rPr>
        <w:t>Our equity investments are primarily investments in privately-held companies. Our consolidated results of operations include, as a component of interest and other, net, our share of the net income or loss</w:t>
      </w:r>
      <w:r>
        <w:rPr>
          <w:rFonts w:ascii="Arial" w:eastAsia="宋体" w:hAnsi="Arial" w:cs="Arial"/>
          <w:color w:val="000000"/>
          <w:sz w:val="20"/>
          <w:szCs w:val="20"/>
        </w:rPr>
        <w:t xml:space="preserve"> of the equity investments accounted for under the equity method of accounting. Equity investments without readily determinable fair values are accounted for at cost, less impairment and adjusted for subsequent observable price changes obtained from orderl</w:t>
      </w:r>
      <w:r>
        <w:rPr>
          <w:rFonts w:ascii="Arial" w:eastAsia="宋体" w:hAnsi="Arial" w:cs="Arial"/>
          <w:color w:val="000000"/>
          <w:sz w:val="20"/>
          <w:szCs w:val="20"/>
        </w:rPr>
        <w:t>y transactions for identical or similar investments issued by the same investee. Such changes in the basis of the equity investment are recognized in interest and other, net. As of March 31, 2020, our equity investments totaled $333 million, which represen</w:t>
      </w:r>
      <w:r>
        <w:rPr>
          <w:rFonts w:ascii="Arial" w:eastAsia="宋体" w:hAnsi="Arial" w:cs="Arial"/>
          <w:color w:val="000000"/>
          <w:sz w:val="20"/>
          <w:szCs w:val="20"/>
        </w:rPr>
        <w:t xml:space="preserve">ted approximately 6% of our total cash and investments, and were primarily related to equity investments without readily determinable fair values. </w:t>
      </w:r>
    </w:p>
    <w:p w14:paraId="64A8B58D" w14:textId="77777777" w:rsidR="008D6614" w:rsidRDefault="008D6614">
      <w:pPr>
        <w:ind w:firstLine="540"/>
        <w:jc w:val="both"/>
      </w:pPr>
    </w:p>
    <w:p w14:paraId="64A8B58E" w14:textId="77777777" w:rsidR="008D6614" w:rsidRDefault="008D6614">
      <w:pPr>
        <w:jc w:val="center"/>
      </w:pPr>
    </w:p>
    <w:p w14:paraId="64A8B58F" w14:textId="77777777" w:rsidR="008D6614" w:rsidRDefault="00866AF2">
      <w:pPr>
        <w:jc w:val="center"/>
      </w:pPr>
      <w:r>
        <w:rPr>
          <w:rFonts w:ascii="Arial" w:eastAsia="宋体" w:hAnsi="Arial" w:cs="Arial"/>
          <w:color w:val="000000"/>
          <w:sz w:val="20"/>
          <w:szCs w:val="20"/>
        </w:rPr>
        <w:t>47</w:t>
      </w:r>
    </w:p>
    <w:p w14:paraId="64A8B590" w14:textId="77777777" w:rsidR="008D6614" w:rsidRDefault="00866AF2">
      <w:r>
        <w:pict w14:anchorId="64A8BA0C">
          <v:rect id="_x0000_i1071" style="width:415.3pt;height:1.5pt" o:hralign="center" o:hrstd="t" o:hr="t" fillcolor="#a0a0a0" stroked="f"/>
        </w:pict>
      </w:r>
    </w:p>
    <w:p w14:paraId="64A8B591" w14:textId="77777777" w:rsidR="008D6614" w:rsidRDefault="008D6614"/>
    <w:p w14:paraId="64A8B592" w14:textId="77777777" w:rsidR="008D6614" w:rsidRDefault="00866AF2">
      <w:pPr>
        <w:ind w:firstLine="540"/>
        <w:jc w:val="both"/>
      </w:pPr>
      <w:r>
        <w:rPr>
          <w:rFonts w:ascii="Arial" w:eastAsia="宋体" w:hAnsi="Arial" w:cs="Arial"/>
          <w:i/>
          <w:iCs/>
          <w:color w:val="000000"/>
          <w:sz w:val="20"/>
          <w:szCs w:val="20"/>
        </w:rPr>
        <w:t>Warrant</w:t>
      </w:r>
    </w:p>
    <w:p w14:paraId="64A8B593" w14:textId="77777777" w:rsidR="008D6614" w:rsidRDefault="008D6614">
      <w:pPr>
        <w:ind w:firstLine="540"/>
        <w:jc w:val="both"/>
      </w:pPr>
    </w:p>
    <w:p w14:paraId="64A8B594" w14:textId="77777777" w:rsidR="008D6614" w:rsidRDefault="00866AF2">
      <w:pPr>
        <w:ind w:firstLine="540"/>
        <w:jc w:val="both"/>
      </w:pPr>
      <w:r>
        <w:rPr>
          <w:rFonts w:ascii="Arial" w:eastAsia="宋体" w:hAnsi="Arial" w:cs="Arial"/>
          <w:color w:val="000000"/>
          <w:sz w:val="20"/>
          <w:szCs w:val="20"/>
        </w:rPr>
        <w:t>We entered into a warrant agreement in conjunction with a commercial agreement with Adyen that, subject to meeting certain conditions, entitles us to acquire a fixed number of shares up to 5% of Adyen’s fully diluted issued and outstanding share capital at</w:t>
      </w:r>
      <w:r>
        <w:rPr>
          <w:rFonts w:ascii="Arial" w:eastAsia="宋体" w:hAnsi="Arial" w:cs="Arial"/>
          <w:color w:val="000000"/>
          <w:sz w:val="20"/>
          <w:szCs w:val="20"/>
        </w:rPr>
        <w:t xml:space="preserve"> a specific date. The warrant is accounted for as a derivative instrument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Changes in Adyen’s common stock price and equity volatility may have a significant impact on the value of the warrant. As of March 31, 2</w:t>
      </w:r>
      <w:r>
        <w:rPr>
          <w:rFonts w:ascii="Arial" w:eastAsia="宋体" w:hAnsi="Arial" w:cs="Arial"/>
          <w:color w:val="000000"/>
          <w:sz w:val="20"/>
          <w:szCs w:val="20"/>
        </w:rPr>
        <w:t>020, a one dollar change in Adyen’s common stock, holding other factors constant, would increase or decrease the fair value of the warrant by approximately $1 million. For additional details related to the warrant, please see “Note 8 – Derivative Instrumen</w:t>
      </w:r>
      <w:r>
        <w:rPr>
          <w:rFonts w:ascii="Arial" w:eastAsia="宋体" w:hAnsi="Arial" w:cs="Arial"/>
          <w:color w:val="000000"/>
          <w:sz w:val="20"/>
          <w:szCs w:val="20"/>
        </w:rPr>
        <w:t>ts” to our condensed consolidated financial statements included in this report.</w:t>
      </w:r>
    </w:p>
    <w:p w14:paraId="64A8B595" w14:textId="77777777" w:rsidR="008D6614" w:rsidRDefault="008D6614">
      <w:pPr>
        <w:ind w:firstLine="495"/>
        <w:jc w:val="both"/>
      </w:pPr>
    </w:p>
    <w:p w14:paraId="64A8B596" w14:textId="77777777" w:rsidR="008D6614" w:rsidRDefault="00866AF2">
      <w:pPr>
        <w:jc w:val="both"/>
      </w:pPr>
      <w:r>
        <w:rPr>
          <w:rFonts w:ascii="Arial" w:eastAsia="宋体" w:hAnsi="Arial" w:cs="Arial"/>
          <w:b/>
          <w:bCs/>
          <w:i/>
          <w:iCs/>
          <w:color w:val="000000"/>
          <w:sz w:val="20"/>
          <w:szCs w:val="20"/>
        </w:rPr>
        <w:t>Foreign Currency Risk</w:t>
      </w:r>
    </w:p>
    <w:p w14:paraId="64A8B597" w14:textId="77777777" w:rsidR="008D6614" w:rsidRDefault="008D6614">
      <w:pPr>
        <w:jc w:val="both"/>
      </w:pPr>
    </w:p>
    <w:p w14:paraId="64A8B598" w14:textId="77777777" w:rsidR="008D6614" w:rsidRDefault="00866AF2">
      <w:pPr>
        <w:ind w:firstLine="540"/>
        <w:jc w:val="both"/>
      </w:pPr>
      <w:r>
        <w:rPr>
          <w:rFonts w:ascii="Arial" w:eastAsia="宋体" w:hAnsi="Arial" w:cs="Arial"/>
          <w:color w:val="000000"/>
          <w:sz w:val="20"/>
          <w:szCs w:val="20"/>
        </w:rPr>
        <w:t>Our commerce platforms operate globally, resulting in certain revenues and costs that are denominated in foreign currencies, primarily the euro, British</w:t>
      </w:r>
      <w:r>
        <w:rPr>
          <w:rFonts w:ascii="Arial" w:eastAsia="宋体" w:hAnsi="Arial" w:cs="Arial"/>
          <w:color w:val="000000"/>
          <w:sz w:val="20"/>
          <w:szCs w:val="20"/>
        </w:rPr>
        <w:t xml:space="preserve"> pound, Korean won and Australian dollar, subjecting us to foreign currency risk, which may adversely impact our financial results. We transact business in various foreign currencies and have significant international revenues as well as costs. In addition</w:t>
      </w:r>
      <w:r>
        <w:rPr>
          <w:rFonts w:ascii="Arial" w:eastAsia="宋体" w:hAnsi="Arial" w:cs="Arial"/>
          <w:color w:val="000000"/>
          <w:sz w:val="20"/>
          <w:szCs w:val="20"/>
        </w:rPr>
        <w:t>, we charge our international subsidiaries for their use of intellectual property and technology and for certain corporate services we provide. Our cash flow, results of operations and certain of our intercompany balances that are exposed to foreign exchan</w:t>
      </w:r>
      <w:r>
        <w:rPr>
          <w:rFonts w:ascii="Arial" w:eastAsia="宋体" w:hAnsi="Arial" w:cs="Arial"/>
          <w:color w:val="000000"/>
          <w:sz w:val="20"/>
          <w:szCs w:val="20"/>
        </w:rPr>
        <w:t>ge rate fluctuations may differ materially from expectations and we may record significant gains or losses due to foreign currency fluctuations and related hedging activities.</w:t>
      </w:r>
    </w:p>
    <w:p w14:paraId="64A8B599" w14:textId="77777777" w:rsidR="008D6614" w:rsidRDefault="008D6614">
      <w:pPr>
        <w:jc w:val="both"/>
      </w:pPr>
    </w:p>
    <w:p w14:paraId="64A8B59A" w14:textId="77777777" w:rsidR="008D6614" w:rsidRDefault="00866AF2">
      <w:pPr>
        <w:ind w:firstLine="540"/>
        <w:jc w:val="both"/>
      </w:pPr>
      <w:r>
        <w:rPr>
          <w:rFonts w:ascii="Arial" w:eastAsia="宋体" w:hAnsi="Arial" w:cs="Arial"/>
          <w:color w:val="000000"/>
          <w:sz w:val="20"/>
          <w:szCs w:val="20"/>
        </w:rPr>
        <w:t>We have a foreign exchange exposure management program designed to identify mat</w:t>
      </w:r>
      <w:r>
        <w:rPr>
          <w:rFonts w:ascii="Arial" w:eastAsia="宋体" w:hAnsi="Arial" w:cs="Arial"/>
          <w:color w:val="000000"/>
          <w:sz w:val="20"/>
          <w:szCs w:val="20"/>
        </w:rPr>
        <w:t xml:space="preserve">erial foreign currency exposures, manage these exposures and reduce the potential effects of currency fluctuations on our reported condensed consolidated cash flows and results of operations through the purchase of foreign currency exchange contracts. The </w:t>
      </w:r>
      <w:r>
        <w:rPr>
          <w:rFonts w:ascii="Arial" w:eastAsia="宋体" w:hAnsi="Arial" w:cs="Arial"/>
          <w:color w:val="000000"/>
          <w:sz w:val="20"/>
          <w:szCs w:val="20"/>
        </w:rPr>
        <w:t>effectiveness of the program and resulting usage of foreign exchange derivative contracts is at times limited by our ability to achieve cash flow hedge accounting. For additional details related to our derivative instruments, please see “Note 8 – Derivativ</w:t>
      </w:r>
      <w:r>
        <w:rPr>
          <w:rFonts w:ascii="Arial" w:eastAsia="宋体" w:hAnsi="Arial" w:cs="Arial"/>
          <w:color w:val="000000"/>
          <w:sz w:val="20"/>
          <w:szCs w:val="20"/>
        </w:rPr>
        <w:t xml:space="preserve">e Instruments” to our condensed consolidated financial statements included in this report. </w:t>
      </w:r>
    </w:p>
    <w:p w14:paraId="64A8B59B" w14:textId="77777777" w:rsidR="008D6614" w:rsidRDefault="008D6614">
      <w:pPr>
        <w:ind w:firstLine="540"/>
        <w:jc w:val="both"/>
      </w:pPr>
    </w:p>
    <w:p w14:paraId="64A8B59C" w14:textId="77777777" w:rsidR="008D6614" w:rsidRDefault="00866AF2">
      <w:pPr>
        <w:ind w:firstLine="540"/>
        <w:jc w:val="both"/>
      </w:pPr>
      <w:r>
        <w:rPr>
          <w:rFonts w:ascii="Arial" w:eastAsia="宋体" w:hAnsi="Arial" w:cs="Arial"/>
          <w:color w:val="000000"/>
          <w:sz w:val="20"/>
          <w:szCs w:val="20"/>
        </w:rPr>
        <w:t>We use foreign exchange derivative contracts to help protect our forecasted U.S. dollar-equivalent earnings from adverse changes in foreign currency exchange rates</w:t>
      </w:r>
      <w:r>
        <w:rPr>
          <w:rFonts w:ascii="Arial" w:eastAsia="宋体" w:hAnsi="Arial" w:cs="Arial"/>
          <w:color w:val="000000"/>
          <w:sz w:val="20"/>
          <w:szCs w:val="20"/>
        </w:rPr>
        <w:t>. These hedging contracts reduce, but do not entirely eliminate, the impact of adverse currency exchange rate movements. Most of these contracts are designated as cash flow hedges for accounting purposes. For qualifying cash flow hedges, the derivative’s g</w:t>
      </w:r>
      <w:r>
        <w:rPr>
          <w:rFonts w:ascii="Arial" w:eastAsia="宋体" w:hAnsi="Arial" w:cs="Arial"/>
          <w:color w:val="000000"/>
          <w:sz w:val="20"/>
          <w:szCs w:val="20"/>
        </w:rPr>
        <w:t>ain or loss is initially reported as a component of accumulated other comprehensive income and subsequently reclassified into earnings in the same period the forecasted transaction affects earnings. For contracts not designated as cash flow hedges for acco</w:t>
      </w:r>
      <w:r>
        <w:rPr>
          <w:rFonts w:ascii="Arial" w:eastAsia="宋体" w:hAnsi="Arial" w:cs="Arial"/>
          <w:color w:val="000000"/>
          <w:sz w:val="20"/>
          <w:szCs w:val="20"/>
        </w:rPr>
        <w:t xml:space="preserve">unting purposes, the derivative’s gain or loss is recognized immediately in earnings in our condensed consolidated statement of income. However, only certain revenue and costs are eligible for cash flow hedge accounting. </w:t>
      </w:r>
    </w:p>
    <w:p w14:paraId="64A8B59D" w14:textId="77777777" w:rsidR="008D6614" w:rsidRDefault="008D6614">
      <w:pPr>
        <w:jc w:val="both"/>
      </w:pPr>
    </w:p>
    <w:p w14:paraId="64A8B59E" w14:textId="77777777" w:rsidR="008D6614" w:rsidRDefault="00866AF2">
      <w:pPr>
        <w:ind w:firstLine="540"/>
        <w:jc w:val="both"/>
      </w:pPr>
      <w:r>
        <w:rPr>
          <w:rFonts w:ascii="Arial" w:eastAsia="宋体" w:hAnsi="Arial" w:cs="Arial"/>
          <w:color w:val="000000"/>
          <w:sz w:val="20"/>
          <w:szCs w:val="20"/>
        </w:rPr>
        <w:t>The following table illustrates t</w:t>
      </w:r>
      <w:r>
        <w:rPr>
          <w:rFonts w:ascii="Arial" w:eastAsia="宋体" w:hAnsi="Arial" w:cs="Arial"/>
          <w:color w:val="000000"/>
          <w:sz w:val="20"/>
          <w:szCs w:val="20"/>
        </w:rPr>
        <w:t>he fair values of outstanding foreign exchange contracts designated as cash flow hedges and net investment hedges, and the before-tax effect on fair values of a hypothetical adverse change in the foreign exchange rates that existed as of March 31, 2020. Th</w:t>
      </w:r>
      <w:r>
        <w:rPr>
          <w:rFonts w:ascii="Arial" w:eastAsia="宋体" w:hAnsi="Arial" w:cs="Arial"/>
          <w:color w:val="000000"/>
          <w:sz w:val="20"/>
          <w:szCs w:val="20"/>
        </w:rPr>
        <w:t>e sensitivity for foreign currency contracts is based on a 20% adverse change in foreign exchange rates, against relevant functional currencies.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735"/>
        <w:gridCol w:w="37"/>
        <w:gridCol w:w="137"/>
        <w:gridCol w:w="1049"/>
        <w:gridCol w:w="91"/>
        <w:gridCol w:w="36"/>
        <w:gridCol w:w="36"/>
        <w:gridCol w:w="36"/>
        <w:gridCol w:w="137"/>
        <w:gridCol w:w="702"/>
        <w:gridCol w:w="86"/>
        <w:gridCol w:w="36"/>
        <w:gridCol w:w="36"/>
        <w:gridCol w:w="36"/>
        <w:gridCol w:w="36"/>
        <w:gridCol w:w="36"/>
        <w:gridCol w:w="36"/>
      </w:tblGrid>
      <w:tr w:rsidR="008D6614" w14:paraId="64A8B5AB" w14:textId="77777777">
        <w:trPr>
          <w:gridAfter w:val="6"/>
        </w:trPr>
        <w:tc>
          <w:tcPr>
            <w:tcW w:w="50" w:type="pct"/>
            <w:shd w:val="clear" w:color="auto" w:fill="auto"/>
            <w:vAlign w:val="center"/>
          </w:tcPr>
          <w:p w14:paraId="64A8B59F" w14:textId="77777777" w:rsidR="008D6614" w:rsidRDefault="008D6614">
            <w:pPr>
              <w:rPr>
                <w:rFonts w:ascii="宋体"/>
              </w:rPr>
            </w:pPr>
          </w:p>
        </w:tc>
        <w:tc>
          <w:tcPr>
            <w:tcW w:w="3584" w:type="pct"/>
            <w:shd w:val="clear" w:color="auto" w:fill="auto"/>
            <w:vAlign w:val="center"/>
          </w:tcPr>
          <w:p w14:paraId="64A8B5A0" w14:textId="77777777" w:rsidR="008D6614" w:rsidRDefault="008D6614">
            <w:pPr>
              <w:rPr>
                <w:rFonts w:ascii="宋体"/>
              </w:rPr>
            </w:pPr>
          </w:p>
        </w:tc>
        <w:tc>
          <w:tcPr>
            <w:tcW w:w="50" w:type="pct"/>
            <w:shd w:val="clear" w:color="auto" w:fill="auto"/>
            <w:vAlign w:val="center"/>
          </w:tcPr>
          <w:p w14:paraId="64A8B5A1" w14:textId="77777777" w:rsidR="008D6614" w:rsidRDefault="008D6614">
            <w:pPr>
              <w:rPr>
                <w:rFonts w:ascii="宋体"/>
              </w:rPr>
            </w:pPr>
          </w:p>
        </w:tc>
        <w:tc>
          <w:tcPr>
            <w:tcW w:w="50" w:type="pct"/>
            <w:shd w:val="clear" w:color="auto" w:fill="auto"/>
            <w:vAlign w:val="center"/>
          </w:tcPr>
          <w:p w14:paraId="64A8B5A2" w14:textId="77777777" w:rsidR="008D6614" w:rsidRDefault="008D6614">
            <w:pPr>
              <w:rPr>
                <w:rFonts w:ascii="宋体"/>
              </w:rPr>
            </w:pPr>
          </w:p>
        </w:tc>
        <w:tc>
          <w:tcPr>
            <w:tcW w:w="572" w:type="pct"/>
            <w:shd w:val="clear" w:color="auto" w:fill="auto"/>
            <w:vAlign w:val="center"/>
          </w:tcPr>
          <w:p w14:paraId="64A8B5A3" w14:textId="77777777" w:rsidR="008D6614" w:rsidRDefault="008D6614">
            <w:pPr>
              <w:rPr>
                <w:rFonts w:ascii="宋体"/>
              </w:rPr>
            </w:pPr>
          </w:p>
        </w:tc>
        <w:tc>
          <w:tcPr>
            <w:tcW w:w="50" w:type="pct"/>
            <w:shd w:val="clear" w:color="auto" w:fill="auto"/>
            <w:vAlign w:val="center"/>
          </w:tcPr>
          <w:p w14:paraId="64A8B5A4" w14:textId="77777777" w:rsidR="008D6614" w:rsidRDefault="008D6614">
            <w:pPr>
              <w:rPr>
                <w:rFonts w:ascii="宋体"/>
              </w:rPr>
            </w:pPr>
          </w:p>
        </w:tc>
        <w:tc>
          <w:tcPr>
            <w:tcW w:w="5" w:type="pct"/>
            <w:shd w:val="clear" w:color="auto" w:fill="auto"/>
            <w:vAlign w:val="center"/>
          </w:tcPr>
          <w:p w14:paraId="64A8B5A5" w14:textId="77777777" w:rsidR="008D6614" w:rsidRDefault="008D6614">
            <w:pPr>
              <w:rPr>
                <w:rFonts w:ascii="宋体"/>
              </w:rPr>
            </w:pPr>
          </w:p>
        </w:tc>
        <w:tc>
          <w:tcPr>
            <w:tcW w:w="26" w:type="pct"/>
            <w:shd w:val="clear" w:color="auto" w:fill="auto"/>
            <w:vAlign w:val="center"/>
          </w:tcPr>
          <w:p w14:paraId="64A8B5A6" w14:textId="77777777" w:rsidR="008D6614" w:rsidRDefault="008D6614">
            <w:pPr>
              <w:rPr>
                <w:rFonts w:ascii="宋体"/>
              </w:rPr>
            </w:pPr>
          </w:p>
        </w:tc>
        <w:tc>
          <w:tcPr>
            <w:tcW w:w="5" w:type="pct"/>
            <w:shd w:val="clear" w:color="auto" w:fill="auto"/>
            <w:vAlign w:val="center"/>
          </w:tcPr>
          <w:p w14:paraId="64A8B5A7" w14:textId="77777777" w:rsidR="008D6614" w:rsidRDefault="008D6614">
            <w:pPr>
              <w:rPr>
                <w:rFonts w:ascii="宋体"/>
              </w:rPr>
            </w:pPr>
          </w:p>
        </w:tc>
        <w:tc>
          <w:tcPr>
            <w:tcW w:w="50" w:type="pct"/>
            <w:shd w:val="clear" w:color="auto" w:fill="auto"/>
            <w:vAlign w:val="center"/>
          </w:tcPr>
          <w:p w14:paraId="64A8B5A8" w14:textId="77777777" w:rsidR="008D6614" w:rsidRDefault="008D6614">
            <w:pPr>
              <w:rPr>
                <w:rFonts w:ascii="宋体"/>
              </w:rPr>
            </w:pPr>
          </w:p>
        </w:tc>
        <w:tc>
          <w:tcPr>
            <w:tcW w:w="506" w:type="pct"/>
            <w:shd w:val="clear" w:color="auto" w:fill="auto"/>
            <w:vAlign w:val="center"/>
          </w:tcPr>
          <w:p w14:paraId="64A8B5A9" w14:textId="77777777" w:rsidR="008D6614" w:rsidRDefault="008D6614">
            <w:pPr>
              <w:rPr>
                <w:rFonts w:ascii="宋体"/>
              </w:rPr>
            </w:pPr>
          </w:p>
        </w:tc>
        <w:tc>
          <w:tcPr>
            <w:tcW w:w="50" w:type="pct"/>
            <w:shd w:val="clear" w:color="auto" w:fill="auto"/>
            <w:vAlign w:val="center"/>
          </w:tcPr>
          <w:p w14:paraId="64A8B5AA" w14:textId="77777777" w:rsidR="008D6614" w:rsidRDefault="008D6614">
            <w:pPr>
              <w:rPr>
                <w:rFonts w:ascii="宋体"/>
              </w:rPr>
            </w:pPr>
          </w:p>
        </w:tc>
      </w:tr>
      <w:tr w:rsidR="008D6614" w14:paraId="64A8B5B0" w14:textId="77777777">
        <w:trPr>
          <w:gridAfter w:val="6"/>
        </w:trPr>
        <w:tc>
          <w:tcPr>
            <w:tcW w:w="0" w:type="auto"/>
            <w:gridSpan w:val="3"/>
            <w:shd w:val="clear" w:color="auto" w:fill="auto"/>
            <w:tcMar>
              <w:top w:w="40" w:type="dxa"/>
              <w:left w:w="20" w:type="dxa"/>
              <w:bottom w:w="40" w:type="dxa"/>
              <w:right w:w="20" w:type="dxa"/>
            </w:tcMar>
            <w:vAlign w:val="bottom"/>
          </w:tcPr>
          <w:p w14:paraId="64A8B5AC" w14:textId="77777777" w:rsidR="008D6614" w:rsidRDefault="00866AF2">
            <w:pPr>
              <w:textAlignment w:val="bottom"/>
            </w:pPr>
            <w:r>
              <w:rPr>
                <w:rFonts w:ascii="Arial" w:eastAsia="宋体" w:hAnsi="Arial" w:cs="Arial"/>
                <w:color w:val="000000"/>
                <w:sz w:val="14"/>
                <w:szCs w:val="14"/>
              </w:rPr>
              <w:t> </w:t>
            </w:r>
          </w:p>
        </w:tc>
        <w:tc>
          <w:tcPr>
            <w:tcW w:w="0" w:type="auto"/>
            <w:gridSpan w:val="3"/>
            <w:shd w:val="clear" w:color="auto" w:fill="auto"/>
            <w:tcMar>
              <w:top w:w="40" w:type="dxa"/>
              <w:left w:w="20" w:type="dxa"/>
              <w:bottom w:w="40" w:type="dxa"/>
              <w:right w:w="20" w:type="dxa"/>
            </w:tcMar>
            <w:vAlign w:val="bottom"/>
          </w:tcPr>
          <w:p w14:paraId="64A8B5AD" w14:textId="77777777" w:rsidR="008D6614" w:rsidRDefault="00866AF2">
            <w:pPr>
              <w:jc w:val="center"/>
              <w:textAlignment w:val="bottom"/>
            </w:pPr>
            <w:r>
              <w:rPr>
                <w:rFonts w:ascii="Arial" w:eastAsia="宋体" w:hAnsi="Arial" w:cs="Arial"/>
                <w:b/>
                <w:bCs/>
                <w:color w:val="000000"/>
                <w:sz w:val="16"/>
                <w:szCs w:val="16"/>
              </w:rPr>
              <w:t>Fair Value Asset/(Liability)</w:t>
            </w:r>
          </w:p>
        </w:tc>
        <w:tc>
          <w:tcPr>
            <w:tcW w:w="0" w:type="auto"/>
            <w:gridSpan w:val="3"/>
            <w:shd w:val="clear" w:color="auto" w:fill="auto"/>
            <w:tcMar>
              <w:left w:w="20" w:type="dxa"/>
              <w:right w:w="20" w:type="dxa"/>
            </w:tcMar>
            <w:vAlign w:val="bottom"/>
          </w:tcPr>
          <w:p w14:paraId="64A8B5AE" w14:textId="77777777" w:rsidR="008D6614" w:rsidRDefault="008D661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4A8B5AF" w14:textId="77777777" w:rsidR="008D6614" w:rsidRDefault="00866AF2">
            <w:pPr>
              <w:jc w:val="center"/>
              <w:textAlignment w:val="bottom"/>
            </w:pPr>
            <w:r>
              <w:rPr>
                <w:rFonts w:ascii="Arial" w:eastAsia="宋体" w:hAnsi="Arial" w:cs="Arial"/>
                <w:b/>
                <w:bCs/>
                <w:color w:val="000000"/>
                <w:sz w:val="16"/>
                <w:szCs w:val="16"/>
              </w:rPr>
              <w:t>Fair Value Sensitivity</w:t>
            </w:r>
          </w:p>
        </w:tc>
      </w:tr>
      <w:tr w:rsidR="008D6614" w14:paraId="64A8B5B5" w14:textId="77777777">
        <w:tc>
          <w:tcPr>
            <w:tcW w:w="0" w:type="auto"/>
            <w:gridSpan w:val="3"/>
            <w:shd w:val="clear" w:color="auto" w:fill="auto"/>
            <w:tcMar>
              <w:left w:w="20" w:type="dxa"/>
              <w:right w:w="20" w:type="dxa"/>
            </w:tcMar>
            <w:vAlign w:val="bottom"/>
          </w:tcPr>
          <w:p w14:paraId="64A8B5B1" w14:textId="77777777" w:rsidR="008D6614" w:rsidRDefault="008D661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A8B5B2" w14:textId="77777777" w:rsidR="008D6614" w:rsidRDefault="00866AF2">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vAlign w:val="center"/>
          </w:tcPr>
          <w:p w14:paraId="64A8B5B3" w14:textId="77777777" w:rsidR="008D6614" w:rsidRDefault="008D6614">
            <w:pPr>
              <w:rPr>
                <w:rFonts w:ascii="宋体"/>
                <w:vanish/>
              </w:rPr>
            </w:pPr>
          </w:p>
        </w:tc>
        <w:tc>
          <w:tcPr>
            <w:tcW w:w="0" w:type="auto"/>
            <w:gridSpan w:val="3"/>
            <w:shd w:val="clear" w:color="auto" w:fill="auto"/>
            <w:vAlign w:val="center"/>
          </w:tcPr>
          <w:p w14:paraId="64A8B5B4" w14:textId="77777777" w:rsidR="008D6614" w:rsidRDefault="008D6614">
            <w:pPr>
              <w:rPr>
                <w:rFonts w:ascii="宋体"/>
                <w:vanish/>
              </w:rPr>
            </w:pPr>
          </w:p>
        </w:tc>
      </w:tr>
      <w:tr w:rsidR="008D6614" w14:paraId="64A8B5C4" w14:textId="77777777">
        <w:tc>
          <w:tcPr>
            <w:tcW w:w="0" w:type="auto"/>
            <w:gridSpan w:val="3"/>
            <w:shd w:val="clear" w:color="auto" w:fill="E2E2E2"/>
            <w:tcMar>
              <w:top w:w="40" w:type="dxa"/>
              <w:left w:w="20" w:type="dxa"/>
              <w:bottom w:w="40" w:type="dxa"/>
              <w:right w:w="20" w:type="dxa"/>
            </w:tcMar>
            <w:vAlign w:val="bottom"/>
          </w:tcPr>
          <w:p w14:paraId="64A8B5B6" w14:textId="77777777" w:rsidR="008D6614" w:rsidRDefault="00866AF2">
            <w:pPr>
              <w:textAlignment w:val="bottom"/>
            </w:pPr>
            <w:r>
              <w:rPr>
                <w:rFonts w:ascii="Arial" w:eastAsia="宋体" w:hAnsi="Arial" w:cs="Arial"/>
                <w:color w:val="000000"/>
                <w:sz w:val="18"/>
                <w:szCs w:val="18"/>
              </w:rPr>
              <w:t xml:space="preserve">Foreign exchange </w:t>
            </w:r>
            <w:r>
              <w:rPr>
                <w:rFonts w:ascii="Arial" w:eastAsia="宋体" w:hAnsi="Arial" w:cs="Arial"/>
                <w:color w:val="000000"/>
                <w:sz w:val="18"/>
                <w:szCs w:val="18"/>
              </w:rPr>
              <w:t>contracts - Cash flow hedges</w:t>
            </w:r>
          </w:p>
        </w:tc>
        <w:tc>
          <w:tcPr>
            <w:tcW w:w="0" w:type="auto"/>
            <w:shd w:val="clear" w:color="auto" w:fill="E2E2E2"/>
            <w:tcMar>
              <w:top w:w="40" w:type="dxa"/>
              <w:left w:w="20" w:type="dxa"/>
              <w:bottom w:w="40" w:type="dxa"/>
            </w:tcMar>
            <w:vAlign w:val="bottom"/>
          </w:tcPr>
          <w:p w14:paraId="64A8B5B7"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B5B8" w14:textId="77777777" w:rsidR="008D6614" w:rsidRDefault="00866AF2">
            <w:pPr>
              <w:jc w:val="right"/>
              <w:textAlignment w:val="bottom"/>
            </w:pPr>
            <w:r>
              <w:rPr>
                <w:rFonts w:ascii="Arial" w:eastAsia="宋体" w:hAnsi="Arial" w:cs="Arial"/>
                <w:color w:val="000000"/>
                <w:sz w:val="18"/>
                <w:szCs w:val="18"/>
              </w:rPr>
              <w:t>92 </w:t>
            </w:r>
          </w:p>
        </w:tc>
        <w:tc>
          <w:tcPr>
            <w:tcW w:w="0" w:type="auto"/>
            <w:shd w:val="clear" w:color="auto" w:fill="E2E2E2"/>
            <w:tcMar>
              <w:top w:w="40" w:type="dxa"/>
              <w:bottom w:w="40" w:type="dxa"/>
              <w:right w:w="20" w:type="dxa"/>
            </w:tcMar>
            <w:vAlign w:val="bottom"/>
          </w:tcPr>
          <w:p w14:paraId="64A8B5B9"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E2E2E2"/>
            <w:tcMar>
              <w:left w:w="20" w:type="dxa"/>
              <w:right w:w="20" w:type="dxa"/>
            </w:tcMar>
            <w:vAlign w:val="bottom"/>
          </w:tcPr>
          <w:p w14:paraId="64A8B5BA"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B5BB" w14:textId="77777777" w:rsidR="008D6614" w:rsidRDefault="00866AF2">
            <w:pPr>
              <w:textAlignment w:val="bottom"/>
            </w:pPr>
            <w:r>
              <w:rPr>
                <w:rFonts w:ascii="Arial" w:eastAsia="宋体" w:hAnsi="Arial" w:cs="Arial"/>
                <w:color w:val="000000"/>
                <w:sz w:val="18"/>
                <w:szCs w:val="18"/>
              </w:rPr>
              <w:t>$</w:t>
            </w:r>
          </w:p>
        </w:tc>
        <w:tc>
          <w:tcPr>
            <w:tcW w:w="0" w:type="auto"/>
            <w:shd w:val="clear" w:color="auto" w:fill="E2E2E2"/>
            <w:tcMar>
              <w:top w:w="40" w:type="dxa"/>
              <w:bottom w:w="40" w:type="dxa"/>
              <w:right w:w="0" w:type="dxa"/>
            </w:tcMar>
            <w:vAlign w:val="bottom"/>
          </w:tcPr>
          <w:p w14:paraId="64A8B5BC" w14:textId="77777777" w:rsidR="008D6614" w:rsidRDefault="00866AF2">
            <w:pPr>
              <w:jc w:val="right"/>
              <w:textAlignment w:val="bottom"/>
            </w:pPr>
            <w:r>
              <w:rPr>
                <w:rFonts w:ascii="Arial" w:eastAsia="宋体" w:hAnsi="Arial" w:cs="Arial"/>
                <w:color w:val="000000"/>
                <w:sz w:val="18"/>
                <w:szCs w:val="18"/>
              </w:rPr>
              <w:t>(104)</w:t>
            </w:r>
          </w:p>
        </w:tc>
        <w:tc>
          <w:tcPr>
            <w:tcW w:w="0" w:type="auto"/>
            <w:shd w:val="clear" w:color="auto" w:fill="E2E2E2"/>
            <w:tcMar>
              <w:top w:w="40" w:type="dxa"/>
              <w:bottom w:w="40" w:type="dxa"/>
              <w:right w:w="20" w:type="dxa"/>
            </w:tcMar>
            <w:vAlign w:val="bottom"/>
          </w:tcPr>
          <w:p w14:paraId="64A8B5BD"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B5BE" w14:textId="77777777" w:rsidR="008D6614" w:rsidRDefault="008D6614">
            <w:pPr>
              <w:rPr>
                <w:rFonts w:ascii="宋体"/>
              </w:rPr>
            </w:pPr>
          </w:p>
        </w:tc>
        <w:tc>
          <w:tcPr>
            <w:tcW w:w="0" w:type="auto"/>
            <w:shd w:val="clear" w:color="auto" w:fill="auto"/>
            <w:vAlign w:val="center"/>
          </w:tcPr>
          <w:p w14:paraId="64A8B5BF" w14:textId="77777777" w:rsidR="008D6614" w:rsidRDefault="008D6614">
            <w:pPr>
              <w:rPr>
                <w:rFonts w:ascii="宋体"/>
              </w:rPr>
            </w:pPr>
          </w:p>
        </w:tc>
        <w:tc>
          <w:tcPr>
            <w:tcW w:w="0" w:type="auto"/>
            <w:shd w:val="clear" w:color="auto" w:fill="auto"/>
            <w:vAlign w:val="center"/>
          </w:tcPr>
          <w:p w14:paraId="64A8B5C0" w14:textId="77777777" w:rsidR="008D6614" w:rsidRDefault="008D6614">
            <w:pPr>
              <w:rPr>
                <w:rFonts w:ascii="宋体"/>
              </w:rPr>
            </w:pPr>
          </w:p>
        </w:tc>
        <w:tc>
          <w:tcPr>
            <w:tcW w:w="0" w:type="auto"/>
            <w:shd w:val="clear" w:color="auto" w:fill="auto"/>
            <w:vAlign w:val="center"/>
          </w:tcPr>
          <w:p w14:paraId="64A8B5C1" w14:textId="77777777" w:rsidR="008D6614" w:rsidRDefault="008D6614">
            <w:pPr>
              <w:rPr>
                <w:rFonts w:ascii="宋体"/>
              </w:rPr>
            </w:pPr>
          </w:p>
        </w:tc>
        <w:tc>
          <w:tcPr>
            <w:tcW w:w="0" w:type="auto"/>
            <w:shd w:val="clear" w:color="auto" w:fill="auto"/>
            <w:vAlign w:val="center"/>
          </w:tcPr>
          <w:p w14:paraId="64A8B5C2" w14:textId="77777777" w:rsidR="008D6614" w:rsidRDefault="008D6614">
            <w:pPr>
              <w:rPr>
                <w:rFonts w:ascii="宋体"/>
              </w:rPr>
            </w:pPr>
          </w:p>
        </w:tc>
        <w:tc>
          <w:tcPr>
            <w:tcW w:w="0" w:type="auto"/>
            <w:shd w:val="clear" w:color="auto" w:fill="auto"/>
            <w:vAlign w:val="center"/>
          </w:tcPr>
          <w:p w14:paraId="64A8B5C3" w14:textId="77777777" w:rsidR="008D6614" w:rsidRDefault="008D6614">
            <w:pPr>
              <w:rPr>
                <w:rFonts w:ascii="宋体"/>
              </w:rPr>
            </w:pPr>
          </w:p>
        </w:tc>
      </w:tr>
      <w:tr w:rsidR="008D6614" w14:paraId="64A8B5D3" w14:textId="77777777">
        <w:tc>
          <w:tcPr>
            <w:tcW w:w="0" w:type="auto"/>
            <w:gridSpan w:val="3"/>
            <w:shd w:val="clear" w:color="auto" w:fill="FFFFFF"/>
            <w:tcMar>
              <w:top w:w="40" w:type="dxa"/>
              <w:left w:w="20" w:type="dxa"/>
              <w:bottom w:w="40" w:type="dxa"/>
              <w:right w:w="20" w:type="dxa"/>
            </w:tcMar>
            <w:vAlign w:val="bottom"/>
          </w:tcPr>
          <w:p w14:paraId="64A8B5C5" w14:textId="77777777" w:rsidR="008D6614" w:rsidRDefault="00866AF2">
            <w:pPr>
              <w:textAlignment w:val="bottom"/>
            </w:pPr>
            <w:r>
              <w:rPr>
                <w:rFonts w:ascii="Arial" w:eastAsia="宋体" w:hAnsi="Arial" w:cs="Arial"/>
                <w:color w:val="000000"/>
                <w:sz w:val="18"/>
                <w:szCs w:val="18"/>
              </w:rPr>
              <w:t>Foreign exchange contracts - Net investment hedges</w:t>
            </w:r>
          </w:p>
        </w:tc>
        <w:tc>
          <w:tcPr>
            <w:tcW w:w="0" w:type="auto"/>
            <w:shd w:val="clear" w:color="auto" w:fill="FFFFFF"/>
            <w:tcMar>
              <w:top w:w="40" w:type="dxa"/>
              <w:left w:w="20" w:type="dxa"/>
              <w:bottom w:w="40" w:type="dxa"/>
            </w:tcMar>
            <w:vAlign w:val="bottom"/>
          </w:tcPr>
          <w:p w14:paraId="64A8B5C6"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B5C7" w14:textId="77777777" w:rsidR="008D6614" w:rsidRDefault="00866AF2">
            <w:pPr>
              <w:jc w:val="right"/>
              <w:textAlignment w:val="bottom"/>
            </w:pPr>
            <w:r>
              <w:rPr>
                <w:rFonts w:ascii="Arial" w:eastAsia="宋体" w:hAnsi="Arial" w:cs="Arial"/>
                <w:color w:val="000000"/>
                <w:sz w:val="18"/>
                <w:szCs w:val="18"/>
              </w:rPr>
              <w:t>3 </w:t>
            </w:r>
          </w:p>
        </w:tc>
        <w:tc>
          <w:tcPr>
            <w:tcW w:w="0" w:type="auto"/>
            <w:shd w:val="clear" w:color="auto" w:fill="FFFFFF"/>
            <w:tcMar>
              <w:top w:w="40" w:type="dxa"/>
              <w:bottom w:w="40" w:type="dxa"/>
              <w:right w:w="20" w:type="dxa"/>
            </w:tcMar>
            <w:vAlign w:val="bottom"/>
          </w:tcPr>
          <w:p w14:paraId="64A8B5C8" w14:textId="77777777" w:rsidR="008D6614" w:rsidRDefault="00866AF2">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64A8B5C9"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5CA" w14:textId="77777777" w:rsidR="008D6614" w:rsidRDefault="00866AF2">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64A8B5CB" w14:textId="77777777" w:rsidR="008D6614" w:rsidRDefault="00866AF2">
            <w:pPr>
              <w:jc w:val="right"/>
              <w:textAlignment w:val="bottom"/>
            </w:pPr>
            <w:r>
              <w:rPr>
                <w:rFonts w:ascii="Arial" w:eastAsia="宋体" w:hAnsi="Arial" w:cs="Arial"/>
                <w:color w:val="000000"/>
                <w:sz w:val="18"/>
                <w:szCs w:val="18"/>
              </w:rPr>
              <w:t>(32)</w:t>
            </w:r>
          </w:p>
        </w:tc>
        <w:tc>
          <w:tcPr>
            <w:tcW w:w="0" w:type="auto"/>
            <w:shd w:val="clear" w:color="auto" w:fill="FFFFFF"/>
            <w:tcMar>
              <w:top w:w="40" w:type="dxa"/>
              <w:bottom w:w="40" w:type="dxa"/>
              <w:right w:w="20" w:type="dxa"/>
            </w:tcMar>
            <w:vAlign w:val="bottom"/>
          </w:tcPr>
          <w:p w14:paraId="64A8B5CC" w14:textId="77777777" w:rsidR="008D6614" w:rsidRDefault="00866AF2">
            <w:pPr>
              <w:jc w:val="right"/>
              <w:textAlignment w:val="bottom"/>
            </w:pPr>
            <w:r>
              <w:rPr>
                <w:rFonts w:ascii="Arial" w:eastAsia="宋体" w:hAnsi="Arial" w:cs="Arial"/>
                <w:color w:val="000000"/>
                <w:sz w:val="18"/>
                <w:szCs w:val="18"/>
              </w:rPr>
              <w:t> </w:t>
            </w:r>
          </w:p>
        </w:tc>
        <w:tc>
          <w:tcPr>
            <w:tcW w:w="0" w:type="auto"/>
            <w:shd w:val="clear" w:color="auto" w:fill="auto"/>
            <w:vAlign w:val="center"/>
          </w:tcPr>
          <w:p w14:paraId="64A8B5CD" w14:textId="77777777" w:rsidR="008D6614" w:rsidRDefault="008D6614">
            <w:pPr>
              <w:rPr>
                <w:rFonts w:ascii="宋体"/>
              </w:rPr>
            </w:pPr>
          </w:p>
        </w:tc>
        <w:tc>
          <w:tcPr>
            <w:tcW w:w="0" w:type="auto"/>
            <w:shd w:val="clear" w:color="auto" w:fill="auto"/>
            <w:vAlign w:val="center"/>
          </w:tcPr>
          <w:p w14:paraId="64A8B5CE" w14:textId="77777777" w:rsidR="008D6614" w:rsidRDefault="008D6614">
            <w:pPr>
              <w:rPr>
                <w:rFonts w:ascii="宋体"/>
              </w:rPr>
            </w:pPr>
          </w:p>
        </w:tc>
        <w:tc>
          <w:tcPr>
            <w:tcW w:w="0" w:type="auto"/>
            <w:shd w:val="clear" w:color="auto" w:fill="auto"/>
            <w:vAlign w:val="center"/>
          </w:tcPr>
          <w:p w14:paraId="64A8B5CF" w14:textId="77777777" w:rsidR="008D6614" w:rsidRDefault="008D6614">
            <w:pPr>
              <w:rPr>
                <w:rFonts w:ascii="宋体"/>
              </w:rPr>
            </w:pPr>
          </w:p>
        </w:tc>
        <w:tc>
          <w:tcPr>
            <w:tcW w:w="0" w:type="auto"/>
            <w:shd w:val="clear" w:color="auto" w:fill="auto"/>
            <w:vAlign w:val="center"/>
          </w:tcPr>
          <w:p w14:paraId="64A8B5D0" w14:textId="77777777" w:rsidR="008D6614" w:rsidRDefault="008D6614">
            <w:pPr>
              <w:rPr>
                <w:rFonts w:ascii="宋体"/>
              </w:rPr>
            </w:pPr>
          </w:p>
        </w:tc>
        <w:tc>
          <w:tcPr>
            <w:tcW w:w="0" w:type="auto"/>
            <w:shd w:val="clear" w:color="auto" w:fill="auto"/>
            <w:vAlign w:val="center"/>
          </w:tcPr>
          <w:p w14:paraId="64A8B5D1" w14:textId="77777777" w:rsidR="008D6614" w:rsidRDefault="008D6614">
            <w:pPr>
              <w:rPr>
                <w:rFonts w:ascii="宋体"/>
              </w:rPr>
            </w:pPr>
          </w:p>
        </w:tc>
        <w:tc>
          <w:tcPr>
            <w:tcW w:w="0" w:type="auto"/>
            <w:shd w:val="clear" w:color="auto" w:fill="auto"/>
            <w:vAlign w:val="center"/>
          </w:tcPr>
          <w:p w14:paraId="64A8B5D2" w14:textId="77777777" w:rsidR="008D6614" w:rsidRDefault="008D6614">
            <w:pPr>
              <w:rPr>
                <w:rFonts w:ascii="宋体"/>
              </w:rPr>
            </w:pPr>
          </w:p>
        </w:tc>
      </w:tr>
    </w:tbl>
    <w:p w14:paraId="64A8B5D4" w14:textId="77777777" w:rsidR="008D6614" w:rsidRDefault="008D6614">
      <w:pPr>
        <w:ind w:firstLine="540"/>
        <w:jc w:val="both"/>
      </w:pPr>
    </w:p>
    <w:p w14:paraId="64A8B5D5" w14:textId="77777777" w:rsidR="008D6614" w:rsidRDefault="00866AF2">
      <w:pPr>
        <w:ind w:firstLine="540"/>
        <w:jc w:val="both"/>
      </w:pPr>
      <w:r>
        <w:rPr>
          <w:rFonts w:ascii="Arial" w:eastAsia="宋体" w:hAnsi="Arial" w:cs="Arial"/>
          <w:color w:val="000000"/>
          <w:sz w:val="20"/>
          <w:szCs w:val="20"/>
        </w:rPr>
        <w:t xml:space="preserve">Since our risk management programs are highly effective, the potential loss in value described above would be largely </w:t>
      </w:r>
      <w:r>
        <w:rPr>
          <w:rFonts w:ascii="Arial" w:eastAsia="宋体" w:hAnsi="Arial" w:cs="Arial"/>
          <w:color w:val="000000"/>
          <w:sz w:val="20"/>
          <w:szCs w:val="20"/>
        </w:rPr>
        <w:t>offset by changes in the value of the underlying exposure.</w:t>
      </w:r>
    </w:p>
    <w:p w14:paraId="64A8B5D6" w14:textId="77777777" w:rsidR="008D6614" w:rsidRDefault="008D6614">
      <w:pPr>
        <w:ind w:firstLine="540"/>
        <w:jc w:val="both"/>
      </w:pPr>
    </w:p>
    <w:p w14:paraId="64A8B5D7" w14:textId="77777777" w:rsidR="008D6614" w:rsidRDefault="00866AF2">
      <w:pPr>
        <w:ind w:firstLine="540"/>
        <w:jc w:val="both"/>
      </w:pPr>
      <w:r>
        <w:rPr>
          <w:rFonts w:ascii="Arial" w:eastAsia="宋体" w:hAnsi="Arial" w:cs="Arial"/>
          <w:color w:val="000000"/>
          <w:sz w:val="20"/>
          <w:szCs w:val="20"/>
        </w:rPr>
        <w:t xml:space="preserve">We also use foreign exchange contracts to offset the foreign exchange risk on our assets and liabilities denominated in currencies other than the functional currency of our subsidiaries. These contracts reduce, but do not entirely eliminate, the impact of </w:t>
      </w:r>
      <w:r>
        <w:rPr>
          <w:rFonts w:ascii="Arial" w:eastAsia="宋体" w:hAnsi="Arial" w:cs="Arial"/>
          <w:color w:val="000000"/>
          <w:sz w:val="20"/>
          <w:szCs w:val="20"/>
        </w:rPr>
        <w:t xml:space="preserve">currency exchange rate movements on our assets and liabilities. The foreign </w:t>
      </w:r>
    </w:p>
    <w:p w14:paraId="64A8B5D8" w14:textId="77777777" w:rsidR="008D6614" w:rsidRDefault="008D6614">
      <w:pPr>
        <w:jc w:val="center"/>
      </w:pPr>
    </w:p>
    <w:p w14:paraId="64A8B5D9" w14:textId="77777777" w:rsidR="008D6614" w:rsidRDefault="00866AF2">
      <w:pPr>
        <w:jc w:val="center"/>
      </w:pPr>
      <w:r>
        <w:rPr>
          <w:rFonts w:ascii="Arial" w:eastAsia="宋体" w:hAnsi="Arial" w:cs="Arial"/>
          <w:color w:val="000000"/>
          <w:sz w:val="20"/>
          <w:szCs w:val="20"/>
        </w:rPr>
        <w:t>48</w:t>
      </w:r>
    </w:p>
    <w:p w14:paraId="64A8B5DA" w14:textId="77777777" w:rsidR="008D6614" w:rsidRDefault="00866AF2">
      <w:r>
        <w:pict w14:anchorId="64A8BA0D">
          <v:rect id="_x0000_i1072" style="width:415.3pt;height:1.5pt" o:hralign="center" o:hrstd="t" o:hr="t" fillcolor="#a0a0a0" stroked="f"/>
        </w:pict>
      </w:r>
    </w:p>
    <w:p w14:paraId="64A8B5DB" w14:textId="77777777" w:rsidR="008D6614" w:rsidRDefault="008D6614"/>
    <w:p w14:paraId="64A8B5DC" w14:textId="77777777" w:rsidR="008D6614" w:rsidRDefault="00866AF2">
      <w:pPr>
        <w:jc w:val="both"/>
      </w:pPr>
      <w:r>
        <w:rPr>
          <w:rFonts w:ascii="Arial" w:eastAsia="宋体" w:hAnsi="Arial" w:cs="Arial"/>
          <w:color w:val="000000"/>
          <w:sz w:val="20"/>
          <w:szCs w:val="20"/>
        </w:rPr>
        <w:t>currency gains and losses on the assets and liabilities are recorded in interest and other, net, which are offset by the gains and losses on the foreign exchange contracts.</w:t>
      </w:r>
    </w:p>
    <w:p w14:paraId="64A8B5DD" w14:textId="77777777" w:rsidR="008D6614" w:rsidRDefault="008D6614">
      <w:pPr>
        <w:jc w:val="both"/>
      </w:pPr>
    </w:p>
    <w:p w14:paraId="64A8B5DE" w14:textId="77777777" w:rsidR="008D6614" w:rsidRDefault="00866AF2">
      <w:pPr>
        <w:ind w:firstLine="540"/>
        <w:jc w:val="both"/>
      </w:pPr>
      <w:r>
        <w:rPr>
          <w:rFonts w:ascii="Arial" w:eastAsia="宋体" w:hAnsi="Arial" w:cs="Arial"/>
          <w:color w:val="000000"/>
          <w:sz w:val="20"/>
          <w:szCs w:val="20"/>
        </w:rPr>
        <w:t xml:space="preserve">We considered the historical trends in currency exchange rates and determined that it was reasonably possible that adverse changes in exchange rates of 20% for all currencies could be experienced in the near term. These changes would have resulted in an </w:t>
      </w:r>
      <w:r>
        <w:rPr>
          <w:rFonts w:ascii="Arial" w:eastAsia="宋体" w:hAnsi="Arial" w:cs="Arial"/>
          <w:color w:val="000000"/>
          <w:sz w:val="20"/>
          <w:szCs w:val="20"/>
        </w:rPr>
        <w:t>adverse impact on income before income taxes of approximately $21 million as of March 31, 2020 taking into consideration the offsetting effect of foreign exchange forwards in place as of March 31, 2020.</w:t>
      </w:r>
    </w:p>
    <w:p w14:paraId="64A8B5DF" w14:textId="77777777" w:rsidR="008D6614" w:rsidRDefault="008D6614">
      <w:pPr>
        <w:ind w:firstLine="540"/>
        <w:jc w:val="both"/>
      </w:pPr>
    </w:p>
    <w:p w14:paraId="64A8B5E0" w14:textId="77777777" w:rsidR="008D6614" w:rsidRDefault="00866AF2">
      <w:pPr>
        <w:ind w:hanging="1080"/>
      </w:pPr>
      <w:r>
        <w:rPr>
          <w:rFonts w:ascii="Arial" w:eastAsia="宋体" w:hAnsi="Arial" w:cs="Arial"/>
          <w:b/>
          <w:bCs/>
          <w:color w:val="000000"/>
          <w:sz w:val="20"/>
          <w:szCs w:val="20"/>
        </w:rPr>
        <w:t>Item 4: Controls and Procedures</w:t>
      </w:r>
    </w:p>
    <w:p w14:paraId="64A8B5E1" w14:textId="77777777" w:rsidR="008D6614" w:rsidRDefault="008D6614">
      <w:pPr>
        <w:ind w:hanging="1080"/>
      </w:pPr>
    </w:p>
    <w:p w14:paraId="64A8B5E2" w14:textId="77777777" w:rsidR="008D6614" w:rsidRDefault="00866AF2">
      <w:pPr>
        <w:ind w:firstLine="540"/>
        <w:jc w:val="both"/>
      </w:pPr>
      <w:r>
        <w:rPr>
          <w:rFonts w:ascii="Arial" w:eastAsia="宋体" w:hAnsi="Arial" w:cs="Arial"/>
          <w:color w:val="000000"/>
          <w:sz w:val="20"/>
          <w:szCs w:val="20"/>
        </w:rPr>
        <w:t>(a) </w:t>
      </w:r>
      <w:r>
        <w:rPr>
          <w:rFonts w:ascii="Arial" w:eastAsia="宋体" w:hAnsi="Arial" w:cs="Arial"/>
          <w:i/>
          <w:iCs/>
          <w:color w:val="000000"/>
          <w:sz w:val="20"/>
          <w:szCs w:val="20"/>
        </w:rPr>
        <w:t>Evaluation of d</w:t>
      </w:r>
      <w:r>
        <w:rPr>
          <w:rFonts w:ascii="Arial" w:eastAsia="宋体" w:hAnsi="Arial" w:cs="Arial"/>
          <w:i/>
          <w:iCs/>
          <w:color w:val="000000"/>
          <w:sz w:val="20"/>
          <w:szCs w:val="20"/>
        </w:rPr>
        <w:t>isclosure controls and procedures.</w:t>
      </w:r>
      <w:r>
        <w:rPr>
          <w:rFonts w:ascii="Arial" w:eastAsia="宋体" w:hAnsi="Arial" w:cs="Arial"/>
          <w:color w:val="000000"/>
          <w:sz w:val="20"/>
          <w:szCs w:val="20"/>
        </w:rPr>
        <w:t> Based on the evaluation of our disclosure controls and procedures (as defined in Rules 13a-15(e) and 15d-15(e) under the Securities Exchange Act of 1934, as amended, or the Exchange Act) required by Exchange Act Rules 13a</w:t>
      </w:r>
      <w:r>
        <w:rPr>
          <w:rFonts w:ascii="Arial" w:eastAsia="宋体" w:hAnsi="Arial" w:cs="Arial"/>
          <w:color w:val="000000"/>
          <w:sz w:val="20"/>
          <w:szCs w:val="20"/>
        </w:rPr>
        <w:t>-15(b) or 15d-15(b), our principal executive officer and our principal financial officer have concluded that our disclosure controls and procedures were effective as of March 31, 2020.</w:t>
      </w:r>
    </w:p>
    <w:p w14:paraId="64A8B5E3" w14:textId="77777777" w:rsidR="008D6614" w:rsidRDefault="008D6614">
      <w:pPr>
        <w:ind w:firstLine="495"/>
        <w:jc w:val="both"/>
      </w:pPr>
    </w:p>
    <w:p w14:paraId="64A8B5E4" w14:textId="77777777" w:rsidR="008D6614" w:rsidRDefault="00866AF2">
      <w:pPr>
        <w:ind w:firstLine="540"/>
        <w:jc w:val="both"/>
      </w:pPr>
      <w:r>
        <w:rPr>
          <w:rFonts w:ascii="Arial" w:eastAsia="宋体" w:hAnsi="Arial" w:cs="Arial"/>
          <w:color w:val="000000"/>
          <w:sz w:val="20"/>
          <w:szCs w:val="20"/>
        </w:rPr>
        <w:t>(b) </w:t>
      </w:r>
      <w:r>
        <w:rPr>
          <w:rFonts w:ascii="Arial" w:eastAsia="宋体" w:hAnsi="Arial" w:cs="Arial"/>
          <w:i/>
          <w:iCs/>
          <w:color w:val="000000"/>
          <w:sz w:val="20"/>
          <w:szCs w:val="20"/>
        </w:rPr>
        <w:t>Changes in internal controls.</w:t>
      </w:r>
      <w:r>
        <w:rPr>
          <w:rFonts w:ascii="Arial" w:eastAsia="宋体" w:hAnsi="Arial" w:cs="Arial"/>
          <w:color w:val="000000"/>
          <w:sz w:val="20"/>
          <w:szCs w:val="20"/>
        </w:rPr>
        <w:t> There were no changes in our interna</w:t>
      </w:r>
      <w:r>
        <w:rPr>
          <w:rFonts w:ascii="Arial" w:eastAsia="宋体" w:hAnsi="Arial" w:cs="Arial"/>
          <w:color w:val="000000"/>
          <w:sz w:val="20"/>
          <w:szCs w:val="20"/>
        </w:rPr>
        <w:t xml:space="preserve">l control over financial reporting as defined in Exchange Act Rules 13a-15(f) that occurred during our most recently completed fiscal quarter that have materially affected, or are reasonably likely to materially affect, our internal control over financial </w:t>
      </w:r>
      <w:r>
        <w:rPr>
          <w:rFonts w:ascii="Arial" w:eastAsia="宋体" w:hAnsi="Arial" w:cs="Arial"/>
          <w:color w:val="000000"/>
          <w:sz w:val="20"/>
          <w:szCs w:val="20"/>
        </w:rPr>
        <w:t xml:space="preserve">reporting. </w:t>
      </w:r>
    </w:p>
    <w:p w14:paraId="64A8B5E5" w14:textId="77777777" w:rsidR="008D6614" w:rsidRDefault="008D6614">
      <w:pPr>
        <w:ind w:firstLine="540"/>
        <w:jc w:val="both"/>
      </w:pPr>
    </w:p>
    <w:p w14:paraId="64A8B5E6" w14:textId="77777777" w:rsidR="008D6614" w:rsidRDefault="008D6614">
      <w:pPr>
        <w:ind w:firstLine="540"/>
        <w:jc w:val="both"/>
      </w:pPr>
    </w:p>
    <w:p w14:paraId="64A8B5E7" w14:textId="77777777" w:rsidR="008D6614" w:rsidRDefault="008D6614">
      <w:pPr>
        <w:jc w:val="center"/>
      </w:pPr>
    </w:p>
    <w:p w14:paraId="64A8B5E8" w14:textId="77777777" w:rsidR="008D6614" w:rsidRDefault="00866AF2">
      <w:pPr>
        <w:jc w:val="center"/>
      </w:pPr>
      <w:r>
        <w:rPr>
          <w:rFonts w:ascii="Arial" w:eastAsia="宋体" w:hAnsi="Arial" w:cs="Arial"/>
          <w:color w:val="000000"/>
          <w:sz w:val="20"/>
          <w:szCs w:val="20"/>
        </w:rPr>
        <w:t>49</w:t>
      </w:r>
    </w:p>
    <w:p w14:paraId="64A8B5E9" w14:textId="77777777" w:rsidR="008D6614" w:rsidRDefault="00866AF2">
      <w:r>
        <w:pict w14:anchorId="64A8BA0E">
          <v:rect id="_x0000_i1073" style="width:415.3pt;height:1.5pt" o:hralign="center" o:hrstd="t" o:hr="t" fillcolor="#a0a0a0" stroked="f"/>
        </w:pict>
      </w:r>
    </w:p>
    <w:p w14:paraId="64A8B5EA" w14:textId="77777777" w:rsidR="008D6614" w:rsidRDefault="008D6614"/>
    <w:p w14:paraId="64A8B5EB" w14:textId="77777777" w:rsidR="008D6614" w:rsidRDefault="008D6614">
      <w:pPr>
        <w:jc w:val="center"/>
      </w:pPr>
    </w:p>
    <w:p w14:paraId="64A8B5EC" w14:textId="77777777" w:rsidR="008D6614" w:rsidRDefault="00866AF2">
      <w:pPr>
        <w:jc w:val="center"/>
      </w:pPr>
      <w:r>
        <w:rPr>
          <w:rFonts w:ascii="Arial" w:eastAsia="宋体" w:hAnsi="Arial" w:cs="Arial"/>
          <w:b/>
          <w:bCs/>
          <w:color w:val="000000"/>
          <w:sz w:val="20"/>
          <w:szCs w:val="20"/>
        </w:rPr>
        <w:t>PART II: OTHER INFORMATION</w:t>
      </w:r>
    </w:p>
    <w:p w14:paraId="64A8B5ED" w14:textId="77777777" w:rsidR="008D6614" w:rsidRDefault="008D6614">
      <w:pPr>
        <w:jc w:val="center"/>
      </w:pPr>
    </w:p>
    <w:p w14:paraId="64A8B5EE" w14:textId="77777777" w:rsidR="008D6614" w:rsidRDefault="00866AF2">
      <w:pPr>
        <w:ind w:hanging="1080"/>
      </w:pPr>
      <w:r>
        <w:rPr>
          <w:rFonts w:ascii="Arial" w:eastAsia="宋体" w:hAnsi="Arial" w:cs="Arial"/>
          <w:b/>
          <w:bCs/>
          <w:color w:val="000000"/>
          <w:sz w:val="20"/>
          <w:szCs w:val="20"/>
        </w:rPr>
        <w:t>Item 1: Legal Proceedings</w:t>
      </w:r>
    </w:p>
    <w:p w14:paraId="64A8B5EF" w14:textId="77777777" w:rsidR="008D6614" w:rsidRDefault="008D6614">
      <w:pPr>
        <w:ind w:hanging="1080"/>
      </w:pPr>
    </w:p>
    <w:p w14:paraId="64A8B5F0" w14:textId="77777777" w:rsidR="008D6614" w:rsidRDefault="00866AF2">
      <w:pPr>
        <w:ind w:firstLine="450"/>
        <w:jc w:val="both"/>
      </w:pPr>
      <w:r>
        <w:rPr>
          <w:rFonts w:ascii="Arial" w:eastAsia="宋体" w:hAnsi="Arial" w:cs="Arial"/>
          <w:color w:val="000000"/>
          <w:sz w:val="20"/>
          <w:szCs w:val="20"/>
        </w:rPr>
        <w:t xml:space="preserve">The information set forth under “Note 12 – Commitments and Contingencies – Litigation and Other Legal Matters” to the condensed consolidated financial statements included in </w:t>
      </w:r>
      <w:r>
        <w:rPr>
          <w:rFonts w:ascii="Arial" w:eastAsia="宋体" w:hAnsi="Arial" w:cs="Arial"/>
          <w:color w:val="000000"/>
          <w:sz w:val="20"/>
          <w:szCs w:val="20"/>
        </w:rPr>
        <w:t>Part I, Item 1 of this Quarterly Report on Form 10-Q is incorporated herein by reference.</w:t>
      </w:r>
    </w:p>
    <w:p w14:paraId="64A8B5F1" w14:textId="77777777" w:rsidR="008D6614" w:rsidRDefault="008D6614"/>
    <w:p w14:paraId="64A8B5F2" w14:textId="77777777" w:rsidR="008D6614" w:rsidRDefault="00866AF2">
      <w:pPr>
        <w:ind w:hanging="1080"/>
      </w:pPr>
      <w:r>
        <w:rPr>
          <w:rFonts w:ascii="Arial" w:eastAsia="宋体" w:hAnsi="Arial" w:cs="Arial"/>
          <w:b/>
          <w:bCs/>
          <w:color w:val="000000"/>
          <w:sz w:val="20"/>
          <w:szCs w:val="20"/>
        </w:rPr>
        <w:t>Item 1A:</w:t>
      </w:r>
      <w:r>
        <w:rPr>
          <w:rFonts w:ascii="Arial" w:eastAsia="宋体" w:hAnsi="Arial" w:cs="Arial"/>
          <w:color w:val="000000"/>
          <w:sz w:val="20"/>
          <w:szCs w:val="20"/>
        </w:rPr>
        <w:t> </w:t>
      </w:r>
      <w:r>
        <w:rPr>
          <w:rFonts w:ascii="Arial" w:eastAsia="宋体" w:hAnsi="Arial" w:cs="Arial"/>
          <w:b/>
          <w:bCs/>
          <w:color w:val="000000"/>
          <w:sz w:val="20"/>
          <w:szCs w:val="20"/>
        </w:rPr>
        <w:t xml:space="preserve">Risk Factors </w:t>
      </w:r>
    </w:p>
    <w:p w14:paraId="64A8B5F3" w14:textId="77777777" w:rsidR="008D6614" w:rsidRDefault="008D6614">
      <w:pPr>
        <w:ind w:hanging="1080"/>
        <w:jc w:val="both"/>
      </w:pPr>
    </w:p>
    <w:p w14:paraId="64A8B5F4" w14:textId="77777777" w:rsidR="008D6614" w:rsidRDefault="00866AF2">
      <w:pPr>
        <w:ind w:firstLine="450"/>
        <w:jc w:val="both"/>
      </w:pPr>
      <w:r>
        <w:rPr>
          <w:rFonts w:ascii="Arial" w:eastAsia="宋体" w:hAnsi="Arial" w:cs="Arial"/>
          <w:color w:val="000000"/>
          <w:sz w:val="20"/>
          <w:szCs w:val="20"/>
        </w:rPr>
        <w:t xml:space="preserve">You should carefully review the following discussion of the risks that may affect our business, results of operations and financial </w:t>
      </w:r>
      <w:r>
        <w:rPr>
          <w:rFonts w:ascii="Arial" w:eastAsia="宋体" w:hAnsi="Arial" w:cs="Arial"/>
          <w:color w:val="000000"/>
          <w:sz w:val="20"/>
          <w:szCs w:val="20"/>
        </w:rPr>
        <w:t xml:space="preserve">condition, as well as our condensed consolidated financial statements and notes thereto and the other information appearing in this report, for important information regarding risks that affect us. Current global economic events and conditions may amplify </w:t>
      </w:r>
      <w:r>
        <w:rPr>
          <w:rFonts w:ascii="Arial" w:eastAsia="宋体" w:hAnsi="Arial" w:cs="Arial"/>
          <w:color w:val="000000"/>
          <w:sz w:val="20"/>
          <w:szCs w:val="20"/>
        </w:rPr>
        <w:t>many of these risks. These risks are not the only risks that may affect us. Additional risks that we are not aware of or do not believe are material at the time of this filing may also become important factors that adversely affect our business.</w:t>
      </w:r>
    </w:p>
    <w:p w14:paraId="64A8B5F5" w14:textId="77777777" w:rsidR="008D6614" w:rsidRDefault="008D6614">
      <w:pPr>
        <w:jc w:val="both"/>
      </w:pPr>
    </w:p>
    <w:p w14:paraId="64A8B5F6" w14:textId="77777777" w:rsidR="008D6614" w:rsidRDefault="00866AF2">
      <w:r>
        <w:rPr>
          <w:rFonts w:ascii="Arial" w:eastAsia="宋体" w:hAnsi="Arial" w:cs="Arial"/>
          <w:b/>
          <w:bCs/>
          <w:i/>
          <w:iCs/>
          <w:color w:val="000000"/>
          <w:sz w:val="20"/>
          <w:szCs w:val="20"/>
        </w:rPr>
        <w:t>Risk Fact</w:t>
      </w:r>
      <w:r>
        <w:rPr>
          <w:rFonts w:ascii="Arial" w:eastAsia="宋体" w:hAnsi="Arial" w:cs="Arial"/>
          <w:b/>
          <w:bCs/>
          <w:i/>
          <w:iCs/>
          <w:color w:val="000000"/>
          <w:sz w:val="20"/>
          <w:szCs w:val="20"/>
        </w:rPr>
        <w:t xml:space="preserve">ors That May Affect our Business, Results of Operations and Financial Condition </w:t>
      </w:r>
    </w:p>
    <w:p w14:paraId="64A8B5F7" w14:textId="77777777" w:rsidR="008D6614" w:rsidRDefault="008D6614">
      <w:pPr>
        <w:ind w:firstLine="450"/>
        <w:jc w:val="both"/>
      </w:pPr>
    </w:p>
    <w:p w14:paraId="64A8B5F8" w14:textId="77777777" w:rsidR="008D6614" w:rsidRDefault="00866AF2">
      <w:pPr>
        <w:ind w:firstLine="450"/>
        <w:jc w:val="both"/>
      </w:pPr>
      <w:r>
        <w:rPr>
          <w:rFonts w:ascii="Arial" w:eastAsia="宋体" w:hAnsi="Arial" w:cs="Arial"/>
          <w:i/>
          <w:iCs/>
          <w:color w:val="000000"/>
          <w:sz w:val="20"/>
          <w:szCs w:val="20"/>
        </w:rPr>
        <w:t>Our operating and financial results are subject to various risks and uncertainties that could adversely affect our business, financial condition, results of operations and ca</w:t>
      </w:r>
      <w:r>
        <w:rPr>
          <w:rFonts w:ascii="Arial" w:eastAsia="宋体" w:hAnsi="Arial" w:cs="Arial"/>
          <w:i/>
          <w:iCs/>
          <w:color w:val="000000"/>
          <w:sz w:val="20"/>
          <w:szCs w:val="20"/>
        </w:rPr>
        <w:t xml:space="preserve">sh flows, as well as the trading price of our common stock and debt securities. </w:t>
      </w:r>
    </w:p>
    <w:p w14:paraId="64A8B5F9" w14:textId="77777777" w:rsidR="008D6614" w:rsidRDefault="008D6614">
      <w:pPr>
        <w:ind w:firstLine="450"/>
        <w:jc w:val="both"/>
      </w:pPr>
    </w:p>
    <w:p w14:paraId="64A8B5FA" w14:textId="77777777" w:rsidR="008D6614" w:rsidRDefault="00866AF2">
      <w:pPr>
        <w:ind w:firstLine="450"/>
        <w:jc w:val="both"/>
      </w:pPr>
      <w:r>
        <w:rPr>
          <w:rFonts w:ascii="Arial" w:eastAsia="宋体" w:hAnsi="Arial" w:cs="Arial"/>
          <w:color w:val="000000"/>
          <w:sz w:val="20"/>
          <w:szCs w:val="20"/>
        </w:rPr>
        <w:t>Our operating and financial results have varied on a quarterly basis during our operating history and may continue to fluctuate significantly as a result of a variety of fact</w:t>
      </w:r>
      <w:r>
        <w:rPr>
          <w:rFonts w:ascii="Arial" w:eastAsia="宋体" w:hAnsi="Arial" w:cs="Arial"/>
          <w:color w:val="000000"/>
          <w:sz w:val="20"/>
          <w:szCs w:val="20"/>
        </w:rPr>
        <w:t>ors, including as a result of the risks set forth in this “Risk Factors” section. It is difficult for us to forecast the level or source of our revenues or earnings (loss) accurately. In view of the rapidly evolving nature of our business, period-to-period</w:t>
      </w:r>
      <w:r>
        <w:rPr>
          <w:rFonts w:ascii="Arial" w:eastAsia="宋体" w:hAnsi="Arial" w:cs="Arial"/>
          <w:color w:val="000000"/>
          <w:sz w:val="20"/>
          <w:szCs w:val="20"/>
        </w:rPr>
        <w:t xml:space="preserve"> comparisons of our operating results may not be meaningful, and you should not rely upon them as an indication of future performance. We do not have backlog, and substantially all of our net revenues each quarter come from transactions involving sales dur</w:t>
      </w:r>
      <w:r>
        <w:rPr>
          <w:rFonts w:ascii="Arial" w:eastAsia="宋体" w:hAnsi="Arial" w:cs="Arial"/>
          <w:color w:val="000000"/>
          <w:sz w:val="20"/>
          <w:szCs w:val="20"/>
        </w:rPr>
        <w:t>ing that quarter. Due to the inherent difficulty in forecasting revenues, it is also difficult to forecast expenses as a percentage of net revenues. Quarterly and annual expenses as a percentage of net revenues reflected in our condensed consolidated finan</w:t>
      </w:r>
      <w:r>
        <w:rPr>
          <w:rFonts w:ascii="Arial" w:eastAsia="宋体" w:hAnsi="Arial" w:cs="Arial"/>
          <w:color w:val="000000"/>
          <w:sz w:val="20"/>
          <w:szCs w:val="20"/>
        </w:rPr>
        <w:t>cial statements may be significantly different from historical or projected percentages. Our operating results in one or more future quarters may fall below the expectations of securities analysts and investors. The trading price of our common stock and de</w:t>
      </w:r>
      <w:r>
        <w:rPr>
          <w:rFonts w:ascii="Arial" w:eastAsia="宋体" w:hAnsi="Arial" w:cs="Arial"/>
          <w:color w:val="000000"/>
          <w:sz w:val="20"/>
          <w:szCs w:val="20"/>
        </w:rPr>
        <w:t>bt securities could decline, perhaps substantially, as a result of the factors described in this paragraph and the other risks set forth in this “Risk Factors” section.</w:t>
      </w:r>
    </w:p>
    <w:p w14:paraId="64A8B5FB" w14:textId="77777777" w:rsidR="008D6614" w:rsidRDefault="008D6614">
      <w:pPr>
        <w:ind w:firstLine="450"/>
        <w:jc w:val="both"/>
      </w:pPr>
    </w:p>
    <w:p w14:paraId="64A8B5FC" w14:textId="77777777" w:rsidR="008D6614" w:rsidRDefault="00866AF2">
      <w:pPr>
        <w:ind w:firstLine="450"/>
        <w:jc w:val="both"/>
      </w:pPr>
      <w:r>
        <w:rPr>
          <w:rFonts w:ascii="Arial" w:eastAsia="宋体" w:hAnsi="Arial" w:cs="Arial"/>
          <w:i/>
          <w:iCs/>
          <w:color w:val="000000"/>
          <w:sz w:val="20"/>
          <w:szCs w:val="20"/>
        </w:rPr>
        <w:t>Substantial and increasingly intense competition worldwide in ecommerce may harm our b</w:t>
      </w:r>
      <w:r>
        <w:rPr>
          <w:rFonts w:ascii="Arial" w:eastAsia="宋体" w:hAnsi="Arial" w:cs="Arial"/>
          <w:i/>
          <w:iCs/>
          <w:color w:val="000000"/>
          <w:sz w:val="20"/>
          <w:szCs w:val="20"/>
        </w:rPr>
        <w:t>usiness.</w:t>
      </w:r>
    </w:p>
    <w:p w14:paraId="64A8B5FD" w14:textId="77777777" w:rsidR="008D6614" w:rsidRDefault="008D6614">
      <w:pPr>
        <w:ind w:firstLine="450"/>
        <w:jc w:val="both"/>
      </w:pPr>
    </w:p>
    <w:p w14:paraId="64A8B5FE" w14:textId="77777777" w:rsidR="008D6614" w:rsidRDefault="00866AF2">
      <w:pPr>
        <w:ind w:firstLine="450"/>
        <w:jc w:val="both"/>
      </w:pPr>
      <w:r>
        <w:rPr>
          <w:rFonts w:ascii="Arial" w:eastAsia="宋体" w:hAnsi="Arial" w:cs="Arial"/>
          <w:color w:val="000000"/>
          <w:sz w:val="20"/>
          <w:szCs w:val="20"/>
        </w:rPr>
        <w:t>The businesses and markets in which we operate are intensely competitive. We currently and potentially compete with a wide variety of online and offline companies providing goods and services to consumers and merchants. The Internet and mobile ne</w:t>
      </w:r>
      <w:r>
        <w:rPr>
          <w:rFonts w:ascii="Arial" w:eastAsia="宋体" w:hAnsi="Arial" w:cs="Arial"/>
          <w:color w:val="000000"/>
          <w:sz w:val="20"/>
          <w:szCs w:val="20"/>
        </w:rPr>
        <w:t>tworks provide new, rapidly evolving and intensely competitive channels for the sale of all types of goods and services. We compete in two-sided markets, and must attract both buyers and sellers to use our platforms. Consumers who purchase or sell goods an</w:t>
      </w:r>
      <w:r>
        <w:rPr>
          <w:rFonts w:ascii="Arial" w:eastAsia="宋体" w:hAnsi="Arial" w:cs="Arial"/>
          <w:color w:val="000000"/>
          <w:sz w:val="20"/>
          <w:szCs w:val="20"/>
        </w:rPr>
        <w:t>d services through us have more and more alternatives, and merchants have more channels to reach consumers. We expect competition to continue to intensify. Online and offline businesses increasingly are competing with each other and our competitors include</w:t>
      </w:r>
      <w:r>
        <w:rPr>
          <w:rFonts w:ascii="Arial" w:eastAsia="宋体" w:hAnsi="Arial" w:cs="Arial"/>
          <w:color w:val="000000"/>
          <w:sz w:val="20"/>
          <w:szCs w:val="20"/>
        </w:rPr>
        <w:t xml:space="preserve"> a number of online and offline retailers with significant resources, large user communities and well-established brands. Moreover, the barriers to entry into these channels can be low, and businesses easily can launch online sites or mobile platforms and </w:t>
      </w:r>
      <w:r>
        <w:rPr>
          <w:rFonts w:ascii="Arial" w:eastAsia="宋体" w:hAnsi="Arial" w:cs="Arial"/>
          <w:color w:val="000000"/>
          <w:sz w:val="20"/>
          <w:szCs w:val="20"/>
        </w:rPr>
        <w:t>applications at nominal cost by using commercially available software or partnering with any of a number of successful ecommerce companies. As we respond to changes in the competitive environment, we may, from time to time, make pricing, service or marketi</w:t>
      </w:r>
      <w:r>
        <w:rPr>
          <w:rFonts w:ascii="Arial" w:eastAsia="宋体" w:hAnsi="Arial" w:cs="Arial"/>
          <w:color w:val="000000"/>
          <w:sz w:val="20"/>
          <w:szCs w:val="20"/>
        </w:rPr>
        <w:t>ng decisions or acquisitions that may be controversial with and lead to dissatisfaction among sellers, which could reduce activity on our platform and harm our profitability.</w:t>
      </w:r>
    </w:p>
    <w:p w14:paraId="64A8B5FF" w14:textId="77777777" w:rsidR="008D6614" w:rsidRDefault="008D6614">
      <w:pPr>
        <w:ind w:firstLine="450"/>
        <w:jc w:val="both"/>
      </w:pPr>
    </w:p>
    <w:p w14:paraId="64A8B600" w14:textId="77777777" w:rsidR="008D6614" w:rsidRDefault="008D6614">
      <w:pPr>
        <w:jc w:val="center"/>
      </w:pPr>
    </w:p>
    <w:p w14:paraId="64A8B601" w14:textId="77777777" w:rsidR="008D6614" w:rsidRDefault="00866AF2">
      <w:pPr>
        <w:jc w:val="center"/>
      </w:pPr>
      <w:r>
        <w:rPr>
          <w:rFonts w:ascii="Arial" w:eastAsia="宋体" w:hAnsi="Arial" w:cs="Arial"/>
          <w:color w:val="000000"/>
          <w:sz w:val="20"/>
          <w:szCs w:val="20"/>
        </w:rPr>
        <w:t>50</w:t>
      </w:r>
    </w:p>
    <w:p w14:paraId="64A8B602" w14:textId="77777777" w:rsidR="008D6614" w:rsidRDefault="00866AF2">
      <w:r>
        <w:pict w14:anchorId="64A8BA0F">
          <v:rect id="_x0000_i1074" style="width:415.3pt;height:1.5pt" o:hralign="center" o:hrstd="t" o:hr="t" fillcolor="#a0a0a0" stroked="f"/>
        </w:pict>
      </w:r>
    </w:p>
    <w:p w14:paraId="64A8B603" w14:textId="77777777" w:rsidR="008D6614" w:rsidRDefault="008D6614"/>
    <w:p w14:paraId="64A8B604" w14:textId="77777777" w:rsidR="008D6614" w:rsidRDefault="00866AF2">
      <w:pPr>
        <w:ind w:firstLine="450"/>
        <w:jc w:val="both"/>
      </w:pPr>
      <w:r>
        <w:rPr>
          <w:rFonts w:ascii="Arial" w:eastAsia="宋体" w:hAnsi="Arial" w:cs="Arial"/>
          <w:color w:val="000000"/>
          <w:sz w:val="20"/>
          <w:szCs w:val="20"/>
        </w:rPr>
        <w:t>We face increased competitive pressure online and offline. In particular,</w:t>
      </w:r>
      <w:r>
        <w:rPr>
          <w:rFonts w:ascii="Arial" w:eastAsia="宋体" w:hAnsi="Arial" w:cs="Arial"/>
          <w:color w:val="000000"/>
          <w:sz w:val="20"/>
          <w:szCs w:val="20"/>
        </w:rPr>
        <w:t xml:space="preserve"> the competitive norm for, and the expected level of service from, ecommerce and mobile commerce has significantly increased due to, among other factors, improved user experience, greater ease of buying goods, lower (or no) shipping costs, faster shipping </w:t>
      </w:r>
      <w:r>
        <w:rPr>
          <w:rFonts w:ascii="Arial" w:eastAsia="宋体" w:hAnsi="Arial" w:cs="Arial"/>
          <w:color w:val="000000"/>
          <w:sz w:val="20"/>
          <w:szCs w:val="20"/>
        </w:rPr>
        <w:t>times and more favorable return policies. In addition, certain platform businesses, such as Alibaba, Amazon, Apple, Facebook and Google, many of whom are larger than us or have greater capitalization, have a dominant and secure position in other industries</w:t>
      </w:r>
      <w:r>
        <w:rPr>
          <w:rFonts w:ascii="Arial" w:eastAsia="宋体" w:hAnsi="Arial" w:cs="Arial"/>
          <w:color w:val="000000"/>
          <w:sz w:val="20"/>
          <w:szCs w:val="20"/>
        </w:rPr>
        <w:t xml:space="preserve"> or certain significant markets, and offer other goods and services to consumers and merchants that we do not offer. If we are unable to change our products, offerings and services in ways that reflect the changing demands of ecommerce and mobile commerce </w:t>
      </w:r>
      <w:r>
        <w:rPr>
          <w:rFonts w:ascii="Arial" w:eastAsia="宋体" w:hAnsi="Arial" w:cs="Arial"/>
          <w:color w:val="000000"/>
          <w:sz w:val="20"/>
          <w:szCs w:val="20"/>
        </w:rPr>
        <w:t>marketplaces, particularly the higher growth of sales of fixed-price items and higher expected service levels (some of which depend on services provided by sellers on our platforms), or compete effectively with and adapt to changes in larger platform busin</w:t>
      </w:r>
      <w:r>
        <w:rPr>
          <w:rFonts w:ascii="Arial" w:eastAsia="宋体" w:hAnsi="Arial" w:cs="Arial"/>
          <w:color w:val="000000"/>
          <w:sz w:val="20"/>
          <w:szCs w:val="20"/>
        </w:rPr>
        <w:t>esses, our business will suffer.</w:t>
      </w:r>
    </w:p>
    <w:p w14:paraId="64A8B605" w14:textId="77777777" w:rsidR="008D6614" w:rsidRDefault="008D6614">
      <w:pPr>
        <w:ind w:firstLine="450"/>
        <w:jc w:val="both"/>
      </w:pPr>
    </w:p>
    <w:p w14:paraId="64A8B606" w14:textId="77777777" w:rsidR="008D6614" w:rsidRDefault="00866AF2">
      <w:pPr>
        <w:ind w:firstLine="450"/>
        <w:jc w:val="both"/>
      </w:pPr>
      <w:r>
        <w:rPr>
          <w:rFonts w:ascii="Arial" w:eastAsia="宋体" w:hAnsi="Arial" w:cs="Arial"/>
          <w:color w:val="000000"/>
          <w:sz w:val="20"/>
          <w:szCs w:val="20"/>
        </w:rPr>
        <w:t>Competitors with other revenue sources may also be able to devote more resources to marketing and promotional campaigns, adopt more aggressive pricing policies and devote more resources to website, mobile platforms and app</w:t>
      </w:r>
      <w:r>
        <w:rPr>
          <w:rFonts w:ascii="Arial" w:eastAsia="宋体" w:hAnsi="Arial" w:cs="Arial"/>
          <w:color w:val="000000"/>
          <w:sz w:val="20"/>
          <w:szCs w:val="20"/>
        </w:rPr>
        <w:t>lications and systems development than we can. Other competitors may offer or continue to offer faster and/or free shipping, delivery on Sunday, same-day delivery, favorable return policies or other transaction-related services which improve the user exper</w:t>
      </w:r>
      <w:r>
        <w:rPr>
          <w:rFonts w:ascii="Arial" w:eastAsia="宋体" w:hAnsi="Arial" w:cs="Arial"/>
          <w:color w:val="000000"/>
          <w:sz w:val="20"/>
          <w:szCs w:val="20"/>
        </w:rPr>
        <w:t xml:space="preserve">ience on their sites and which could be impractical or inefficient for our sellers to match. Competitors may be able to innovate faster and more efficiently, and new technologies may increase the competitive pressures by enabling competitors to offer more </w:t>
      </w:r>
      <w:r>
        <w:rPr>
          <w:rFonts w:ascii="Arial" w:eastAsia="宋体" w:hAnsi="Arial" w:cs="Arial"/>
          <w:color w:val="000000"/>
          <w:sz w:val="20"/>
          <w:szCs w:val="20"/>
        </w:rPr>
        <w:t>efficient or lower-cost services.</w:t>
      </w:r>
    </w:p>
    <w:p w14:paraId="64A8B607" w14:textId="77777777" w:rsidR="008D6614" w:rsidRDefault="008D6614">
      <w:pPr>
        <w:ind w:firstLine="450"/>
        <w:jc w:val="both"/>
      </w:pPr>
    </w:p>
    <w:p w14:paraId="64A8B608" w14:textId="77777777" w:rsidR="008D6614" w:rsidRDefault="00866AF2">
      <w:pPr>
        <w:ind w:firstLine="450"/>
        <w:jc w:val="both"/>
      </w:pPr>
      <w:r>
        <w:rPr>
          <w:rFonts w:ascii="Arial" w:eastAsia="宋体" w:hAnsi="Arial" w:cs="Arial"/>
          <w:color w:val="000000"/>
          <w:sz w:val="20"/>
          <w:szCs w:val="20"/>
        </w:rPr>
        <w:t>Some of our competitors control other products and services that are important to our success, including credit card interchange, Internet search, and mobile operating systems. Such competitors could manipulate pricing, a</w:t>
      </w:r>
      <w:r>
        <w:rPr>
          <w:rFonts w:ascii="Arial" w:eastAsia="宋体" w:hAnsi="Arial" w:cs="Arial"/>
          <w:color w:val="000000"/>
          <w:sz w:val="20"/>
          <w:szCs w:val="20"/>
        </w:rPr>
        <w:t>vailability, terms or operation of service related to their products and services in a manner that impacts our competitive offerings. For example, Google, which operates a shopping platform service, has from time to time made changes to its search algorith</w:t>
      </w:r>
      <w:r>
        <w:rPr>
          <w:rFonts w:ascii="Arial" w:eastAsia="宋体" w:hAnsi="Arial" w:cs="Arial"/>
          <w:color w:val="000000"/>
          <w:sz w:val="20"/>
          <w:szCs w:val="20"/>
        </w:rPr>
        <w:t>ms that reduced the amount of search traffic directed to us from searches on Google. If we are unable to use or adapt to operational changes in such services, we may face higher costs for such services, face integration or technological barriers or lose cu</w:t>
      </w:r>
      <w:r>
        <w:rPr>
          <w:rFonts w:ascii="Arial" w:eastAsia="宋体" w:hAnsi="Arial" w:cs="Arial"/>
          <w:color w:val="000000"/>
          <w:sz w:val="20"/>
          <w:szCs w:val="20"/>
        </w:rPr>
        <w:t xml:space="preserve">stomers, which could cause our business to suffer. </w:t>
      </w:r>
    </w:p>
    <w:p w14:paraId="64A8B609" w14:textId="77777777" w:rsidR="008D6614" w:rsidRDefault="008D6614">
      <w:pPr>
        <w:ind w:firstLine="450"/>
        <w:jc w:val="both"/>
      </w:pPr>
    </w:p>
    <w:p w14:paraId="64A8B60A" w14:textId="77777777" w:rsidR="008D6614" w:rsidRDefault="00866AF2">
      <w:pPr>
        <w:ind w:firstLine="450"/>
        <w:jc w:val="both"/>
      </w:pPr>
      <w:r>
        <w:rPr>
          <w:rFonts w:ascii="Arial" w:eastAsia="宋体" w:hAnsi="Arial" w:cs="Arial"/>
          <w:color w:val="000000"/>
          <w:sz w:val="20"/>
          <w:szCs w:val="20"/>
        </w:rPr>
        <w:t xml:space="preserve">Consumers who might use our sites to buy goods have a wide variety of alternatives, including traditional department, warehouse, boutique, discount and general merchandise stores (as well as the </w:t>
      </w:r>
      <w:r>
        <w:rPr>
          <w:rFonts w:ascii="Arial" w:eastAsia="宋体" w:hAnsi="Arial" w:cs="Arial"/>
          <w:color w:val="000000"/>
          <w:sz w:val="20"/>
          <w:szCs w:val="20"/>
        </w:rPr>
        <w:t xml:space="preserve">online and mobile operations of these traditional retailers), online retailers and their related mobile offerings, online and offline classified services and other shopping channels, such as offline and online home shopping networks. In the United States, </w:t>
      </w:r>
      <w:r>
        <w:rPr>
          <w:rFonts w:ascii="Arial" w:eastAsia="宋体" w:hAnsi="Arial" w:cs="Arial"/>
          <w:color w:val="000000"/>
          <w:sz w:val="20"/>
          <w:szCs w:val="20"/>
        </w:rPr>
        <w:t>these include, but are not limited to, Amazon, Facebook, Google, Walmart, Target, Macy’s, Etsy, Shopify, Wayfair, Costco, Rakuten, QVC and HSN, among others. In addition, consumers have a large number of online and offline channels focused on one or more o</w:t>
      </w:r>
      <w:r>
        <w:rPr>
          <w:rFonts w:ascii="Arial" w:eastAsia="宋体" w:hAnsi="Arial" w:cs="Arial"/>
          <w:color w:val="000000"/>
          <w:sz w:val="20"/>
          <w:szCs w:val="20"/>
        </w:rPr>
        <w:t>f the categories of products offered on our site.</w:t>
      </w:r>
    </w:p>
    <w:p w14:paraId="64A8B60B" w14:textId="77777777" w:rsidR="008D6614" w:rsidRDefault="008D6614">
      <w:pPr>
        <w:ind w:firstLine="450"/>
        <w:jc w:val="both"/>
      </w:pPr>
    </w:p>
    <w:p w14:paraId="64A8B60C" w14:textId="77777777" w:rsidR="008D6614" w:rsidRDefault="00866AF2">
      <w:pPr>
        <w:ind w:firstLine="450"/>
        <w:jc w:val="both"/>
      </w:pPr>
      <w:r>
        <w:rPr>
          <w:rFonts w:ascii="Arial" w:eastAsia="宋体" w:hAnsi="Arial" w:cs="Arial"/>
          <w:color w:val="000000"/>
          <w:sz w:val="20"/>
          <w:szCs w:val="20"/>
        </w:rPr>
        <w:t>Consumers also can turn to many companies that offer a variety of services that provide other channels for buyers to find and buy items from sellers of all sizes, including social media, online aggregation</w:t>
      </w:r>
      <w:r>
        <w:rPr>
          <w:rFonts w:ascii="Arial" w:eastAsia="宋体" w:hAnsi="Arial" w:cs="Arial"/>
          <w:color w:val="000000"/>
          <w:sz w:val="20"/>
          <w:szCs w:val="20"/>
        </w:rPr>
        <w:t xml:space="preserve"> and classifieds platforms, such as websites operated by Schibsted ASA or Naspers Limited and others such as craigslist, Oodle.com and Facebook. Consumers also can turn to shopping-comparison sites, such as Google Shopping. In certain markets, our fixed-pr</w:t>
      </w:r>
      <w:r>
        <w:rPr>
          <w:rFonts w:ascii="Arial" w:eastAsia="宋体" w:hAnsi="Arial" w:cs="Arial"/>
          <w:color w:val="000000"/>
          <w:sz w:val="20"/>
          <w:szCs w:val="20"/>
        </w:rPr>
        <w:t>ice listing and traditional auction-style listing formats increasingly are being challenged by other formats, such as classifieds.</w:t>
      </w:r>
    </w:p>
    <w:p w14:paraId="64A8B60D" w14:textId="77777777" w:rsidR="008D6614" w:rsidRDefault="008D6614">
      <w:pPr>
        <w:ind w:firstLine="450"/>
        <w:jc w:val="both"/>
      </w:pPr>
    </w:p>
    <w:p w14:paraId="64A8B60E" w14:textId="77777777" w:rsidR="008D6614" w:rsidRDefault="00866AF2">
      <w:pPr>
        <w:ind w:firstLine="450"/>
        <w:jc w:val="both"/>
      </w:pPr>
      <w:r>
        <w:rPr>
          <w:rFonts w:ascii="Arial" w:eastAsia="宋体" w:hAnsi="Arial" w:cs="Arial"/>
          <w:color w:val="000000"/>
          <w:sz w:val="20"/>
          <w:szCs w:val="20"/>
        </w:rPr>
        <w:t>Our Classifieds platforms offer classifieds listings in a variety of international markets. In many markets in which they op</w:t>
      </w:r>
      <w:r>
        <w:rPr>
          <w:rFonts w:ascii="Arial" w:eastAsia="宋体" w:hAnsi="Arial" w:cs="Arial"/>
          <w:color w:val="000000"/>
          <w:sz w:val="20"/>
          <w:szCs w:val="20"/>
        </w:rPr>
        <w:t>erate, our Classifieds platforms compete for customers and for advertisers against more established online and offline classifieds platforms or other competing websites.</w:t>
      </w:r>
    </w:p>
    <w:p w14:paraId="64A8B60F" w14:textId="77777777" w:rsidR="008D6614" w:rsidRDefault="008D6614">
      <w:pPr>
        <w:ind w:firstLine="450"/>
        <w:jc w:val="both"/>
      </w:pPr>
    </w:p>
    <w:p w14:paraId="64A8B610" w14:textId="77777777" w:rsidR="008D6614" w:rsidRDefault="00866AF2">
      <w:pPr>
        <w:ind w:firstLine="450"/>
        <w:jc w:val="both"/>
      </w:pPr>
      <w:r>
        <w:rPr>
          <w:rFonts w:ascii="Arial" w:eastAsia="宋体" w:hAnsi="Arial" w:cs="Arial"/>
          <w:color w:val="000000"/>
          <w:sz w:val="20"/>
          <w:szCs w:val="20"/>
        </w:rPr>
        <w:t>We use product search engines and paid search advertising to help users find our site</w:t>
      </w:r>
      <w:r>
        <w:rPr>
          <w:rFonts w:ascii="Arial" w:eastAsia="宋体" w:hAnsi="Arial" w:cs="Arial"/>
          <w:color w:val="000000"/>
          <w:sz w:val="20"/>
          <w:szCs w:val="20"/>
        </w:rPr>
        <w:t>s, but these services also have the potential to divert users to other online shopping destinations. Consumers may choose to search for products and services with a horizontal search engine or shopping comparison website, and such sites may also send users</w:t>
      </w:r>
      <w:r>
        <w:rPr>
          <w:rFonts w:ascii="Arial" w:eastAsia="宋体" w:hAnsi="Arial" w:cs="Arial"/>
          <w:color w:val="000000"/>
          <w:sz w:val="20"/>
          <w:szCs w:val="20"/>
        </w:rPr>
        <w:t xml:space="preserve"> to other shopping destinations. In addition, sellers are increasingly utilizing multiple sales channels, including the acquisition of new customers by paying for search-related advertisements on horizontal search engine sites, such as Google, Naver and Ba</w:t>
      </w:r>
      <w:r>
        <w:rPr>
          <w:rFonts w:ascii="Arial" w:eastAsia="宋体" w:hAnsi="Arial" w:cs="Arial"/>
          <w:color w:val="000000"/>
          <w:sz w:val="20"/>
          <w:szCs w:val="20"/>
        </w:rPr>
        <w:t xml:space="preserve">idu. </w:t>
      </w:r>
    </w:p>
    <w:p w14:paraId="64A8B611" w14:textId="77777777" w:rsidR="008D6614" w:rsidRDefault="008D6614">
      <w:pPr>
        <w:ind w:firstLine="450"/>
        <w:jc w:val="both"/>
      </w:pPr>
    </w:p>
    <w:p w14:paraId="64A8B612" w14:textId="77777777" w:rsidR="008D6614" w:rsidRDefault="008D6614">
      <w:pPr>
        <w:ind w:firstLine="450"/>
        <w:jc w:val="both"/>
      </w:pPr>
    </w:p>
    <w:p w14:paraId="64A8B613" w14:textId="77777777" w:rsidR="008D6614" w:rsidRDefault="008D6614">
      <w:pPr>
        <w:ind w:firstLine="450"/>
        <w:jc w:val="both"/>
      </w:pPr>
    </w:p>
    <w:p w14:paraId="64A8B614" w14:textId="77777777" w:rsidR="008D6614" w:rsidRDefault="008D6614">
      <w:pPr>
        <w:ind w:firstLine="450"/>
        <w:jc w:val="both"/>
      </w:pPr>
    </w:p>
    <w:p w14:paraId="64A8B615" w14:textId="77777777" w:rsidR="008D6614" w:rsidRDefault="008D6614">
      <w:pPr>
        <w:ind w:firstLine="450"/>
        <w:jc w:val="both"/>
      </w:pPr>
    </w:p>
    <w:p w14:paraId="64A8B616" w14:textId="77777777" w:rsidR="008D6614" w:rsidRDefault="008D6614">
      <w:pPr>
        <w:jc w:val="center"/>
      </w:pPr>
    </w:p>
    <w:p w14:paraId="64A8B617" w14:textId="77777777" w:rsidR="008D6614" w:rsidRDefault="00866AF2">
      <w:pPr>
        <w:jc w:val="center"/>
      </w:pPr>
      <w:r>
        <w:rPr>
          <w:rFonts w:ascii="Arial" w:eastAsia="宋体" w:hAnsi="Arial" w:cs="Arial"/>
          <w:color w:val="000000"/>
          <w:sz w:val="20"/>
          <w:szCs w:val="20"/>
        </w:rPr>
        <w:t>51</w:t>
      </w:r>
    </w:p>
    <w:p w14:paraId="64A8B618" w14:textId="77777777" w:rsidR="008D6614" w:rsidRDefault="00866AF2">
      <w:r>
        <w:pict w14:anchorId="64A8BA10">
          <v:rect id="_x0000_i1075" style="width:415.3pt;height:1.5pt" o:hralign="center" o:hrstd="t" o:hr="t" fillcolor="#a0a0a0" stroked="f"/>
        </w:pict>
      </w:r>
    </w:p>
    <w:p w14:paraId="64A8B619" w14:textId="77777777" w:rsidR="008D6614" w:rsidRDefault="008D6614"/>
    <w:p w14:paraId="64A8B61A" w14:textId="77777777" w:rsidR="008D6614" w:rsidRDefault="00866AF2">
      <w:pPr>
        <w:ind w:firstLine="450"/>
        <w:jc w:val="both"/>
      </w:pPr>
      <w:r>
        <w:rPr>
          <w:rFonts w:ascii="Arial" w:eastAsia="宋体" w:hAnsi="Arial" w:cs="Arial"/>
          <w:color w:val="000000"/>
          <w:sz w:val="20"/>
          <w:szCs w:val="20"/>
        </w:rPr>
        <w:t xml:space="preserve">Consumers and merchants who might use our sites to sell goods also have many alternatives, including general ecommerce sites, such as Amazon, Alibaba, Zalando and Coupang, and more specialized sites, such as Etsy. Our international sites </w:t>
      </w:r>
      <w:r>
        <w:rPr>
          <w:rFonts w:ascii="Arial" w:eastAsia="宋体" w:hAnsi="Arial" w:cs="Arial"/>
          <w:color w:val="000000"/>
          <w:sz w:val="20"/>
          <w:szCs w:val="20"/>
        </w:rPr>
        <w:t>also compete for sellers with general and specialized ecommerce sites. Sellers may also choose to sell their goods through other channels, such as classifieds platforms. Consumers and merchants also can create and sell through their own sites, and may choo</w:t>
      </w:r>
      <w:r>
        <w:rPr>
          <w:rFonts w:ascii="Arial" w:eastAsia="宋体" w:hAnsi="Arial" w:cs="Arial"/>
          <w:color w:val="000000"/>
          <w:sz w:val="20"/>
          <w:szCs w:val="20"/>
        </w:rPr>
        <w:t>se to purchase online advertising instead of using our services. In some countries, there are online sites that have larger customer bases and greater brand recognition, as well as competitors that may have a better understanding of local culture and comme</w:t>
      </w:r>
      <w:r>
        <w:rPr>
          <w:rFonts w:ascii="Arial" w:eastAsia="宋体" w:hAnsi="Arial" w:cs="Arial"/>
          <w:color w:val="000000"/>
          <w:sz w:val="20"/>
          <w:szCs w:val="20"/>
        </w:rPr>
        <w:t>rce. We may increasingly compete with local competitors in developing countries that have unique advantages, such as a greater ability to operate under local regulatory authorities.</w:t>
      </w:r>
    </w:p>
    <w:p w14:paraId="64A8B61B" w14:textId="77777777" w:rsidR="008D6614" w:rsidRDefault="008D6614">
      <w:pPr>
        <w:ind w:firstLine="450"/>
        <w:jc w:val="both"/>
      </w:pPr>
    </w:p>
    <w:p w14:paraId="64A8B61C" w14:textId="77777777" w:rsidR="008D6614" w:rsidRDefault="00866AF2">
      <w:pPr>
        <w:ind w:firstLine="450"/>
        <w:jc w:val="both"/>
      </w:pPr>
      <w:r>
        <w:rPr>
          <w:rFonts w:ascii="Arial" w:eastAsia="宋体" w:hAnsi="Arial" w:cs="Arial"/>
          <w:color w:val="000000"/>
          <w:sz w:val="20"/>
          <w:szCs w:val="20"/>
        </w:rPr>
        <w:t>In addition, certain manufacturers may limit or cease distribution of the</w:t>
      </w:r>
      <w:r>
        <w:rPr>
          <w:rFonts w:ascii="Arial" w:eastAsia="宋体" w:hAnsi="Arial" w:cs="Arial"/>
          <w:color w:val="000000"/>
          <w:sz w:val="20"/>
          <w:szCs w:val="20"/>
        </w:rPr>
        <w:t>ir products through online channels, such as our sites. Manufacturers may attempt to use contractual obligations or existing or future government regulation to prohibit or limit ecommerce in certain categories of goods or services. Manufacturers may also a</w:t>
      </w:r>
      <w:r>
        <w:rPr>
          <w:rFonts w:ascii="Arial" w:eastAsia="宋体" w:hAnsi="Arial" w:cs="Arial"/>
          <w:color w:val="000000"/>
          <w:sz w:val="20"/>
          <w:szCs w:val="20"/>
        </w:rPr>
        <w:t>ttempt to enforce minimum resale price maintenance or minimum advertised price arrangements to prevent distributors from selling on our platforms or on the Internet generally, or drive distributors to sell at prices that would make us less attractive relat</w:t>
      </w:r>
      <w:r>
        <w:rPr>
          <w:rFonts w:ascii="Arial" w:eastAsia="宋体" w:hAnsi="Arial" w:cs="Arial"/>
          <w:color w:val="000000"/>
          <w:sz w:val="20"/>
          <w:szCs w:val="20"/>
        </w:rPr>
        <w:t xml:space="preserve">ive to other alternatives. The adoption by manufacturers of policies, or their use of laws or regulations, in each case discouraging or restricting the sales of goods or services over the Internet, could force our users to stop selling certain products on </w:t>
      </w:r>
      <w:r>
        <w:rPr>
          <w:rFonts w:ascii="Arial" w:eastAsia="宋体" w:hAnsi="Arial" w:cs="Arial"/>
          <w:color w:val="000000"/>
          <w:sz w:val="20"/>
          <w:szCs w:val="20"/>
        </w:rPr>
        <w:t xml:space="preserve">our platforms, which could adversely affect our results of operations and result in loss of market share and diminished value of our brands. </w:t>
      </w:r>
    </w:p>
    <w:p w14:paraId="64A8B61D" w14:textId="77777777" w:rsidR="008D6614" w:rsidRDefault="008D6614">
      <w:pPr>
        <w:ind w:firstLine="450"/>
        <w:jc w:val="both"/>
      </w:pPr>
    </w:p>
    <w:p w14:paraId="64A8B61E" w14:textId="77777777" w:rsidR="008D6614" w:rsidRDefault="00866AF2">
      <w:pPr>
        <w:ind w:firstLine="450"/>
        <w:jc w:val="both"/>
      </w:pPr>
      <w:r>
        <w:rPr>
          <w:rFonts w:ascii="Arial" w:eastAsia="宋体" w:hAnsi="Arial" w:cs="Arial"/>
          <w:color w:val="000000"/>
          <w:sz w:val="20"/>
          <w:szCs w:val="20"/>
        </w:rPr>
        <w:t xml:space="preserve">The principal competitive factors for us include the following: </w:t>
      </w:r>
    </w:p>
    <w:p w14:paraId="64A8B61F" w14:textId="77777777" w:rsidR="008D6614" w:rsidRDefault="00866AF2">
      <w:pPr>
        <w:jc w:val="both"/>
      </w:pPr>
      <w:r>
        <w:rPr>
          <w:rFonts w:ascii="Arial" w:eastAsia="宋体" w:hAnsi="Arial" w:cs="Arial"/>
          <w:color w:val="000000"/>
          <w:sz w:val="20"/>
          <w:szCs w:val="20"/>
        </w:rPr>
        <w:t>        </w:t>
      </w:r>
    </w:p>
    <w:p w14:paraId="64A8B620" w14:textId="77777777" w:rsidR="008D6614" w:rsidRDefault="00866AF2">
      <w:pPr>
        <w:ind w:hanging="360"/>
        <w:jc w:val="both"/>
      </w:pPr>
      <w:r>
        <w:rPr>
          <w:rFonts w:ascii="Arial" w:eastAsia="宋体" w:hAnsi="Arial" w:cs="Arial"/>
          <w:color w:val="000000"/>
          <w:sz w:val="20"/>
          <w:szCs w:val="20"/>
        </w:rPr>
        <w:t xml:space="preserve">•ability to attract, retain and engage </w:t>
      </w:r>
      <w:r>
        <w:rPr>
          <w:rFonts w:ascii="Arial" w:eastAsia="宋体" w:hAnsi="Arial" w:cs="Arial"/>
          <w:color w:val="000000"/>
          <w:sz w:val="20"/>
          <w:szCs w:val="20"/>
        </w:rPr>
        <w:t>buyers and sellers;</w:t>
      </w:r>
    </w:p>
    <w:p w14:paraId="64A8B621" w14:textId="77777777" w:rsidR="008D6614" w:rsidRDefault="00866AF2">
      <w:pPr>
        <w:ind w:hanging="360"/>
        <w:jc w:val="both"/>
      </w:pPr>
      <w:r>
        <w:rPr>
          <w:rFonts w:ascii="Arial" w:eastAsia="宋体" w:hAnsi="Arial" w:cs="Arial"/>
          <w:color w:val="000000"/>
          <w:sz w:val="20"/>
          <w:szCs w:val="20"/>
        </w:rPr>
        <w:t>•volume of transactions and price and selection of goods;</w:t>
      </w:r>
    </w:p>
    <w:p w14:paraId="64A8B622" w14:textId="77777777" w:rsidR="008D6614" w:rsidRDefault="00866AF2">
      <w:pPr>
        <w:ind w:hanging="360"/>
        <w:jc w:val="both"/>
      </w:pPr>
      <w:r>
        <w:rPr>
          <w:rFonts w:ascii="Arial" w:eastAsia="宋体" w:hAnsi="Arial" w:cs="Arial"/>
          <w:color w:val="000000"/>
          <w:sz w:val="20"/>
          <w:szCs w:val="20"/>
        </w:rPr>
        <w:t>•trust in the seller and the transaction;</w:t>
      </w:r>
    </w:p>
    <w:p w14:paraId="64A8B623" w14:textId="77777777" w:rsidR="008D6614" w:rsidRDefault="00866AF2">
      <w:pPr>
        <w:ind w:hanging="360"/>
        <w:jc w:val="both"/>
      </w:pPr>
      <w:r>
        <w:rPr>
          <w:rFonts w:ascii="Arial" w:eastAsia="宋体" w:hAnsi="Arial" w:cs="Arial"/>
          <w:color w:val="000000"/>
          <w:sz w:val="20"/>
          <w:szCs w:val="20"/>
        </w:rPr>
        <w:t xml:space="preserve">•customer service; </w:t>
      </w:r>
    </w:p>
    <w:p w14:paraId="64A8B624" w14:textId="77777777" w:rsidR="008D6614" w:rsidRDefault="00866AF2">
      <w:pPr>
        <w:ind w:hanging="360"/>
        <w:jc w:val="both"/>
      </w:pPr>
      <w:r>
        <w:rPr>
          <w:rFonts w:ascii="Arial" w:eastAsia="宋体" w:hAnsi="Arial" w:cs="Arial"/>
          <w:color w:val="000000"/>
          <w:sz w:val="20"/>
          <w:szCs w:val="20"/>
        </w:rPr>
        <w:t>•brand recognition; </w:t>
      </w:r>
    </w:p>
    <w:p w14:paraId="64A8B625" w14:textId="77777777" w:rsidR="008D6614" w:rsidRDefault="00866AF2">
      <w:pPr>
        <w:ind w:hanging="360"/>
        <w:jc w:val="both"/>
      </w:pPr>
      <w:r>
        <w:rPr>
          <w:rFonts w:ascii="Arial" w:eastAsia="宋体" w:hAnsi="Arial" w:cs="Arial"/>
          <w:color w:val="000000"/>
          <w:sz w:val="20"/>
          <w:szCs w:val="20"/>
        </w:rPr>
        <w:t>•community cohesion, interaction and size;</w:t>
      </w:r>
    </w:p>
    <w:p w14:paraId="64A8B626" w14:textId="77777777" w:rsidR="008D6614" w:rsidRDefault="00866AF2">
      <w:pPr>
        <w:ind w:hanging="360"/>
        <w:jc w:val="both"/>
      </w:pPr>
      <w:r>
        <w:rPr>
          <w:rFonts w:ascii="Arial" w:eastAsia="宋体" w:hAnsi="Arial" w:cs="Arial"/>
          <w:color w:val="000000"/>
          <w:sz w:val="20"/>
          <w:szCs w:val="20"/>
        </w:rPr>
        <w:t xml:space="preserve">•website, mobile platform and application </w:t>
      </w:r>
      <w:r>
        <w:rPr>
          <w:rFonts w:ascii="Arial" w:eastAsia="宋体" w:hAnsi="Arial" w:cs="Arial"/>
          <w:color w:val="000000"/>
          <w:sz w:val="20"/>
          <w:szCs w:val="20"/>
        </w:rPr>
        <w:t>ease-of-use and accessibility;</w:t>
      </w:r>
    </w:p>
    <w:p w14:paraId="64A8B627" w14:textId="77777777" w:rsidR="008D6614" w:rsidRDefault="00866AF2">
      <w:pPr>
        <w:ind w:hanging="360"/>
        <w:jc w:val="both"/>
      </w:pPr>
      <w:r>
        <w:rPr>
          <w:rFonts w:ascii="Arial" w:eastAsia="宋体" w:hAnsi="Arial" w:cs="Arial"/>
          <w:color w:val="000000"/>
          <w:sz w:val="20"/>
          <w:szCs w:val="20"/>
        </w:rPr>
        <w:t>•system reliability and security;</w:t>
      </w:r>
    </w:p>
    <w:p w14:paraId="64A8B628" w14:textId="77777777" w:rsidR="008D6614" w:rsidRDefault="00866AF2">
      <w:pPr>
        <w:ind w:hanging="360"/>
        <w:jc w:val="both"/>
      </w:pPr>
      <w:r>
        <w:rPr>
          <w:rFonts w:ascii="Arial" w:eastAsia="宋体" w:hAnsi="Arial" w:cs="Arial"/>
          <w:color w:val="000000"/>
          <w:sz w:val="20"/>
          <w:szCs w:val="20"/>
        </w:rPr>
        <w:t>•reliability of delivery and payment, including customer preference for fast delivery and free shipping and returns;</w:t>
      </w:r>
    </w:p>
    <w:p w14:paraId="64A8B629" w14:textId="77777777" w:rsidR="008D6614" w:rsidRDefault="00866AF2">
      <w:pPr>
        <w:ind w:hanging="360"/>
        <w:jc w:val="both"/>
      </w:pPr>
      <w:r>
        <w:rPr>
          <w:rFonts w:ascii="Arial" w:eastAsia="宋体" w:hAnsi="Arial" w:cs="Arial"/>
          <w:color w:val="000000"/>
          <w:sz w:val="20"/>
          <w:szCs w:val="20"/>
        </w:rPr>
        <w:t>•level of service fees; and</w:t>
      </w:r>
    </w:p>
    <w:p w14:paraId="64A8B62A" w14:textId="77777777" w:rsidR="008D6614" w:rsidRDefault="00866AF2">
      <w:pPr>
        <w:ind w:hanging="360"/>
        <w:jc w:val="both"/>
      </w:pPr>
      <w:r>
        <w:rPr>
          <w:rFonts w:ascii="Arial" w:eastAsia="宋体" w:hAnsi="Arial" w:cs="Arial"/>
          <w:color w:val="000000"/>
          <w:sz w:val="20"/>
          <w:szCs w:val="20"/>
        </w:rPr>
        <w:t>•quality of search tools.</w:t>
      </w:r>
    </w:p>
    <w:p w14:paraId="64A8B62B" w14:textId="77777777" w:rsidR="008D6614" w:rsidRDefault="008D6614">
      <w:pPr>
        <w:jc w:val="both"/>
      </w:pPr>
    </w:p>
    <w:p w14:paraId="64A8B62C" w14:textId="77777777" w:rsidR="008D6614" w:rsidRDefault="00866AF2">
      <w:pPr>
        <w:ind w:firstLine="450"/>
        <w:jc w:val="both"/>
      </w:pPr>
      <w:r>
        <w:rPr>
          <w:rFonts w:ascii="Arial" w:eastAsia="宋体" w:hAnsi="Arial" w:cs="Arial"/>
          <w:color w:val="000000"/>
          <w:sz w:val="20"/>
          <w:szCs w:val="20"/>
        </w:rPr>
        <w:t>We may be unable to</w:t>
      </w:r>
      <w:r>
        <w:rPr>
          <w:rFonts w:ascii="Arial" w:eastAsia="宋体" w:hAnsi="Arial" w:cs="Arial"/>
          <w:color w:val="000000"/>
          <w:sz w:val="20"/>
          <w:szCs w:val="20"/>
        </w:rPr>
        <w:t xml:space="preserve"> compete successfully against current and future competitors. Some current and potential competitors have longer operating histories, larger customer bases and greater brand recognition in other business and Internet sectors than we do.</w:t>
      </w:r>
    </w:p>
    <w:p w14:paraId="64A8B62D" w14:textId="77777777" w:rsidR="008D6614" w:rsidRDefault="008D6614">
      <w:pPr>
        <w:jc w:val="both"/>
      </w:pPr>
    </w:p>
    <w:p w14:paraId="64A8B62E" w14:textId="77777777" w:rsidR="008D6614" w:rsidRDefault="00866AF2">
      <w:pPr>
        <w:ind w:firstLine="450"/>
        <w:jc w:val="both"/>
      </w:pPr>
      <w:r>
        <w:rPr>
          <w:rFonts w:ascii="Arial" w:eastAsia="宋体" w:hAnsi="Arial" w:cs="Arial"/>
          <w:i/>
          <w:iCs/>
          <w:color w:val="000000"/>
          <w:sz w:val="20"/>
          <w:szCs w:val="20"/>
        </w:rPr>
        <w:t>Global and regiona</w:t>
      </w:r>
      <w:r>
        <w:rPr>
          <w:rFonts w:ascii="Arial" w:eastAsia="宋体" w:hAnsi="Arial" w:cs="Arial"/>
          <w:i/>
          <w:iCs/>
          <w:color w:val="000000"/>
          <w:sz w:val="20"/>
          <w:szCs w:val="20"/>
        </w:rPr>
        <w:t>l economic conditions could harm our business.</w:t>
      </w:r>
    </w:p>
    <w:p w14:paraId="64A8B62F" w14:textId="77777777" w:rsidR="008D6614" w:rsidRDefault="008D6614">
      <w:pPr>
        <w:ind w:firstLine="450"/>
        <w:jc w:val="both"/>
      </w:pPr>
    </w:p>
    <w:p w14:paraId="64A8B630" w14:textId="77777777" w:rsidR="008D6614" w:rsidRDefault="00866AF2">
      <w:pPr>
        <w:ind w:firstLine="450"/>
        <w:jc w:val="both"/>
      </w:pPr>
      <w:r>
        <w:rPr>
          <w:rFonts w:ascii="Arial" w:eastAsia="宋体" w:hAnsi="Arial" w:cs="Arial"/>
          <w:color w:val="000000"/>
          <w:sz w:val="20"/>
          <w:szCs w:val="20"/>
        </w:rPr>
        <w:t>Our operations and performance depend significantly on global and regional economic conditions. Economic conditions, including inflation, recession, or other adverse economic events or changes, could have a n</w:t>
      </w:r>
      <w:r>
        <w:rPr>
          <w:rFonts w:ascii="Arial" w:eastAsia="宋体" w:hAnsi="Arial" w:cs="Arial"/>
          <w:color w:val="000000"/>
          <w:sz w:val="20"/>
          <w:szCs w:val="20"/>
        </w:rPr>
        <w:t>egative and adverse impact on companies and customers with which we do business and could have a material adverse effect on our business, including a reduction in the volume and prices of transactions on our commerce platforms. These events and conditions,</w:t>
      </w:r>
      <w:r>
        <w:rPr>
          <w:rFonts w:ascii="Arial" w:eastAsia="宋体" w:hAnsi="Arial" w:cs="Arial"/>
          <w:color w:val="000000"/>
          <w:sz w:val="20"/>
          <w:szCs w:val="20"/>
        </w:rPr>
        <w:t xml:space="preserve"> including uncertainties and instability in economic and market conditions caused by the United Kingdom’s vote to exit the European Union (known as “Brexit”) and any outcomes resulting from that vote, could have a negative and adverse impact on companies a</w:t>
      </w:r>
      <w:r>
        <w:rPr>
          <w:rFonts w:ascii="Arial" w:eastAsia="宋体" w:hAnsi="Arial" w:cs="Arial"/>
          <w:color w:val="000000"/>
          <w:sz w:val="20"/>
          <w:szCs w:val="20"/>
        </w:rPr>
        <w:t>nd customers with which we do business or cause us to write down our assets or investments. Because we have global operations, including in the United Kingdom and the European Union, we face risks due to the uncertainty and the potential disruptions surrou</w:t>
      </w:r>
      <w:r>
        <w:rPr>
          <w:rFonts w:ascii="Arial" w:eastAsia="宋体" w:hAnsi="Arial" w:cs="Arial"/>
          <w:color w:val="000000"/>
          <w:sz w:val="20"/>
          <w:szCs w:val="20"/>
        </w:rPr>
        <w:t>nding Brexit, including potential financial, legal, tax and trade implications.</w:t>
      </w:r>
    </w:p>
    <w:p w14:paraId="64A8B631" w14:textId="77777777" w:rsidR="008D6614" w:rsidRDefault="008D6614">
      <w:pPr>
        <w:ind w:firstLine="450"/>
        <w:jc w:val="both"/>
      </w:pPr>
    </w:p>
    <w:p w14:paraId="64A8B632" w14:textId="77777777" w:rsidR="008D6614" w:rsidRDefault="00866AF2">
      <w:pPr>
        <w:ind w:firstLine="450"/>
        <w:jc w:val="both"/>
      </w:pPr>
      <w:r>
        <w:rPr>
          <w:rFonts w:ascii="Arial" w:eastAsia="宋体" w:hAnsi="Arial" w:cs="Arial"/>
          <w:i/>
          <w:iCs/>
          <w:color w:val="000000"/>
          <w:sz w:val="20"/>
          <w:szCs w:val="20"/>
        </w:rPr>
        <w:t>The global COVID-19 pandemic could harm our business and results of operations.</w:t>
      </w:r>
    </w:p>
    <w:p w14:paraId="64A8B633" w14:textId="77777777" w:rsidR="008D6614" w:rsidRDefault="008D6614">
      <w:pPr>
        <w:ind w:firstLine="450"/>
        <w:jc w:val="both"/>
      </w:pPr>
    </w:p>
    <w:p w14:paraId="64A8B634" w14:textId="77777777" w:rsidR="008D6614" w:rsidRDefault="00866AF2">
      <w:pPr>
        <w:ind w:firstLine="450"/>
        <w:jc w:val="both"/>
      </w:pPr>
      <w:r>
        <w:rPr>
          <w:rFonts w:ascii="Arial" w:eastAsia="宋体" w:hAnsi="Arial" w:cs="Arial"/>
          <w:color w:val="000000"/>
          <w:sz w:val="20"/>
          <w:szCs w:val="20"/>
        </w:rPr>
        <w:t>The global spread of COVID-19 and related measures to contain its spread (such as government mandated business closures and shelter in-place guidelines) have created significant volatility, uncertainty and economic disruption. The extent to which the COVID</w:t>
      </w:r>
      <w:r>
        <w:rPr>
          <w:rFonts w:ascii="Arial" w:eastAsia="宋体" w:hAnsi="Arial" w:cs="Arial"/>
          <w:color w:val="000000"/>
          <w:sz w:val="20"/>
          <w:szCs w:val="20"/>
        </w:rPr>
        <w:t xml:space="preserve">-19 pandemic impacts our business, results of operations, financial condition and liquidity will depend on numerous evolving factors that we cannot predict, including the duration and </w:t>
      </w:r>
    </w:p>
    <w:p w14:paraId="64A8B635" w14:textId="77777777" w:rsidR="008D6614" w:rsidRDefault="008D6614">
      <w:pPr>
        <w:jc w:val="center"/>
      </w:pPr>
    </w:p>
    <w:p w14:paraId="64A8B636" w14:textId="77777777" w:rsidR="008D6614" w:rsidRDefault="00866AF2">
      <w:pPr>
        <w:jc w:val="center"/>
      </w:pPr>
      <w:r>
        <w:rPr>
          <w:rFonts w:ascii="Arial" w:eastAsia="宋体" w:hAnsi="Arial" w:cs="Arial"/>
          <w:color w:val="000000"/>
          <w:sz w:val="20"/>
          <w:szCs w:val="20"/>
        </w:rPr>
        <w:t>52</w:t>
      </w:r>
    </w:p>
    <w:p w14:paraId="64A8B637" w14:textId="77777777" w:rsidR="008D6614" w:rsidRDefault="00866AF2">
      <w:r>
        <w:pict w14:anchorId="64A8BA11">
          <v:rect id="_x0000_i1076" style="width:415.3pt;height:1.5pt" o:hralign="center" o:hrstd="t" o:hr="t" fillcolor="#a0a0a0" stroked="f"/>
        </w:pict>
      </w:r>
    </w:p>
    <w:p w14:paraId="64A8B638" w14:textId="77777777" w:rsidR="008D6614" w:rsidRDefault="008D6614"/>
    <w:p w14:paraId="64A8B639" w14:textId="77777777" w:rsidR="008D6614" w:rsidRDefault="00866AF2">
      <w:pPr>
        <w:jc w:val="both"/>
      </w:pPr>
      <w:r>
        <w:rPr>
          <w:rFonts w:ascii="Arial" w:eastAsia="宋体" w:hAnsi="Arial" w:cs="Arial"/>
          <w:color w:val="000000"/>
          <w:sz w:val="20"/>
          <w:szCs w:val="20"/>
        </w:rPr>
        <w:t>scope of the pandemic; governmental, business and individuals’ a</w:t>
      </w:r>
      <w:r>
        <w:rPr>
          <w:rFonts w:ascii="Arial" w:eastAsia="宋体" w:hAnsi="Arial" w:cs="Arial"/>
          <w:color w:val="000000"/>
          <w:sz w:val="20"/>
          <w:szCs w:val="20"/>
        </w:rPr>
        <w:t>ctions that have been and continue to be taken in response to the pandemic; the impact of the pandemic on national and global economic activity, unemployment levels and financial markets, including the possibility of a national or global recession; the pot</w:t>
      </w:r>
      <w:r>
        <w:rPr>
          <w:rFonts w:ascii="Arial" w:eastAsia="宋体" w:hAnsi="Arial" w:cs="Arial"/>
          <w:color w:val="000000"/>
          <w:sz w:val="20"/>
          <w:szCs w:val="20"/>
        </w:rPr>
        <w:t>ential for shipping difficulties, including slowed deliveries from sellers to their customers; and the ability of consumers to pay for products. The COVID-19 pandemic could decrease consumer spending and have an adverse impact on our sellers through reduce</w:t>
      </w:r>
      <w:r>
        <w:rPr>
          <w:rFonts w:ascii="Arial" w:eastAsia="宋体" w:hAnsi="Arial" w:cs="Arial"/>
          <w:color w:val="000000"/>
          <w:sz w:val="20"/>
          <w:szCs w:val="20"/>
        </w:rPr>
        <w:t xml:space="preserve">d consumer demand for their products and availability of inventory, which could in turn negatively impact the demand for use of our platforms. Additionally, the COVID-19 pandemic has caused us to require employees to work remotely for an indefinite period </w:t>
      </w:r>
      <w:r>
        <w:rPr>
          <w:rFonts w:ascii="Arial" w:eastAsia="宋体" w:hAnsi="Arial" w:cs="Arial"/>
          <w:color w:val="000000"/>
          <w:sz w:val="20"/>
          <w:szCs w:val="20"/>
        </w:rPr>
        <w:t>of time, which could negatively impact our business and harm productivity and collaboration. If there is a prolonged impact of COVID-19, it could adversely affect our business, results of operations, financial condition and liquidity, perhaps materially. T</w:t>
      </w:r>
      <w:r>
        <w:rPr>
          <w:rFonts w:ascii="Arial" w:eastAsia="宋体" w:hAnsi="Arial" w:cs="Arial"/>
          <w:color w:val="000000"/>
          <w:sz w:val="20"/>
          <w:szCs w:val="20"/>
        </w:rPr>
        <w:t>he future impact of COVID-19 and these containment measures cannot be predicted with certainty and may increase our borrowing costs and other costs of capital and otherwise adversely affect our business, results of operations, financial condition and liqui</w:t>
      </w:r>
      <w:r>
        <w:rPr>
          <w:rFonts w:ascii="Arial" w:eastAsia="宋体" w:hAnsi="Arial" w:cs="Arial"/>
          <w:color w:val="000000"/>
          <w:sz w:val="20"/>
          <w:szCs w:val="20"/>
        </w:rPr>
        <w:t>dity, and we cannot assure that we will have access to external financing at times and on terms we consider acceptable, or at all, or that we will not experience other liquidity issues going forward.</w:t>
      </w:r>
    </w:p>
    <w:p w14:paraId="64A8B63A" w14:textId="77777777" w:rsidR="008D6614" w:rsidRDefault="008D6614">
      <w:pPr>
        <w:ind w:firstLine="450"/>
        <w:jc w:val="both"/>
      </w:pPr>
    </w:p>
    <w:p w14:paraId="64A8B63B" w14:textId="77777777" w:rsidR="008D6614" w:rsidRDefault="00866AF2">
      <w:pPr>
        <w:ind w:firstLine="450"/>
        <w:jc w:val="both"/>
      </w:pPr>
      <w:r>
        <w:rPr>
          <w:rFonts w:ascii="Arial" w:eastAsia="宋体" w:hAnsi="Arial" w:cs="Arial"/>
          <w:color w:val="000000"/>
          <w:sz w:val="20"/>
          <w:szCs w:val="20"/>
        </w:rPr>
        <w:t>To the extent the COVID-19 pandemic adversely affects o</w:t>
      </w:r>
      <w:r>
        <w:rPr>
          <w:rFonts w:ascii="Arial" w:eastAsia="宋体" w:hAnsi="Arial" w:cs="Arial"/>
          <w:color w:val="000000"/>
          <w:sz w:val="20"/>
          <w:szCs w:val="20"/>
        </w:rPr>
        <w:t>ur business and financial results, it may also have the effect of heightening many of the other risks described in this “Risk Factors” section, such as those relating to our substantial indebtedness, our need to generate sufficient cash flows to service ou</w:t>
      </w:r>
      <w:r>
        <w:rPr>
          <w:rFonts w:ascii="Arial" w:eastAsia="宋体" w:hAnsi="Arial" w:cs="Arial"/>
          <w:color w:val="000000"/>
          <w:sz w:val="20"/>
          <w:szCs w:val="20"/>
        </w:rPr>
        <w:t>r indebtedness, our ability to comply with the covenants contained in the agreements that govern our indebtedness and our international operations</w:t>
      </w:r>
    </w:p>
    <w:p w14:paraId="64A8B63C" w14:textId="77777777" w:rsidR="008D6614" w:rsidRDefault="008D6614">
      <w:pPr>
        <w:ind w:firstLine="450"/>
      </w:pPr>
    </w:p>
    <w:p w14:paraId="64A8B63D" w14:textId="77777777" w:rsidR="008D6614" w:rsidRDefault="00866AF2">
      <w:pPr>
        <w:ind w:firstLine="450"/>
        <w:jc w:val="both"/>
      </w:pPr>
      <w:r>
        <w:rPr>
          <w:rFonts w:ascii="Arial" w:eastAsia="宋体" w:hAnsi="Arial" w:cs="Arial"/>
          <w:i/>
          <w:iCs/>
          <w:color w:val="000000"/>
          <w:sz w:val="20"/>
          <w:szCs w:val="20"/>
        </w:rPr>
        <w:t xml:space="preserve">We are exposed to fluctuations in foreign currency exchange rates, which could negatively impact our </w:t>
      </w:r>
      <w:r>
        <w:rPr>
          <w:rFonts w:ascii="Arial" w:eastAsia="宋体" w:hAnsi="Arial" w:cs="Arial"/>
          <w:i/>
          <w:iCs/>
          <w:color w:val="000000"/>
          <w:sz w:val="20"/>
          <w:szCs w:val="20"/>
        </w:rPr>
        <w:t>financial results.</w:t>
      </w:r>
    </w:p>
    <w:p w14:paraId="64A8B63E" w14:textId="77777777" w:rsidR="008D6614" w:rsidRDefault="008D6614">
      <w:pPr>
        <w:ind w:firstLine="450"/>
        <w:jc w:val="both"/>
      </w:pPr>
    </w:p>
    <w:p w14:paraId="64A8B63F" w14:textId="77777777" w:rsidR="008D6614" w:rsidRDefault="00866AF2">
      <w:pPr>
        <w:ind w:firstLine="450"/>
        <w:jc w:val="both"/>
      </w:pPr>
      <w:r>
        <w:rPr>
          <w:rFonts w:ascii="Arial" w:eastAsia="宋体" w:hAnsi="Arial" w:cs="Arial"/>
          <w:color w:val="000000"/>
          <w:sz w:val="20"/>
          <w:szCs w:val="20"/>
        </w:rPr>
        <w:t>Because we generate the majority of our revenues outside the United States but report our financial results in U.S. dollars, our financial results are impacted by fluctuations in foreign currency exchange rates, or foreign exchange rate</w:t>
      </w:r>
      <w:r>
        <w:rPr>
          <w:rFonts w:ascii="Arial" w:eastAsia="宋体" w:hAnsi="Arial" w:cs="Arial"/>
          <w:color w:val="000000"/>
          <w:sz w:val="20"/>
          <w:szCs w:val="20"/>
        </w:rPr>
        <w:t>s. The results of operations of many of our internationally focused platforms are exposed to foreign exchange rate fluctuations as the financial results of the applicable subsidiaries are translated from the local currency into U.S. dollars for financial r</w:t>
      </w:r>
      <w:r>
        <w:rPr>
          <w:rFonts w:ascii="Arial" w:eastAsia="宋体" w:hAnsi="Arial" w:cs="Arial"/>
          <w:color w:val="000000"/>
          <w:sz w:val="20"/>
          <w:szCs w:val="20"/>
        </w:rPr>
        <w:t>eporting purposes. If the U.S. dollar weakens against foreign currencies, the translation of these foreign currency denominated revenues or expenses will result in increased U.S. dollar denominated revenues and expenses. Similarly, if the U.S. dollar stren</w:t>
      </w:r>
      <w:r>
        <w:rPr>
          <w:rFonts w:ascii="Arial" w:eastAsia="宋体" w:hAnsi="Arial" w:cs="Arial"/>
          <w:color w:val="000000"/>
          <w:sz w:val="20"/>
          <w:szCs w:val="20"/>
        </w:rPr>
        <w:t>gthens against foreign currencies, particularly the euro, British pound, Korean won or Australian dollar, our translation of foreign currency denominated revenues or expenses will result in lower U.S. dollar denominated net revenues and expenses. In additi</w:t>
      </w:r>
      <w:r>
        <w:rPr>
          <w:rFonts w:ascii="Arial" w:eastAsia="宋体" w:hAnsi="Arial" w:cs="Arial"/>
          <w:color w:val="000000"/>
          <w:sz w:val="20"/>
          <w:szCs w:val="20"/>
        </w:rPr>
        <w:t>on to this translation effect, a strengthening U.S. dollar will typically adversely affect the volume of goods being sold by U.S. sellers to Europe and Australia more than it positively affects the volume of goods being sold by sellers in those geographies</w:t>
      </w:r>
      <w:r>
        <w:rPr>
          <w:rFonts w:ascii="Arial" w:eastAsia="宋体" w:hAnsi="Arial" w:cs="Arial"/>
          <w:color w:val="000000"/>
          <w:sz w:val="20"/>
          <w:szCs w:val="20"/>
        </w:rPr>
        <w:t xml:space="preserve"> to buyers in the United States, thereby further negatively impacting our financial results. </w:t>
      </w:r>
    </w:p>
    <w:p w14:paraId="64A8B640" w14:textId="77777777" w:rsidR="008D6614" w:rsidRDefault="008D6614">
      <w:pPr>
        <w:ind w:firstLine="450"/>
        <w:jc w:val="both"/>
      </w:pPr>
    </w:p>
    <w:p w14:paraId="64A8B641" w14:textId="77777777" w:rsidR="008D6614" w:rsidRDefault="00866AF2">
      <w:pPr>
        <w:ind w:firstLine="450"/>
        <w:jc w:val="both"/>
      </w:pPr>
      <w:r>
        <w:rPr>
          <w:rFonts w:ascii="Arial" w:eastAsia="宋体" w:hAnsi="Arial" w:cs="Arial"/>
          <w:color w:val="000000"/>
          <w:sz w:val="20"/>
          <w:szCs w:val="20"/>
        </w:rPr>
        <w:t>While from time to time we enter into transactions to hedge portions of our foreign currency translation exposure, it is impossible to predict or eliminate the e</w:t>
      </w:r>
      <w:r>
        <w:rPr>
          <w:rFonts w:ascii="Arial" w:eastAsia="宋体" w:hAnsi="Arial" w:cs="Arial"/>
          <w:color w:val="000000"/>
          <w:sz w:val="20"/>
          <w:szCs w:val="20"/>
        </w:rPr>
        <w:t>ffects of this exposure. Fluctuations in foreign exchange rates could significantly impact our financial results, which may have a significant impact on the trading price of our common stock and debt securities.</w:t>
      </w:r>
    </w:p>
    <w:p w14:paraId="64A8B642" w14:textId="77777777" w:rsidR="008D6614" w:rsidRDefault="008D6614">
      <w:pPr>
        <w:ind w:firstLine="450"/>
        <w:jc w:val="both"/>
      </w:pPr>
    </w:p>
    <w:p w14:paraId="64A8B643" w14:textId="77777777" w:rsidR="008D6614" w:rsidRDefault="00866AF2">
      <w:pPr>
        <w:ind w:firstLine="450"/>
        <w:jc w:val="both"/>
      </w:pPr>
      <w:r>
        <w:rPr>
          <w:rFonts w:ascii="Arial" w:eastAsia="宋体" w:hAnsi="Arial" w:cs="Arial"/>
          <w:i/>
          <w:iCs/>
          <w:color w:val="000000"/>
          <w:sz w:val="20"/>
          <w:szCs w:val="20"/>
        </w:rPr>
        <w:t>Our international operations are subject to</w:t>
      </w:r>
      <w:r>
        <w:rPr>
          <w:rFonts w:ascii="Arial" w:eastAsia="宋体" w:hAnsi="Arial" w:cs="Arial"/>
          <w:i/>
          <w:iCs/>
          <w:color w:val="000000"/>
          <w:sz w:val="20"/>
          <w:szCs w:val="20"/>
        </w:rPr>
        <w:t xml:space="preserve"> increased risks, which could harm our business.</w:t>
      </w:r>
    </w:p>
    <w:p w14:paraId="64A8B644" w14:textId="77777777" w:rsidR="008D6614" w:rsidRDefault="008D6614">
      <w:pPr>
        <w:ind w:firstLine="450"/>
        <w:jc w:val="both"/>
      </w:pPr>
    </w:p>
    <w:p w14:paraId="64A8B645" w14:textId="77777777" w:rsidR="008D6614" w:rsidRDefault="00866AF2">
      <w:pPr>
        <w:ind w:firstLine="450"/>
        <w:jc w:val="both"/>
      </w:pPr>
      <w:r>
        <w:rPr>
          <w:rFonts w:ascii="Arial" w:eastAsia="宋体" w:hAnsi="Arial" w:cs="Arial"/>
          <w:color w:val="000000"/>
          <w:sz w:val="20"/>
          <w:szCs w:val="20"/>
        </w:rPr>
        <w:t xml:space="preserve">Our international businesses, especially in the United Kingdom, Germany, Australia and Korea, and cross-border business from greater China, have generated a majority of our net revenues in recent years. In </w:t>
      </w:r>
      <w:r>
        <w:rPr>
          <w:rFonts w:ascii="Arial" w:eastAsia="宋体" w:hAnsi="Arial" w:cs="Arial"/>
          <w:color w:val="000000"/>
          <w:sz w:val="20"/>
          <w:szCs w:val="20"/>
        </w:rPr>
        <w:t>addition to uncertainty about our ability to generate revenues from our foreign operations and expand into international markets, there are risks inherent in doing business internationally, including:</w:t>
      </w:r>
    </w:p>
    <w:p w14:paraId="64A8B646" w14:textId="77777777" w:rsidR="008D6614" w:rsidRDefault="008D6614">
      <w:pPr>
        <w:jc w:val="both"/>
      </w:pPr>
    </w:p>
    <w:p w14:paraId="64A8B647" w14:textId="77777777" w:rsidR="008D6614" w:rsidRDefault="00866AF2">
      <w:pPr>
        <w:ind w:hanging="360"/>
        <w:jc w:val="both"/>
      </w:pPr>
      <w:r>
        <w:rPr>
          <w:rFonts w:ascii="Arial" w:eastAsia="宋体" w:hAnsi="Arial" w:cs="Arial"/>
          <w:color w:val="000000"/>
          <w:sz w:val="20"/>
          <w:szCs w:val="20"/>
        </w:rPr>
        <w:t xml:space="preserve">•uncertainties and instability in economic and market </w:t>
      </w:r>
      <w:r>
        <w:rPr>
          <w:rFonts w:ascii="Arial" w:eastAsia="宋体" w:hAnsi="Arial" w:cs="Arial"/>
          <w:color w:val="000000"/>
          <w:sz w:val="20"/>
          <w:szCs w:val="20"/>
        </w:rPr>
        <w:t>conditions caused by the United Kingdom’s vote to exit the European Union and any outcomes resulting from that vote;</w:t>
      </w:r>
    </w:p>
    <w:p w14:paraId="64A8B648" w14:textId="77777777" w:rsidR="008D6614" w:rsidRDefault="00866AF2">
      <w:pPr>
        <w:ind w:hanging="360"/>
        <w:jc w:val="both"/>
      </w:pPr>
      <w:r>
        <w:rPr>
          <w:rFonts w:ascii="Arial" w:eastAsia="宋体" w:hAnsi="Arial" w:cs="Arial"/>
          <w:color w:val="000000"/>
          <w:sz w:val="20"/>
          <w:szCs w:val="20"/>
        </w:rPr>
        <w:t>•uncertainty regarding how the United Kingdom’s access to the European Union Single Market and the wider trading, legal, regulatory and lab</w:t>
      </w:r>
      <w:r>
        <w:rPr>
          <w:rFonts w:ascii="Arial" w:eastAsia="宋体" w:hAnsi="Arial" w:cs="Arial"/>
          <w:color w:val="000000"/>
          <w:sz w:val="20"/>
          <w:szCs w:val="20"/>
        </w:rPr>
        <w:t>or environments, especially in the United Kingdom and European Union, will be impacted by the United Kingdom’s vote to exit the European Union and any outcomes resulting from that vote, including the resulting impact on our business and that of our clients</w:t>
      </w:r>
      <w:r>
        <w:rPr>
          <w:rFonts w:ascii="Arial" w:eastAsia="宋体" w:hAnsi="Arial" w:cs="Arial"/>
          <w:color w:val="000000"/>
          <w:sz w:val="20"/>
          <w:szCs w:val="20"/>
        </w:rPr>
        <w:t>;</w:t>
      </w:r>
    </w:p>
    <w:p w14:paraId="64A8B649" w14:textId="77777777" w:rsidR="008D6614" w:rsidRDefault="00866AF2">
      <w:pPr>
        <w:ind w:hanging="360"/>
        <w:jc w:val="both"/>
      </w:pPr>
      <w:r>
        <w:rPr>
          <w:rFonts w:ascii="Arial" w:eastAsia="宋体" w:hAnsi="Arial" w:cs="Arial"/>
          <w:color w:val="000000"/>
          <w:sz w:val="20"/>
          <w:szCs w:val="20"/>
        </w:rPr>
        <w:t>•expenses associated with localizing our products and services and customer data, including offering customers the ability to transact business in the local currency and adapting our products and services to local preferences (e.g., payment methods) with</w:t>
      </w:r>
      <w:r>
        <w:rPr>
          <w:rFonts w:ascii="Arial" w:eastAsia="宋体" w:hAnsi="Arial" w:cs="Arial"/>
          <w:color w:val="000000"/>
          <w:sz w:val="20"/>
          <w:szCs w:val="20"/>
        </w:rPr>
        <w:t xml:space="preserve"> which we may have limited or no experience;</w:t>
      </w:r>
    </w:p>
    <w:p w14:paraId="64A8B64A" w14:textId="77777777" w:rsidR="008D6614" w:rsidRDefault="008D6614">
      <w:pPr>
        <w:jc w:val="center"/>
      </w:pPr>
    </w:p>
    <w:p w14:paraId="64A8B64B" w14:textId="77777777" w:rsidR="008D6614" w:rsidRDefault="00866AF2">
      <w:pPr>
        <w:jc w:val="center"/>
      </w:pPr>
      <w:r>
        <w:rPr>
          <w:rFonts w:ascii="Arial" w:eastAsia="宋体" w:hAnsi="Arial" w:cs="Arial"/>
          <w:color w:val="000000"/>
          <w:sz w:val="20"/>
          <w:szCs w:val="20"/>
        </w:rPr>
        <w:t>53</w:t>
      </w:r>
    </w:p>
    <w:p w14:paraId="64A8B64C" w14:textId="77777777" w:rsidR="008D6614" w:rsidRDefault="00866AF2">
      <w:r>
        <w:pict w14:anchorId="64A8BA12">
          <v:rect id="_x0000_i1077" style="width:415.3pt;height:1.5pt" o:hralign="center" o:hrstd="t" o:hr="t" fillcolor="#a0a0a0" stroked="f"/>
        </w:pict>
      </w:r>
    </w:p>
    <w:p w14:paraId="64A8B64D" w14:textId="77777777" w:rsidR="008D6614" w:rsidRDefault="008D6614"/>
    <w:p w14:paraId="64A8B64E" w14:textId="77777777" w:rsidR="008D6614" w:rsidRDefault="00866AF2">
      <w:pPr>
        <w:ind w:hanging="360"/>
        <w:jc w:val="both"/>
      </w:pPr>
      <w:r>
        <w:rPr>
          <w:rFonts w:ascii="Arial" w:eastAsia="宋体" w:hAnsi="Arial" w:cs="Arial"/>
          <w:color w:val="000000"/>
          <w:sz w:val="20"/>
          <w:szCs w:val="20"/>
        </w:rPr>
        <w:t>•trade barriers and changes in trade regulations;</w:t>
      </w:r>
    </w:p>
    <w:p w14:paraId="64A8B64F" w14:textId="77777777" w:rsidR="008D6614" w:rsidRDefault="00866AF2">
      <w:pPr>
        <w:ind w:hanging="360"/>
        <w:jc w:val="both"/>
      </w:pPr>
      <w:r>
        <w:rPr>
          <w:rFonts w:ascii="Arial" w:eastAsia="宋体" w:hAnsi="Arial" w:cs="Arial"/>
          <w:color w:val="000000"/>
          <w:sz w:val="20"/>
          <w:szCs w:val="20"/>
        </w:rPr>
        <w:t>•difficulties in developing, staffing, and simultaneously managing a large number of varying foreign operations as a result of distance, language, and cul</w:t>
      </w:r>
      <w:r>
        <w:rPr>
          <w:rFonts w:ascii="Arial" w:eastAsia="宋体" w:hAnsi="Arial" w:cs="Arial"/>
          <w:color w:val="000000"/>
          <w:sz w:val="20"/>
          <w:szCs w:val="20"/>
        </w:rPr>
        <w:t>tural differences;</w:t>
      </w:r>
    </w:p>
    <w:p w14:paraId="64A8B650" w14:textId="77777777" w:rsidR="008D6614" w:rsidRDefault="00866AF2">
      <w:pPr>
        <w:ind w:hanging="360"/>
        <w:jc w:val="both"/>
      </w:pPr>
      <w:r>
        <w:rPr>
          <w:rFonts w:ascii="Arial" w:eastAsia="宋体" w:hAnsi="Arial" w:cs="Arial"/>
          <w:color w:val="000000"/>
          <w:sz w:val="20"/>
          <w:szCs w:val="20"/>
        </w:rPr>
        <w:t>•stringent local labor laws and regulations;</w:t>
      </w:r>
    </w:p>
    <w:p w14:paraId="64A8B651" w14:textId="77777777" w:rsidR="008D6614" w:rsidRDefault="00866AF2">
      <w:pPr>
        <w:ind w:hanging="360"/>
        <w:jc w:val="both"/>
      </w:pPr>
      <w:r>
        <w:rPr>
          <w:rFonts w:ascii="Arial" w:eastAsia="宋体" w:hAnsi="Arial" w:cs="Arial"/>
          <w:color w:val="000000"/>
          <w:sz w:val="20"/>
          <w:szCs w:val="20"/>
        </w:rPr>
        <w:t>•credit risk and higher levels of payment fraud;</w:t>
      </w:r>
    </w:p>
    <w:p w14:paraId="64A8B652" w14:textId="77777777" w:rsidR="008D6614" w:rsidRDefault="00866AF2">
      <w:pPr>
        <w:ind w:hanging="360"/>
        <w:jc w:val="both"/>
      </w:pPr>
      <w:r>
        <w:rPr>
          <w:rFonts w:ascii="Arial" w:eastAsia="宋体" w:hAnsi="Arial" w:cs="Arial"/>
          <w:color w:val="000000"/>
          <w:sz w:val="20"/>
          <w:szCs w:val="20"/>
        </w:rPr>
        <w:t>•profit repatriation restrictions, foreign currency exchange restrictions or extreme fluctuations in foreign currency exchange rates for a part</w:t>
      </w:r>
      <w:r>
        <w:rPr>
          <w:rFonts w:ascii="Arial" w:eastAsia="宋体" w:hAnsi="Arial" w:cs="Arial"/>
          <w:color w:val="000000"/>
          <w:sz w:val="20"/>
          <w:szCs w:val="20"/>
        </w:rPr>
        <w:t>icular currency;</w:t>
      </w:r>
    </w:p>
    <w:p w14:paraId="64A8B653" w14:textId="77777777" w:rsidR="008D6614" w:rsidRDefault="00866AF2">
      <w:pPr>
        <w:ind w:hanging="360"/>
        <w:jc w:val="both"/>
      </w:pPr>
      <w:r>
        <w:rPr>
          <w:rFonts w:ascii="Arial" w:eastAsia="宋体" w:hAnsi="Arial" w:cs="Arial"/>
          <w:color w:val="000000"/>
          <w:sz w:val="20"/>
          <w:szCs w:val="20"/>
        </w:rPr>
        <w:t>•political or social unrest, economic instability, repression, or human rights issues;</w:t>
      </w:r>
    </w:p>
    <w:p w14:paraId="64A8B654" w14:textId="77777777" w:rsidR="008D6614" w:rsidRDefault="00866AF2">
      <w:pPr>
        <w:ind w:hanging="360"/>
        <w:jc w:val="both"/>
      </w:pPr>
      <w:r>
        <w:rPr>
          <w:rFonts w:ascii="Arial" w:eastAsia="宋体" w:hAnsi="Arial" w:cs="Arial"/>
          <w:color w:val="000000"/>
          <w:sz w:val="20"/>
          <w:szCs w:val="20"/>
        </w:rPr>
        <w:t>•geopolitical events, including natural disasters, public health issues (such as the coronavirus), acts of war, and terrorism;</w:t>
      </w:r>
    </w:p>
    <w:p w14:paraId="64A8B655" w14:textId="77777777" w:rsidR="008D6614" w:rsidRDefault="00866AF2">
      <w:pPr>
        <w:ind w:hanging="360"/>
        <w:jc w:val="both"/>
      </w:pPr>
      <w:r>
        <w:rPr>
          <w:rFonts w:ascii="Arial" w:eastAsia="宋体" w:hAnsi="Arial" w:cs="Arial"/>
          <w:color w:val="000000"/>
          <w:sz w:val="20"/>
          <w:szCs w:val="20"/>
        </w:rPr>
        <w:t xml:space="preserve">•import or export </w:t>
      </w:r>
      <w:r>
        <w:rPr>
          <w:rFonts w:ascii="Arial" w:eastAsia="宋体" w:hAnsi="Arial" w:cs="Arial"/>
          <w:color w:val="000000"/>
          <w:sz w:val="20"/>
          <w:szCs w:val="20"/>
        </w:rPr>
        <w:t>regulations;</w:t>
      </w:r>
    </w:p>
    <w:p w14:paraId="64A8B656" w14:textId="77777777" w:rsidR="008D6614" w:rsidRDefault="00866AF2">
      <w:pPr>
        <w:ind w:hanging="360"/>
        <w:jc w:val="both"/>
      </w:pPr>
      <w:r>
        <w:rPr>
          <w:rFonts w:ascii="Arial" w:eastAsia="宋体" w:hAnsi="Arial" w:cs="Arial"/>
          <w:color w:val="000000"/>
          <w:sz w:val="20"/>
          <w:szCs w:val="20"/>
        </w:rPr>
        <w:t>•compliance with U.S. laws such as the Foreign Corrupt Practices Act, and foreign laws prohibiting corrupt payments to government officials, as well as U.S. and foreign laws designed to combat money laundering and the financing of terrorist ac</w:t>
      </w:r>
      <w:r>
        <w:rPr>
          <w:rFonts w:ascii="Arial" w:eastAsia="宋体" w:hAnsi="Arial" w:cs="Arial"/>
          <w:color w:val="000000"/>
          <w:sz w:val="20"/>
          <w:szCs w:val="20"/>
        </w:rPr>
        <w:t>tivities;</w:t>
      </w:r>
    </w:p>
    <w:p w14:paraId="64A8B657" w14:textId="77777777" w:rsidR="008D6614" w:rsidRDefault="00866AF2">
      <w:pPr>
        <w:ind w:hanging="360"/>
        <w:jc w:val="both"/>
      </w:pPr>
      <w:r>
        <w:rPr>
          <w:rFonts w:ascii="Arial" w:eastAsia="宋体" w:hAnsi="Arial" w:cs="Arial"/>
          <w:color w:val="000000"/>
          <w:sz w:val="20"/>
          <w:szCs w:val="20"/>
        </w:rPr>
        <w:t>•antitrust and competition regulations;</w:t>
      </w:r>
    </w:p>
    <w:p w14:paraId="64A8B658" w14:textId="77777777" w:rsidR="008D6614" w:rsidRDefault="00866AF2">
      <w:pPr>
        <w:ind w:hanging="360"/>
        <w:jc w:val="both"/>
      </w:pPr>
      <w:r>
        <w:rPr>
          <w:rFonts w:ascii="Arial" w:eastAsia="宋体" w:hAnsi="Arial" w:cs="Arial"/>
          <w:color w:val="000000"/>
          <w:sz w:val="20"/>
          <w:szCs w:val="20"/>
        </w:rPr>
        <w:t>•potentially adverse tax developments and consequences;</w:t>
      </w:r>
    </w:p>
    <w:p w14:paraId="64A8B659" w14:textId="77777777" w:rsidR="008D6614" w:rsidRDefault="00866AF2">
      <w:pPr>
        <w:ind w:hanging="360"/>
        <w:jc w:val="both"/>
      </w:pPr>
      <w:r>
        <w:rPr>
          <w:rFonts w:ascii="Arial" w:eastAsia="宋体" w:hAnsi="Arial" w:cs="Arial"/>
          <w:color w:val="000000"/>
          <w:sz w:val="20"/>
          <w:szCs w:val="20"/>
        </w:rPr>
        <w:t>•economic uncertainties relating to sovereign and other debt;</w:t>
      </w:r>
    </w:p>
    <w:p w14:paraId="64A8B65A" w14:textId="77777777" w:rsidR="008D6614" w:rsidRDefault="00866AF2">
      <w:pPr>
        <w:ind w:hanging="360"/>
        <w:jc w:val="both"/>
      </w:pPr>
      <w:r>
        <w:rPr>
          <w:rFonts w:ascii="Arial" w:eastAsia="宋体" w:hAnsi="Arial" w:cs="Arial"/>
          <w:color w:val="000000"/>
          <w:sz w:val="20"/>
          <w:szCs w:val="20"/>
        </w:rPr>
        <w:t xml:space="preserve">•different, uncertain, or more stringent user protection, data protection, privacy, and </w:t>
      </w:r>
      <w:r>
        <w:rPr>
          <w:rFonts w:ascii="Arial" w:eastAsia="宋体" w:hAnsi="Arial" w:cs="Arial"/>
          <w:color w:val="000000"/>
          <w:sz w:val="20"/>
          <w:szCs w:val="20"/>
        </w:rPr>
        <w:t xml:space="preserve">other laws; </w:t>
      </w:r>
    </w:p>
    <w:p w14:paraId="64A8B65B" w14:textId="77777777" w:rsidR="008D6614" w:rsidRDefault="00866AF2">
      <w:pPr>
        <w:ind w:hanging="360"/>
        <w:jc w:val="both"/>
      </w:pPr>
      <w:r>
        <w:rPr>
          <w:rFonts w:ascii="Arial" w:eastAsia="宋体" w:hAnsi="Arial" w:cs="Arial"/>
          <w:color w:val="000000"/>
          <w:sz w:val="20"/>
          <w:szCs w:val="20"/>
        </w:rPr>
        <w:t>•risks related to other government regulation or required compliance with local laws;</w:t>
      </w:r>
    </w:p>
    <w:p w14:paraId="64A8B65C" w14:textId="77777777" w:rsidR="008D6614" w:rsidRDefault="00866AF2">
      <w:pPr>
        <w:ind w:hanging="360"/>
        <w:jc w:val="both"/>
      </w:pPr>
      <w:r>
        <w:rPr>
          <w:rFonts w:ascii="Arial" w:eastAsia="宋体" w:hAnsi="Arial" w:cs="Arial"/>
          <w:color w:val="000000"/>
          <w:sz w:val="20"/>
          <w:szCs w:val="20"/>
        </w:rPr>
        <w:t>•national or regional differences in macroeconomic growth rates;</w:t>
      </w:r>
    </w:p>
    <w:p w14:paraId="64A8B65D" w14:textId="77777777" w:rsidR="008D6614" w:rsidRDefault="00866AF2">
      <w:pPr>
        <w:ind w:hanging="360"/>
        <w:jc w:val="both"/>
      </w:pPr>
      <w:r>
        <w:rPr>
          <w:rFonts w:ascii="Arial" w:eastAsia="宋体" w:hAnsi="Arial" w:cs="Arial"/>
          <w:color w:val="000000"/>
          <w:sz w:val="20"/>
          <w:szCs w:val="20"/>
        </w:rPr>
        <w:t>•payment intermediation regulations;</w:t>
      </w:r>
    </w:p>
    <w:p w14:paraId="64A8B65E" w14:textId="77777777" w:rsidR="008D6614" w:rsidRDefault="00866AF2">
      <w:pPr>
        <w:ind w:hanging="360"/>
        <w:jc w:val="both"/>
      </w:pPr>
      <w:r>
        <w:rPr>
          <w:rFonts w:ascii="Arial" w:eastAsia="宋体" w:hAnsi="Arial" w:cs="Arial"/>
          <w:color w:val="000000"/>
          <w:sz w:val="20"/>
          <w:szCs w:val="20"/>
        </w:rPr>
        <w:t>•local licensing and reporting obligations; and</w:t>
      </w:r>
    </w:p>
    <w:p w14:paraId="64A8B65F" w14:textId="77777777" w:rsidR="008D6614" w:rsidRDefault="00866AF2">
      <w:pPr>
        <w:ind w:hanging="360"/>
        <w:jc w:val="both"/>
      </w:pPr>
      <w:r>
        <w:rPr>
          <w:rFonts w:ascii="Arial" w:eastAsia="宋体" w:hAnsi="Arial" w:cs="Arial"/>
          <w:color w:val="000000"/>
          <w:sz w:val="20"/>
          <w:szCs w:val="20"/>
        </w:rPr>
        <w:t>•increa</w:t>
      </w:r>
      <w:r>
        <w:rPr>
          <w:rFonts w:ascii="Arial" w:eastAsia="宋体" w:hAnsi="Arial" w:cs="Arial"/>
          <w:color w:val="000000"/>
          <w:sz w:val="20"/>
          <w:szCs w:val="20"/>
        </w:rPr>
        <w:t>sed difficulties in collecting accounts receivable.</w:t>
      </w:r>
    </w:p>
    <w:p w14:paraId="64A8B660" w14:textId="77777777" w:rsidR="008D6614" w:rsidRDefault="00866AF2">
      <w:pPr>
        <w:jc w:val="both"/>
      </w:pPr>
      <w:r>
        <w:rPr>
          <w:rFonts w:ascii="Arial" w:eastAsia="宋体" w:hAnsi="Arial" w:cs="Arial"/>
          <w:color w:val="000000"/>
          <w:sz w:val="20"/>
          <w:szCs w:val="20"/>
        </w:rPr>
        <w:t> </w:t>
      </w:r>
    </w:p>
    <w:p w14:paraId="64A8B661" w14:textId="77777777" w:rsidR="008D6614" w:rsidRDefault="00866AF2">
      <w:pPr>
        <w:ind w:firstLine="450"/>
        <w:jc w:val="both"/>
      </w:pPr>
      <w:r>
        <w:rPr>
          <w:rFonts w:ascii="Arial" w:eastAsia="宋体" w:hAnsi="Arial" w:cs="Arial"/>
          <w:color w:val="000000"/>
          <w:sz w:val="20"/>
          <w:szCs w:val="20"/>
        </w:rPr>
        <w:t>Violations of the complex foreign and U.S. laws and regulations that apply to our international operations may result in fines, criminal actions, or sanctions against us, our officers, or our employees;</w:t>
      </w:r>
      <w:r>
        <w:rPr>
          <w:rFonts w:ascii="Arial" w:eastAsia="宋体" w:hAnsi="Arial" w:cs="Arial"/>
          <w:color w:val="000000"/>
          <w:sz w:val="20"/>
          <w:szCs w:val="20"/>
        </w:rPr>
        <w:t xml:space="preserve"> prohibitions on the conduct of our business; and damage to our reputation. Although we have implemented policies and procedures designed to promote compliance with these laws, there can be no assurance that our employees, contractors, or agents will not v</w:t>
      </w:r>
      <w:r>
        <w:rPr>
          <w:rFonts w:ascii="Arial" w:eastAsia="宋体" w:hAnsi="Arial" w:cs="Arial"/>
          <w:color w:val="000000"/>
          <w:sz w:val="20"/>
          <w:szCs w:val="20"/>
        </w:rPr>
        <w:t xml:space="preserve">iolate our policies. These risks inherent in our international operations and expansion increase our costs of doing business internationally and could harm our business. </w:t>
      </w:r>
    </w:p>
    <w:p w14:paraId="64A8B662" w14:textId="77777777" w:rsidR="008D6614" w:rsidRDefault="008D6614">
      <w:pPr>
        <w:ind w:firstLine="450"/>
        <w:jc w:val="both"/>
      </w:pPr>
    </w:p>
    <w:p w14:paraId="64A8B663" w14:textId="77777777" w:rsidR="008D6614" w:rsidRDefault="00866AF2">
      <w:pPr>
        <w:ind w:firstLine="450"/>
        <w:jc w:val="both"/>
      </w:pPr>
      <w:r>
        <w:rPr>
          <w:rFonts w:ascii="Arial" w:eastAsia="宋体" w:hAnsi="Arial" w:cs="Arial"/>
          <w:i/>
          <w:iCs/>
          <w:color w:val="000000"/>
          <w:sz w:val="20"/>
          <w:szCs w:val="20"/>
        </w:rPr>
        <w:t>Any factors that reduce cross-border trade or make such trade more difficult could h</w:t>
      </w:r>
      <w:r>
        <w:rPr>
          <w:rFonts w:ascii="Arial" w:eastAsia="宋体" w:hAnsi="Arial" w:cs="Arial"/>
          <w:i/>
          <w:iCs/>
          <w:color w:val="000000"/>
          <w:sz w:val="20"/>
          <w:szCs w:val="20"/>
        </w:rPr>
        <w:t xml:space="preserve">arm our business. </w:t>
      </w:r>
    </w:p>
    <w:p w14:paraId="64A8B664" w14:textId="77777777" w:rsidR="008D6614" w:rsidRDefault="008D6614">
      <w:pPr>
        <w:ind w:firstLine="450"/>
        <w:jc w:val="both"/>
      </w:pPr>
    </w:p>
    <w:p w14:paraId="64A8B665" w14:textId="77777777" w:rsidR="008D6614" w:rsidRDefault="00866AF2">
      <w:pPr>
        <w:ind w:firstLine="450"/>
        <w:jc w:val="both"/>
      </w:pPr>
      <w:r>
        <w:rPr>
          <w:rFonts w:ascii="Arial" w:eastAsia="宋体" w:hAnsi="Arial" w:cs="Arial"/>
          <w:color w:val="000000"/>
          <w:sz w:val="20"/>
          <w:szCs w:val="20"/>
        </w:rPr>
        <w:t>Cross-border trade is an important source of both revenue and profits for us. Cross-border trade also represents our primary (or in some cases, only) presence in certain important markets, such as Brazil/Latin America, China, and variou</w:t>
      </w:r>
      <w:r>
        <w:rPr>
          <w:rFonts w:ascii="Arial" w:eastAsia="宋体" w:hAnsi="Arial" w:cs="Arial"/>
          <w:color w:val="000000"/>
          <w:sz w:val="20"/>
          <w:szCs w:val="20"/>
        </w:rPr>
        <w:t xml:space="preserve">s other countries. In addition, our cross-border trade is also subject to, and may be impacted by, foreign exchange rate fluctuations. </w:t>
      </w:r>
    </w:p>
    <w:p w14:paraId="64A8B666" w14:textId="77777777" w:rsidR="008D6614" w:rsidRDefault="008D6614">
      <w:pPr>
        <w:ind w:firstLine="450"/>
        <w:jc w:val="both"/>
      </w:pPr>
    </w:p>
    <w:p w14:paraId="64A8B667" w14:textId="77777777" w:rsidR="008D6614" w:rsidRDefault="00866AF2">
      <w:pPr>
        <w:ind w:firstLine="450"/>
        <w:jc w:val="both"/>
      </w:pPr>
      <w:r>
        <w:rPr>
          <w:rFonts w:ascii="Arial" w:eastAsia="宋体" w:hAnsi="Arial" w:cs="Arial"/>
          <w:color w:val="000000"/>
          <w:sz w:val="20"/>
          <w:szCs w:val="20"/>
        </w:rPr>
        <w:t>The interpretation and application of specific national or regional laws, such as those related to intellectual propert</w:t>
      </w:r>
      <w:r>
        <w:rPr>
          <w:rFonts w:ascii="Arial" w:eastAsia="宋体" w:hAnsi="Arial" w:cs="Arial"/>
          <w:color w:val="000000"/>
          <w:sz w:val="20"/>
          <w:szCs w:val="20"/>
        </w:rPr>
        <w:t>y rights of authentic products, selective distribution networks, and sellers in other countries listing items on the Internet, and the potential interpretation and application of laws of multiple jurisdictions (e.g., the jurisdiction of the buyer, the sell</w:t>
      </w:r>
      <w:r>
        <w:rPr>
          <w:rFonts w:ascii="Arial" w:eastAsia="宋体" w:hAnsi="Arial" w:cs="Arial"/>
          <w:color w:val="000000"/>
          <w:sz w:val="20"/>
          <w:szCs w:val="20"/>
        </w:rPr>
        <w:t xml:space="preserve">er, and/or the location of the item being sold) are often extremely complicated in the context of cross-border trade. The interpretation and/or application of such laws could impose restrictions on, or increase the costs of, purchasing, selling, shipping, </w:t>
      </w:r>
      <w:r>
        <w:rPr>
          <w:rFonts w:ascii="Arial" w:eastAsia="宋体" w:hAnsi="Arial" w:cs="Arial"/>
          <w:color w:val="000000"/>
          <w:sz w:val="20"/>
          <w:szCs w:val="20"/>
        </w:rPr>
        <w:t>or returning goods across national borders.</w:t>
      </w:r>
    </w:p>
    <w:p w14:paraId="64A8B668" w14:textId="77777777" w:rsidR="008D6614" w:rsidRDefault="00866AF2">
      <w:pPr>
        <w:ind w:firstLine="450"/>
        <w:jc w:val="both"/>
      </w:pPr>
      <w:r>
        <w:rPr>
          <w:rFonts w:ascii="Arial" w:eastAsia="宋体" w:hAnsi="Arial" w:cs="Arial"/>
          <w:color w:val="000000"/>
          <w:sz w:val="20"/>
          <w:szCs w:val="20"/>
        </w:rPr>
        <w:t>  </w:t>
      </w:r>
    </w:p>
    <w:p w14:paraId="64A8B669" w14:textId="77777777" w:rsidR="008D6614" w:rsidRDefault="00866AF2">
      <w:pPr>
        <w:ind w:firstLine="450"/>
        <w:jc w:val="both"/>
      </w:pPr>
      <w:r>
        <w:rPr>
          <w:rFonts w:ascii="Arial" w:eastAsia="宋体" w:hAnsi="Arial" w:cs="Arial"/>
          <w:color w:val="000000"/>
          <w:sz w:val="20"/>
          <w:szCs w:val="20"/>
        </w:rPr>
        <w:t>The shipping of goods across national borders is often more expensive and complicated than domestic shipping. Customs and duty procedures and reviews, including duty-free thresholds in various key markets, the interaction of national postal systems, and se</w:t>
      </w:r>
      <w:r>
        <w:rPr>
          <w:rFonts w:ascii="Arial" w:eastAsia="宋体" w:hAnsi="Arial" w:cs="Arial"/>
          <w:color w:val="000000"/>
          <w:sz w:val="20"/>
          <w:szCs w:val="20"/>
        </w:rPr>
        <w:t>curity related governmental processes at international borders, may increase costs, discourage cross-border purchases, delay transit and create shipping uncertainties. Any factors that increase the costs of cross-border trade or restrict, delay, or make cr</w:t>
      </w:r>
      <w:r>
        <w:rPr>
          <w:rFonts w:ascii="Arial" w:eastAsia="宋体" w:hAnsi="Arial" w:cs="Arial"/>
          <w:color w:val="000000"/>
          <w:sz w:val="20"/>
          <w:szCs w:val="20"/>
        </w:rPr>
        <w:t xml:space="preserve">oss-border trade more difficult or impractical would lower our revenues and profits and could harm our business. </w:t>
      </w:r>
    </w:p>
    <w:p w14:paraId="64A8B66A" w14:textId="77777777" w:rsidR="008D6614" w:rsidRDefault="008D6614">
      <w:pPr>
        <w:ind w:firstLine="450"/>
        <w:jc w:val="both"/>
      </w:pPr>
    </w:p>
    <w:p w14:paraId="64A8B66B" w14:textId="77777777" w:rsidR="008D6614" w:rsidRDefault="00866AF2">
      <w:pPr>
        <w:ind w:firstLine="450"/>
        <w:jc w:val="both"/>
      </w:pPr>
      <w:r>
        <w:rPr>
          <w:rFonts w:ascii="Arial" w:eastAsia="宋体" w:hAnsi="Arial" w:cs="Arial"/>
          <w:i/>
          <w:iCs/>
          <w:color w:val="000000"/>
          <w:sz w:val="20"/>
          <w:szCs w:val="20"/>
        </w:rPr>
        <w:t xml:space="preserve">Our business may be adversely affected by geopolitical events, natural disasters, seasonal factors and other factors that cause our users to </w:t>
      </w:r>
      <w:r>
        <w:rPr>
          <w:rFonts w:ascii="Arial" w:eastAsia="宋体" w:hAnsi="Arial" w:cs="Arial"/>
          <w:i/>
          <w:iCs/>
          <w:color w:val="000000"/>
          <w:sz w:val="20"/>
          <w:szCs w:val="20"/>
        </w:rPr>
        <w:t>spend less time on our websites or mobile platforms and applications, including increased usage of other websites.</w:t>
      </w:r>
    </w:p>
    <w:p w14:paraId="64A8B66C" w14:textId="77777777" w:rsidR="008D6614" w:rsidRDefault="008D6614">
      <w:pPr>
        <w:ind w:firstLine="450"/>
        <w:jc w:val="both"/>
      </w:pPr>
    </w:p>
    <w:p w14:paraId="64A8B66D" w14:textId="77777777" w:rsidR="008D6614" w:rsidRDefault="00866AF2">
      <w:pPr>
        <w:ind w:firstLine="450"/>
        <w:jc w:val="both"/>
      </w:pPr>
      <w:r>
        <w:rPr>
          <w:rFonts w:ascii="Arial" w:eastAsia="宋体" w:hAnsi="Arial" w:cs="Arial"/>
          <w:color w:val="000000"/>
          <w:sz w:val="20"/>
          <w:szCs w:val="20"/>
        </w:rPr>
        <w:t>Our users may spend less time on our websites and our applications for mobile devices as a result of a variety of diversions, including: geo</w:t>
      </w:r>
      <w:r>
        <w:rPr>
          <w:rFonts w:ascii="Arial" w:eastAsia="宋体" w:hAnsi="Arial" w:cs="Arial"/>
          <w:color w:val="000000"/>
          <w:sz w:val="20"/>
          <w:szCs w:val="20"/>
        </w:rPr>
        <w:t xml:space="preserve">political events, such as war, the threat of war, or terrorist activity; natural disasters or </w:t>
      </w:r>
    </w:p>
    <w:p w14:paraId="64A8B66E" w14:textId="77777777" w:rsidR="008D6614" w:rsidRDefault="008D6614">
      <w:pPr>
        <w:jc w:val="center"/>
      </w:pPr>
    </w:p>
    <w:p w14:paraId="64A8B66F" w14:textId="77777777" w:rsidR="008D6614" w:rsidRDefault="00866AF2">
      <w:pPr>
        <w:jc w:val="center"/>
      </w:pPr>
      <w:r>
        <w:rPr>
          <w:rFonts w:ascii="Arial" w:eastAsia="宋体" w:hAnsi="Arial" w:cs="Arial"/>
          <w:color w:val="000000"/>
          <w:sz w:val="20"/>
          <w:szCs w:val="20"/>
        </w:rPr>
        <w:t>54</w:t>
      </w:r>
    </w:p>
    <w:p w14:paraId="64A8B670" w14:textId="77777777" w:rsidR="008D6614" w:rsidRDefault="00866AF2">
      <w:r>
        <w:pict w14:anchorId="64A8BA13">
          <v:rect id="_x0000_i1078" style="width:415.3pt;height:1.5pt" o:hralign="center" o:hrstd="t" o:hr="t" fillcolor="#a0a0a0" stroked="f"/>
        </w:pict>
      </w:r>
    </w:p>
    <w:p w14:paraId="64A8B671" w14:textId="77777777" w:rsidR="008D6614" w:rsidRDefault="008D6614"/>
    <w:p w14:paraId="64A8B672" w14:textId="77777777" w:rsidR="008D6614" w:rsidRDefault="00866AF2">
      <w:pPr>
        <w:jc w:val="both"/>
      </w:pPr>
      <w:r>
        <w:rPr>
          <w:rFonts w:ascii="Arial" w:eastAsia="宋体" w:hAnsi="Arial" w:cs="Arial"/>
          <w:color w:val="000000"/>
          <w:sz w:val="20"/>
          <w:szCs w:val="20"/>
        </w:rPr>
        <w:t>the effects of climate change (such as drought, flooding, wildfires, increased storm severity, and sea level rise); power shortages or outages, major public health issues, including pandemics (such as COVID-19); social networking or other entertainment web</w:t>
      </w:r>
      <w:r>
        <w:rPr>
          <w:rFonts w:ascii="Arial" w:eastAsia="宋体" w:hAnsi="Arial" w:cs="Arial"/>
          <w:color w:val="000000"/>
          <w:sz w:val="20"/>
          <w:szCs w:val="20"/>
        </w:rPr>
        <w:t xml:space="preserve">sites or mobile applications; significant local, national or global events capturing the attention of a large part of the population; and seasonal fluctuations due to a variety of factors. If any of these, or any other factors, divert our users from using </w:t>
      </w:r>
      <w:r>
        <w:rPr>
          <w:rFonts w:ascii="Arial" w:eastAsia="宋体" w:hAnsi="Arial" w:cs="Arial"/>
          <w:color w:val="000000"/>
          <w:sz w:val="20"/>
          <w:szCs w:val="20"/>
        </w:rPr>
        <w:t xml:space="preserve">our websites or mobile applications, our business could be materially adversely affected. </w:t>
      </w:r>
    </w:p>
    <w:p w14:paraId="64A8B673" w14:textId="77777777" w:rsidR="008D6614" w:rsidRDefault="008D6614">
      <w:pPr>
        <w:ind w:firstLine="450"/>
        <w:jc w:val="both"/>
      </w:pPr>
    </w:p>
    <w:p w14:paraId="64A8B674" w14:textId="77777777" w:rsidR="008D6614" w:rsidRDefault="00866AF2">
      <w:pPr>
        <w:ind w:firstLine="450"/>
        <w:jc w:val="both"/>
      </w:pPr>
      <w:r>
        <w:rPr>
          <w:rFonts w:ascii="Arial" w:eastAsia="宋体" w:hAnsi="Arial" w:cs="Arial"/>
          <w:i/>
          <w:iCs/>
          <w:color w:val="000000"/>
          <w:sz w:val="20"/>
          <w:szCs w:val="20"/>
        </w:rPr>
        <w:t>Our success depends to a large degree on our ability to successfully address the rapidly evolving market for transactions on mobile devices.</w:t>
      </w:r>
    </w:p>
    <w:p w14:paraId="64A8B675" w14:textId="77777777" w:rsidR="008D6614" w:rsidRDefault="008D6614">
      <w:pPr>
        <w:ind w:firstLine="450"/>
        <w:jc w:val="both"/>
      </w:pPr>
    </w:p>
    <w:p w14:paraId="64A8B676" w14:textId="77777777" w:rsidR="008D6614" w:rsidRDefault="00866AF2">
      <w:pPr>
        <w:ind w:firstLine="450"/>
        <w:jc w:val="both"/>
      </w:pPr>
      <w:r>
        <w:rPr>
          <w:rFonts w:ascii="Arial" w:eastAsia="宋体" w:hAnsi="Arial" w:cs="Arial"/>
          <w:color w:val="000000"/>
          <w:sz w:val="20"/>
          <w:szCs w:val="20"/>
        </w:rPr>
        <w:t>Mobile devices are inc</w:t>
      </w:r>
      <w:r>
        <w:rPr>
          <w:rFonts w:ascii="Arial" w:eastAsia="宋体" w:hAnsi="Arial" w:cs="Arial"/>
          <w:color w:val="000000"/>
          <w:sz w:val="20"/>
          <w:szCs w:val="20"/>
        </w:rPr>
        <w:t xml:space="preserve">reasingly used for ecommerce transactions. A significant and growing portion of our users access our platforms through mobile devices. We may lose users if we are not able to continue to meet our users’ mobile and multi-screen experience expectations. The </w:t>
      </w:r>
      <w:r>
        <w:rPr>
          <w:rFonts w:ascii="Arial" w:eastAsia="宋体" w:hAnsi="Arial" w:cs="Arial"/>
          <w:color w:val="000000"/>
          <w:sz w:val="20"/>
          <w:szCs w:val="20"/>
        </w:rPr>
        <w:t>variety of technical and other configurations across different mobile devices and platforms increases the challenges associated with this environment. In addition, a number of other companies with significant resources and a number of innovative startups h</w:t>
      </w:r>
      <w:r>
        <w:rPr>
          <w:rFonts w:ascii="Arial" w:eastAsia="宋体" w:hAnsi="Arial" w:cs="Arial"/>
          <w:color w:val="000000"/>
          <w:sz w:val="20"/>
          <w:szCs w:val="20"/>
        </w:rPr>
        <w:t>ave introduced products and services focusing on mobile markets.</w:t>
      </w:r>
    </w:p>
    <w:p w14:paraId="64A8B677" w14:textId="77777777" w:rsidR="008D6614" w:rsidRDefault="008D6614">
      <w:pPr>
        <w:ind w:firstLine="450"/>
        <w:jc w:val="both"/>
      </w:pPr>
    </w:p>
    <w:p w14:paraId="64A8B678" w14:textId="77777777" w:rsidR="008D6614" w:rsidRDefault="00866AF2">
      <w:pPr>
        <w:ind w:firstLine="450"/>
        <w:jc w:val="both"/>
      </w:pPr>
      <w:r>
        <w:rPr>
          <w:rFonts w:ascii="Arial" w:eastAsia="宋体" w:hAnsi="Arial" w:cs="Arial"/>
          <w:color w:val="000000"/>
          <w:sz w:val="20"/>
          <w:szCs w:val="20"/>
        </w:rPr>
        <w:t xml:space="preserve">Our ability to successfully address the challenges posed by the rapidly evolving market for mobile transactions is crucial to our continued success, and any failure to continuously increase </w:t>
      </w:r>
      <w:r>
        <w:rPr>
          <w:rFonts w:ascii="Arial" w:eastAsia="宋体" w:hAnsi="Arial" w:cs="Arial"/>
          <w:color w:val="000000"/>
          <w:sz w:val="20"/>
          <w:szCs w:val="20"/>
        </w:rPr>
        <w:t>the volume of mobile transactions effected through our platforms could harm our business.</w:t>
      </w:r>
    </w:p>
    <w:p w14:paraId="64A8B679" w14:textId="77777777" w:rsidR="008D6614" w:rsidRDefault="008D6614">
      <w:pPr>
        <w:ind w:firstLine="450"/>
        <w:jc w:val="both"/>
      </w:pPr>
    </w:p>
    <w:p w14:paraId="64A8B67A" w14:textId="77777777" w:rsidR="008D6614" w:rsidRDefault="00866AF2">
      <w:pPr>
        <w:ind w:firstLine="450"/>
        <w:jc w:val="both"/>
      </w:pPr>
      <w:r>
        <w:rPr>
          <w:rFonts w:ascii="Arial" w:eastAsia="宋体" w:hAnsi="Arial" w:cs="Arial"/>
          <w:i/>
          <w:iCs/>
          <w:color w:val="000000"/>
          <w:sz w:val="20"/>
          <w:szCs w:val="20"/>
        </w:rPr>
        <w:t>If we cannot keep pace with rapid technological developments or continue to innovate and create new initiatives to provide new programs, products and services, the u</w:t>
      </w:r>
      <w:r>
        <w:rPr>
          <w:rFonts w:ascii="Arial" w:eastAsia="宋体" w:hAnsi="Arial" w:cs="Arial"/>
          <w:i/>
          <w:iCs/>
          <w:color w:val="000000"/>
          <w:sz w:val="20"/>
          <w:szCs w:val="20"/>
        </w:rPr>
        <w:t>se of our products and our revenues could decline.</w:t>
      </w:r>
    </w:p>
    <w:p w14:paraId="64A8B67B" w14:textId="77777777" w:rsidR="008D6614" w:rsidRDefault="008D6614">
      <w:pPr>
        <w:ind w:firstLine="450"/>
        <w:jc w:val="both"/>
      </w:pPr>
    </w:p>
    <w:p w14:paraId="64A8B67C" w14:textId="77777777" w:rsidR="008D6614" w:rsidRDefault="00866AF2">
      <w:pPr>
        <w:ind w:firstLine="450"/>
        <w:jc w:val="both"/>
      </w:pPr>
      <w:r>
        <w:rPr>
          <w:rFonts w:ascii="Arial" w:eastAsia="宋体" w:hAnsi="Arial" w:cs="Arial"/>
          <w:color w:val="000000"/>
          <w:sz w:val="20"/>
          <w:szCs w:val="20"/>
        </w:rPr>
        <w:t>Rapid, significant technological changes continue to confront the industries in which we operate and we cannot predict the effect of technological changes on our business. We also continuously strive to c</w:t>
      </w:r>
      <w:r>
        <w:rPr>
          <w:rFonts w:ascii="Arial" w:eastAsia="宋体" w:hAnsi="Arial" w:cs="Arial"/>
          <w:color w:val="000000"/>
          <w:sz w:val="20"/>
          <w:szCs w:val="20"/>
        </w:rPr>
        <w:t>reate new initiatives and innovations that offer growth opportunities, such as our new payments and advertising offerings. In addition to our own initiatives and innovations, we rely in part on third parties, including some of our competitors, for the deve</w:t>
      </w:r>
      <w:r>
        <w:rPr>
          <w:rFonts w:ascii="Arial" w:eastAsia="宋体" w:hAnsi="Arial" w:cs="Arial"/>
          <w:color w:val="000000"/>
          <w:sz w:val="20"/>
          <w:szCs w:val="20"/>
        </w:rPr>
        <w:t>lopment of and access to new technologies. We expect that new services and technologies applicable to the industries in which we operate will continue to emerge. These new services and technologies may be superior to, or render obsolete, the technologies w</w:t>
      </w:r>
      <w:r>
        <w:rPr>
          <w:rFonts w:ascii="Arial" w:eastAsia="宋体" w:hAnsi="Arial" w:cs="Arial"/>
          <w:color w:val="000000"/>
          <w:sz w:val="20"/>
          <w:szCs w:val="20"/>
        </w:rPr>
        <w:t>e currently use in our products and services. Incorporating new technologies into our products and services may require substantial expenditures and take considerable time, and ultimately may not be successful. In addition, our ability to adopt new service</w:t>
      </w:r>
      <w:r>
        <w:rPr>
          <w:rFonts w:ascii="Arial" w:eastAsia="宋体" w:hAnsi="Arial" w:cs="Arial"/>
          <w:color w:val="000000"/>
          <w:sz w:val="20"/>
          <w:szCs w:val="20"/>
        </w:rPr>
        <w:t>s and develop new technologies may be inhibited by industry-wide standards, new laws and regulations, resistance to change from our users, clients or merchants, or third parties’ intellectual property rights. Our success will depend on our ability to devel</w:t>
      </w:r>
      <w:r>
        <w:rPr>
          <w:rFonts w:ascii="Arial" w:eastAsia="宋体" w:hAnsi="Arial" w:cs="Arial"/>
          <w:color w:val="000000"/>
          <w:sz w:val="20"/>
          <w:szCs w:val="20"/>
        </w:rPr>
        <w:t>op new technologies and adapt to technological changes and evolving industry standards.</w:t>
      </w:r>
    </w:p>
    <w:p w14:paraId="64A8B67D" w14:textId="77777777" w:rsidR="008D6614" w:rsidRDefault="008D6614">
      <w:pPr>
        <w:ind w:firstLine="450"/>
        <w:jc w:val="both"/>
      </w:pPr>
    </w:p>
    <w:p w14:paraId="64A8B67E" w14:textId="77777777" w:rsidR="008D6614" w:rsidRDefault="00866AF2">
      <w:pPr>
        <w:ind w:firstLine="450"/>
        <w:jc w:val="both"/>
      </w:pPr>
      <w:r>
        <w:rPr>
          <w:rFonts w:ascii="Arial" w:eastAsia="宋体" w:hAnsi="Arial" w:cs="Arial"/>
          <w:i/>
          <w:iCs/>
          <w:color w:val="000000"/>
          <w:sz w:val="20"/>
          <w:szCs w:val="20"/>
        </w:rPr>
        <w:t>Our business is subject to extensive government regulation and oversight.</w:t>
      </w:r>
    </w:p>
    <w:p w14:paraId="64A8B67F" w14:textId="77777777" w:rsidR="008D6614" w:rsidRDefault="008D6614">
      <w:pPr>
        <w:ind w:firstLine="450"/>
        <w:jc w:val="both"/>
      </w:pPr>
    </w:p>
    <w:p w14:paraId="64A8B680" w14:textId="77777777" w:rsidR="008D6614" w:rsidRDefault="00866AF2">
      <w:pPr>
        <w:ind w:firstLine="450"/>
        <w:jc w:val="both"/>
      </w:pPr>
      <w:r>
        <w:rPr>
          <w:rFonts w:ascii="Arial" w:eastAsia="宋体" w:hAnsi="Arial" w:cs="Arial"/>
          <w:color w:val="000000"/>
          <w:sz w:val="20"/>
          <w:szCs w:val="20"/>
        </w:rPr>
        <w:t>We are subject to laws and regulations affecting our domestic and international operations i</w:t>
      </w:r>
      <w:r>
        <w:rPr>
          <w:rFonts w:ascii="Arial" w:eastAsia="宋体" w:hAnsi="Arial" w:cs="Arial"/>
          <w:color w:val="000000"/>
          <w:sz w:val="20"/>
          <w:szCs w:val="20"/>
        </w:rPr>
        <w:t>n a number of areas, including consumer protection, data privacy requirements, intellectual property ownership and infringement, prohibited items and stolen goods, tax, antitrust and anti-competition, export requirements, anti-corruption, labor, advertisin</w:t>
      </w:r>
      <w:r>
        <w:rPr>
          <w:rFonts w:ascii="Arial" w:eastAsia="宋体" w:hAnsi="Arial" w:cs="Arial"/>
          <w:color w:val="000000"/>
          <w:sz w:val="20"/>
          <w:szCs w:val="20"/>
        </w:rPr>
        <w:t>g, digital content, real estate, billing, ecommerce, promotions, quality of services, telecommunications, mobile communications and media, environmental, and health and safety regulations, as well as laws and regulations intended to combat money laundering</w:t>
      </w:r>
      <w:r>
        <w:rPr>
          <w:rFonts w:ascii="Arial" w:eastAsia="宋体" w:hAnsi="Arial" w:cs="Arial"/>
          <w:color w:val="000000"/>
          <w:sz w:val="20"/>
          <w:szCs w:val="20"/>
        </w:rPr>
        <w:t xml:space="preserve"> and the financing of terrorist activities. In addition, we are, or may become, subject to further regulation in some of the above-mentioned areas or new areas as a result of the continued development and expansion of our payments capabilities.</w:t>
      </w:r>
    </w:p>
    <w:p w14:paraId="64A8B681" w14:textId="77777777" w:rsidR="008D6614" w:rsidRDefault="008D6614">
      <w:pPr>
        <w:ind w:firstLine="450"/>
        <w:jc w:val="both"/>
      </w:pPr>
    </w:p>
    <w:p w14:paraId="64A8B682" w14:textId="77777777" w:rsidR="008D6614" w:rsidRDefault="00866AF2">
      <w:pPr>
        <w:ind w:firstLine="450"/>
        <w:jc w:val="both"/>
      </w:pPr>
      <w:r>
        <w:rPr>
          <w:rFonts w:ascii="Arial" w:eastAsia="宋体" w:hAnsi="Arial" w:cs="Arial"/>
          <w:color w:val="000000"/>
          <w:sz w:val="20"/>
          <w:szCs w:val="20"/>
        </w:rPr>
        <w:t>Compliance</w:t>
      </w:r>
      <w:r>
        <w:rPr>
          <w:rFonts w:ascii="Arial" w:eastAsia="宋体" w:hAnsi="Arial" w:cs="Arial"/>
          <w:color w:val="000000"/>
          <w:sz w:val="20"/>
          <w:szCs w:val="20"/>
        </w:rPr>
        <w:t xml:space="preserve"> with these laws, regulations, and similar requirements may be onerous and expensive, and variances and inconsistencies from jurisdiction to jurisdiction may further increase the cost of compliance and doing business. Any such costs, which may rise in the </w:t>
      </w:r>
      <w:r>
        <w:rPr>
          <w:rFonts w:ascii="Arial" w:eastAsia="宋体" w:hAnsi="Arial" w:cs="Arial"/>
          <w:color w:val="000000"/>
          <w:sz w:val="20"/>
          <w:szCs w:val="20"/>
        </w:rPr>
        <w:t>future as a result of changes in these laws and regulations or in their interpretation, could individually or in the aggregate make our products and services less attractive to our customers, delay the introduction of new products or services in one or mor</w:t>
      </w:r>
      <w:r>
        <w:rPr>
          <w:rFonts w:ascii="Arial" w:eastAsia="宋体" w:hAnsi="Arial" w:cs="Arial"/>
          <w:color w:val="000000"/>
          <w:sz w:val="20"/>
          <w:szCs w:val="20"/>
        </w:rPr>
        <w:t xml:space="preserve">e regions, or cause us to change or limit our business practices. We have implemented policies and procedures designed to ensure compliance with applicable laws and regulations, but there can be no assurance that our employees, contractors, or agents will </w:t>
      </w:r>
      <w:r>
        <w:rPr>
          <w:rFonts w:ascii="Arial" w:eastAsia="宋体" w:hAnsi="Arial" w:cs="Arial"/>
          <w:color w:val="000000"/>
          <w:sz w:val="20"/>
          <w:szCs w:val="20"/>
        </w:rPr>
        <w:t>not violate such laws and regulations or our policies and procedures.  </w:t>
      </w:r>
    </w:p>
    <w:p w14:paraId="64A8B683" w14:textId="77777777" w:rsidR="008D6614" w:rsidRDefault="008D6614">
      <w:pPr>
        <w:ind w:firstLine="450"/>
        <w:jc w:val="both"/>
      </w:pPr>
    </w:p>
    <w:p w14:paraId="64A8B684" w14:textId="77777777" w:rsidR="008D6614" w:rsidRDefault="008D6614">
      <w:pPr>
        <w:jc w:val="center"/>
      </w:pPr>
    </w:p>
    <w:p w14:paraId="64A8B685" w14:textId="77777777" w:rsidR="008D6614" w:rsidRDefault="00866AF2">
      <w:pPr>
        <w:jc w:val="center"/>
      </w:pPr>
      <w:r>
        <w:rPr>
          <w:rFonts w:ascii="Arial" w:eastAsia="宋体" w:hAnsi="Arial" w:cs="Arial"/>
          <w:color w:val="000000"/>
          <w:sz w:val="20"/>
          <w:szCs w:val="20"/>
        </w:rPr>
        <w:t>55</w:t>
      </w:r>
    </w:p>
    <w:p w14:paraId="64A8B686" w14:textId="77777777" w:rsidR="008D6614" w:rsidRDefault="00866AF2">
      <w:r>
        <w:pict w14:anchorId="64A8BA14">
          <v:rect id="_x0000_i1079" style="width:415.3pt;height:1.5pt" o:hralign="center" o:hrstd="t" o:hr="t" fillcolor="#a0a0a0" stroked="f"/>
        </w:pict>
      </w:r>
    </w:p>
    <w:p w14:paraId="64A8B687" w14:textId="77777777" w:rsidR="008D6614" w:rsidRDefault="008D6614"/>
    <w:p w14:paraId="64A8B688" w14:textId="77777777" w:rsidR="008D6614" w:rsidRDefault="00866AF2">
      <w:pPr>
        <w:ind w:firstLine="450"/>
        <w:jc w:val="both"/>
      </w:pPr>
      <w:r>
        <w:rPr>
          <w:rFonts w:ascii="Arial" w:eastAsia="宋体" w:hAnsi="Arial" w:cs="Arial"/>
          <w:i/>
          <w:iCs/>
          <w:color w:val="000000"/>
          <w:sz w:val="20"/>
          <w:szCs w:val="20"/>
        </w:rPr>
        <w:t xml:space="preserve">Regulation in the areas of privacy and protection of user data could harm our business. </w:t>
      </w:r>
    </w:p>
    <w:p w14:paraId="64A8B689" w14:textId="77777777" w:rsidR="008D6614" w:rsidRDefault="008D6614">
      <w:pPr>
        <w:ind w:firstLine="450"/>
        <w:jc w:val="both"/>
      </w:pPr>
    </w:p>
    <w:p w14:paraId="64A8B68A" w14:textId="77777777" w:rsidR="008D6614" w:rsidRDefault="00866AF2">
      <w:pPr>
        <w:ind w:firstLine="450"/>
        <w:jc w:val="both"/>
      </w:pPr>
      <w:r>
        <w:rPr>
          <w:rFonts w:ascii="Arial" w:eastAsia="宋体" w:hAnsi="Arial" w:cs="Arial"/>
          <w:color w:val="000000"/>
          <w:sz w:val="20"/>
          <w:szCs w:val="20"/>
        </w:rPr>
        <w:t xml:space="preserve">We are subject to laws relating to the collection, use, retention, security, and </w:t>
      </w:r>
      <w:r>
        <w:rPr>
          <w:rFonts w:ascii="Arial" w:eastAsia="宋体" w:hAnsi="Arial" w:cs="Arial"/>
          <w:color w:val="000000"/>
          <w:sz w:val="20"/>
          <w:szCs w:val="20"/>
        </w:rPr>
        <w:t>transfer of personally identifiable information about our users around the world. Much of the personal information that we collect, especially financial information, is regulated by multiple laws. User data protection laws may be interpreted and applied in</w:t>
      </w:r>
      <w:r>
        <w:rPr>
          <w:rFonts w:ascii="Arial" w:eastAsia="宋体" w:hAnsi="Arial" w:cs="Arial"/>
          <w:color w:val="000000"/>
          <w:sz w:val="20"/>
          <w:szCs w:val="20"/>
        </w:rPr>
        <w:t xml:space="preserve">consistently from country to country. In many cases, these laws apply not only to third-party transactions, but also to transfers of information between or among ourselves, our subsidiaries, and other parties with which we have commercial relations. These </w:t>
      </w:r>
      <w:r>
        <w:rPr>
          <w:rFonts w:ascii="Arial" w:eastAsia="宋体" w:hAnsi="Arial" w:cs="Arial"/>
          <w:color w:val="000000"/>
          <w:sz w:val="20"/>
          <w:szCs w:val="20"/>
        </w:rPr>
        <w:t>laws continue to develop in ways we cannot predict and that may harm our business.</w:t>
      </w:r>
    </w:p>
    <w:p w14:paraId="64A8B68B" w14:textId="77777777" w:rsidR="008D6614" w:rsidRDefault="008D6614">
      <w:pPr>
        <w:ind w:firstLine="450"/>
        <w:jc w:val="both"/>
      </w:pPr>
    </w:p>
    <w:p w14:paraId="64A8B68C" w14:textId="77777777" w:rsidR="008D6614" w:rsidRDefault="00866AF2">
      <w:pPr>
        <w:ind w:firstLine="450"/>
        <w:jc w:val="both"/>
      </w:pPr>
      <w:r>
        <w:rPr>
          <w:rFonts w:ascii="Arial" w:eastAsia="宋体" w:hAnsi="Arial" w:cs="Arial"/>
          <w:color w:val="000000"/>
          <w:sz w:val="20"/>
          <w:szCs w:val="20"/>
        </w:rPr>
        <w:t>Regulatory scrutiny of privacy, user data protection, use of data and data collection is increasing on a global basis. We are subject to a number of privacy and similar law</w:t>
      </w:r>
      <w:r>
        <w:rPr>
          <w:rFonts w:ascii="Arial" w:eastAsia="宋体" w:hAnsi="Arial" w:cs="Arial"/>
          <w:color w:val="000000"/>
          <w:sz w:val="20"/>
          <w:szCs w:val="20"/>
        </w:rPr>
        <w:t xml:space="preserve">s and regulations in the countries in which we operate and these laws and regulations will likely continue to evolve over time, both through regulatory and legislative action and judicial decisions. In addition, compliance with these laws may restrict our </w:t>
      </w:r>
      <w:r>
        <w:rPr>
          <w:rFonts w:ascii="Arial" w:eastAsia="宋体" w:hAnsi="Arial" w:cs="Arial"/>
          <w:color w:val="000000"/>
          <w:sz w:val="20"/>
          <w:szCs w:val="20"/>
        </w:rPr>
        <w:t>ability to provide services to our customers that they may find to be valuable. For example, the General Data Protection Regulation (“GDPR”) became effective in May 2018. The GDPR, which applies to all of our activities conducted from an establishment in t</w:t>
      </w:r>
      <w:r>
        <w:rPr>
          <w:rFonts w:ascii="Arial" w:eastAsia="宋体" w:hAnsi="Arial" w:cs="Arial"/>
          <w:color w:val="000000"/>
          <w:sz w:val="20"/>
          <w:szCs w:val="20"/>
        </w:rPr>
        <w:t>he European Union or related to products and services offered in the European Union, imposes a range of new compliance obligations regarding the handling of personal data. The GDPR imposes significant new obligations and compliance with these obligations d</w:t>
      </w:r>
      <w:r>
        <w:rPr>
          <w:rFonts w:ascii="Arial" w:eastAsia="宋体" w:hAnsi="Arial" w:cs="Arial"/>
          <w:color w:val="000000"/>
          <w:sz w:val="20"/>
          <w:szCs w:val="20"/>
        </w:rPr>
        <w:t xml:space="preserve">epends in part on how particular regulators interpret and apply them. If we fail to comply with the GDPR, or if regulators assert we have failed to comply with the GDPR, it may lead to regulatory enforcement actions, which can result in monetary penalties </w:t>
      </w:r>
      <w:r>
        <w:rPr>
          <w:rFonts w:ascii="Arial" w:eastAsia="宋体" w:hAnsi="Arial" w:cs="Arial"/>
          <w:color w:val="000000"/>
          <w:sz w:val="20"/>
          <w:szCs w:val="20"/>
        </w:rPr>
        <w:t>of up to 4% of worldwide revenue, private lawsuits, or reputational damage. In the U.S., California has adopted the California Consumer Privacy Act of 2018 (“CCPA”), which became effective January 1, 2020 and which provides a new private right of action fo</w:t>
      </w:r>
      <w:r>
        <w:rPr>
          <w:rFonts w:ascii="Arial" w:eastAsia="宋体" w:hAnsi="Arial" w:cs="Arial"/>
          <w:color w:val="000000"/>
          <w:sz w:val="20"/>
          <w:szCs w:val="20"/>
        </w:rPr>
        <w:t>r data breaches and requires companies that process information on California residents to make new disclosures to consumers about their data collection, use and sharing practices and allow consumers to opt out of certain data sharing with third parties. I</w:t>
      </w:r>
      <w:r>
        <w:rPr>
          <w:rFonts w:ascii="Arial" w:eastAsia="宋体" w:hAnsi="Arial" w:cs="Arial"/>
          <w:color w:val="000000"/>
          <w:sz w:val="20"/>
          <w:szCs w:val="20"/>
        </w:rPr>
        <w:t>n addition to the CCPA, several other U.S. states are considering adopting laws and regulations imposing obligations regarding the handling of personal data. Compliance with the GDPR, the CCPA, and other current and future applicable international and U.S.</w:t>
      </w:r>
      <w:r>
        <w:rPr>
          <w:rFonts w:ascii="Arial" w:eastAsia="宋体" w:hAnsi="Arial" w:cs="Arial"/>
          <w:color w:val="000000"/>
          <w:sz w:val="20"/>
          <w:szCs w:val="20"/>
        </w:rPr>
        <w:t xml:space="preserve"> privacy, cybersecurity and related laws can be costly and time-consuming. Complying with these varying national and international requirements could cause us to incur substantial costs or require us to change our business practices in a manner adverse to </w:t>
      </w:r>
      <w:r>
        <w:rPr>
          <w:rFonts w:ascii="Arial" w:eastAsia="宋体" w:hAnsi="Arial" w:cs="Arial"/>
          <w:color w:val="000000"/>
          <w:sz w:val="20"/>
          <w:szCs w:val="20"/>
        </w:rPr>
        <w:t xml:space="preserve">our business and violations of privacy-related laws can result in significant penalties. </w:t>
      </w:r>
    </w:p>
    <w:p w14:paraId="64A8B68D" w14:textId="77777777" w:rsidR="008D6614" w:rsidRDefault="008D6614"/>
    <w:p w14:paraId="64A8B68E" w14:textId="77777777" w:rsidR="008D6614" w:rsidRDefault="00866AF2">
      <w:pPr>
        <w:ind w:firstLine="450"/>
        <w:jc w:val="both"/>
      </w:pPr>
      <w:r>
        <w:rPr>
          <w:rFonts w:ascii="Arial" w:eastAsia="宋体" w:hAnsi="Arial" w:cs="Arial"/>
          <w:color w:val="000000"/>
          <w:sz w:val="20"/>
          <w:szCs w:val="20"/>
        </w:rPr>
        <w:t xml:space="preserve">A determination that there have been violations of laws relating to our practices under communications-based laws could also expose us to significant damage awards, </w:t>
      </w:r>
      <w:r>
        <w:rPr>
          <w:rFonts w:ascii="Arial" w:eastAsia="宋体" w:hAnsi="Arial" w:cs="Arial"/>
          <w:color w:val="000000"/>
          <w:sz w:val="20"/>
          <w:szCs w:val="20"/>
        </w:rPr>
        <w:t>fines and other penalties that could, individually or in the aggregate, materially harm our business. In particular, because of the enormous number of texts, emails and other communications we send to our users, communications laws that provide a specified</w:t>
      </w:r>
      <w:r>
        <w:rPr>
          <w:rFonts w:ascii="Arial" w:eastAsia="宋体" w:hAnsi="Arial" w:cs="Arial"/>
          <w:color w:val="000000"/>
          <w:sz w:val="20"/>
          <w:szCs w:val="20"/>
        </w:rPr>
        <w:t xml:space="preserve"> monetary damage award or fine for each violation (such as those described below) could result in particularly large awards or fines.</w:t>
      </w:r>
    </w:p>
    <w:p w14:paraId="64A8B68F" w14:textId="77777777" w:rsidR="008D6614" w:rsidRDefault="008D6614">
      <w:pPr>
        <w:ind w:firstLine="450"/>
        <w:jc w:val="both"/>
      </w:pPr>
    </w:p>
    <w:p w14:paraId="64A8B690" w14:textId="77777777" w:rsidR="008D6614" w:rsidRDefault="00866AF2">
      <w:pPr>
        <w:ind w:firstLine="450"/>
        <w:jc w:val="both"/>
      </w:pPr>
      <w:r>
        <w:rPr>
          <w:rFonts w:ascii="Arial" w:eastAsia="宋体" w:hAnsi="Arial" w:cs="Arial"/>
          <w:color w:val="000000"/>
          <w:sz w:val="20"/>
          <w:szCs w:val="20"/>
        </w:rPr>
        <w:t>For example, the Federal Communications Commission amended certain of its regulations under the Telephone Consumer Protec</w:t>
      </w:r>
      <w:r>
        <w:rPr>
          <w:rFonts w:ascii="Arial" w:eastAsia="宋体" w:hAnsi="Arial" w:cs="Arial"/>
          <w:color w:val="000000"/>
          <w:sz w:val="20"/>
          <w:szCs w:val="20"/>
        </w:rPr>
        <w:t>tion Act, or TCPA, in 2012 and 2013 in a manner that could increase our exposure to liability for certain types of telephonic communication with customers, including but not limited to text messages to mobile phones. Under the TCPA, plaintiffs may seek act</w:t>
      </w:r>
      <w:r>
        <w:rPr>
          <w:rFonts w:ascii="Arial" w:eastAsia="宋体" w:hAnsi="Arial" w:cs="Arial"/>
          <w:color w:val="000000"/>
          <w:sz w:val="20"/>
          <w:szCs w:val="20"/>
        </w:rPr>
        <w:t>ual monetary loss or statutory damages of $500 per violation, whichever is greater, and courts may treble the damage award for willful or knowing violations. We are regularly subject to class-action lawsuits, as well as individual lawsuits, containing alle</w:t>
      </w:r>
      <w:r>
        <w:rPr>
          <w:rFonts w:ascii="Arial" w:eastAsia="宋体" w:hAnsi="Arial" w:cs="Arial"/>
          <w:color w:val="000000"/>
          <w:sz w:val="20"/>
          <w:szCs w:val="20"/>
        </w:rPr>
        <w:t>gations that our businesses violated the TCPA. These lawsuits, and other private lawsuits not currently alleged as class actions, seek damages (including statutory damages) and injunctive relief, among other remedies. Given the enormous number of communica</w:t>
      </w:r>
      <w:r>
        <w:rPr>
          <w:rFonts w:ascii="Arial" w:eastAsia="宋体" w:hAnsi="Arial" w:cs="Arial"/>
          <w:color w:val="000000"/>
          <w:sz w:val="20"/>
          <w:szCs w:val="20"/>
        </w:rPr>
        <w:t>tions we send to our users, a determination that there have been violations of the TCPA or other communications-based statutes could expose us to significant damage awards that could, individually or in the aggregate, materially harm our business.</w:t>
      </w:r>
    </w:p>
    <w:p w14:paraId="64A8B691" w14:textId="77777777" w:rsidR="008D6614" w:rsidRDefault="008D6614">
      <w:pPr>
        <w:ind w:firstLine="450"/>
        <w:jc w:val="both"/>
      </w:pPr>
    </w:p>
    <w:p w14:paraId="64A8B692" w14:textId="77777777" w:rsidR="008D6614" w:rsidRDefault="00866AF2">
      <w:pPr>
        <w:ind w:firstLine="450"/>
        <w:jc w:val="both"/>
      </w:pPr>
      <w:r>
        <w:rPr>
          <w:rFonts w:ascii="Arial" w:eastAsia="宋体" w:hAnsi="Arial" w:cs="Arial"/>
          <w:color w:val="000000"/>
          <w:sz w:val="20"/>
          <w:szCs w:val="20"/>
        </w:rPr>
        <w:t>We post</w:t>
      </w:r>
      <w:r>
        <w:rPr>
          <w:rFonts w:ascii="Arial" w:eastAsia="宋体" w:hAnsi="Arial" w:cs="Arial"/>
          <w:color w:val="000000"/>
          <w:sz w:val="20"/>
          <w:szCs w:val="20"/>
        </w:rPr>
        <w:t xml:space="preserve"> on our websites our privacy policies and practices concerning the collection, use and disclosure of user data. Any failure, or perceived failure, by us to comply with our posted privacy policies or with any regulatory requirements or orders or other feder</w:t>
      </w:r>
      <w:r>
        <w:rPr>
          <w:rFonts w:ascii="Arial" w:eastAsia="宋体" w:hAnsi="Arial" w:cs="Arial"/>
          <w:color w:val="000000"/>
          <w:sz w:val="20"/>
          <w:szCs w:val="20"/>
        </w:rPr>
        <w:t>al, state or international privacy or consumer protection-related laws and regulations, including the GDPR and the CCPA, could result in proceedings or actions against us by governmental entities or others (e.g., class action privacy litigation), subject u</w:t>
      </w:r>
      <w:r>
        <w:rPr>
          <w:rFonts w:ascii="Arial" w:eastAsia="宋体" w:hAnsi="Arial" w:cs="Arial"/>
          <w:color w:val="000000"/>
          <w:sz w:val="20"/>
          <w:szCs w:val="20"/>
        </w:rPr>
        <w:t>s to significant penalties and negative publicity, require us to change our business practices, increase our costs and adversely affect our business. Data collection, privacy and security have become the subject of increasing public concern. If Internet an</w:t>
      </w:r>
      <w:r>
        <w:rPr>
          <w:rFonts w:ascii="Arial" w:eastAsia="宋体" w:hAnsi="Arial" w:cs="Arial"/>
          <w:color w:val="000000"/>
          <w:sz w:val="20"/>
          <w:szCs w:val="20"/>
        </w:rPr>
        <w:t xml:space="preserve">d mobile users were to reduce their use of our websites, mobile platforms, products, and services as a result of these concerns, our </w:t>
      </w:r>
    </w:p>
    <w:p w14:paraId="64A8B693" w14:textId="77777777" w:rsidR="008D6614" w:rsidRDefault="008D6614">
      <w:pPr>
        <w:jc w:val="center"/>
      </w:pPr>
    </w:p>
    <w:p w14:paraId="64A8B694" w14:textId="77777777" w:rsidR="008D6614" w:rsidRDefault="00866AF2">
      <w:pPr>
        <w:jc w:val="center"/>
      </w:pPr>
      <w:r>
        <w:rPr>
          <w:rFonts w:ascii="Arial" w:eastAsia="宋体" w:hAnsi="Arial" w:cs="Arial"/>
          <w:color w:val="000000"/>
          <w:sz w:val="20"/>
          <w:szCs w:val="20"/>
        </w:rPr>
        <w:t>56</w:t>
      </w:r>
    </w:p>
    <w:p w14:paraId="64A8B695" w14:textId="77777777" w:rsidR="008D6614" w:rsidRDefault="00866AF2">
      <w:r>
        <w:pict w14:anchorId="64A8BA15">
          <v:rect id="_x0000_i1080" style="width:415.3pt;height:1.5pt" o:hralign="center" o:hrstd="t" o:hr="t" fillcolor="#a0a0a0" stroked="f"/>
        </w:pict>
      </w:r>
    </w:p>
    <w:p w14:paraId="64A8B696" w14:textId="77777777" w:rsidR="008D6614" w:rsidRDefault="008D6614"/>
    <w:p w14:paraId="64A8B697" w14:textId="77777777" w:rsidR="008D6614" w:rsidRDefault="00866AF2">
      <w:pPr>
        <w:jc w:val="both"/>
      </w:pPr>
      <w:r>
        <w:rPr>
          <w:rFonts w:ascii="Arial" w:eastAsia="宋体" w:hAnsi="Arial" w:cs="Arial"/>
          <w:color w:val="000000"/>
          <w:sz w:val="20"/>
          <w:szCs w:val="20"/>
        </w:rPr>
        <w:t>business could be harmed. As noted above, we are also subject to the possibility of security breaches, which themse</w:t>
      </w:r>
      <w:r>
        <w:rPr>
          <w:rFonts w:ascii="Arial" w:eastAsia="宋体" w:hAnsi="Arial" w:cs="Arial"/>
          <w:color w:val="000000"/>
          <w:sz w:val="20"/>
          <w:szCs w:val="20"/>
        </w:rPr>
        <w:t>lves may result in a violation of these laws.</w:t>
      </w:r>
    </w:p>
    <w:p w14:paraId="64A8B698" w14:textId="77777777" w:rsidR="008D6614" w:rsidRDefault="008D6614">
      <w:pPr>
        <w:ind w:firstLine="450"/>
        <w:jc w:val="both"/>
      </w:pPr>
    </w:p>
    <w:p w14:paraId="64A8B699" w14:textId="77777777" w:rsidR="008D6614" w:rsidRDefault="00866AF2">
      <w:pPr>
        <w:ind w:firstLine="450"/>
        <w:jc w:val="both"/>
      </w:pPr>
      <w:r>
        <w:rPr>
          <w:rFonts w:ascii="Arial" w:eastAsia="宋体" w:hAnsi="Arial" w:cs="Arial"/>
          <w:i/>
          <w:iCs/>
          <w:color w:val="000000"/>
          <w:sz w:val="20"/>
          <w:szCs w:val="20"/>
        </w:rPr>
        <w:t>Other laws and regulations could harm our business.</w:t>
      </w:r>
    </w:p>
    <w:p w14:paraId="64A8B69A" w14:textId="77777777" w:rsidR="008D6614" w:rsidRDefault="008D6614">
      <w:pPr>
        <w:ind w:firstLine="450"/>
        <w:jc w:val="both"/>
      </w:pPr>
    </w:p>
    <w:p w14:paraId="64A8B69B" w14:textId="77777777" w:rsidR="008D6614" w:rsidRDefault="00866AF2">
      <w:pPr>
        <w:ind w:firstLine="450"/>
        <w:jc w:val="both"/>
      </w:pPr>
      <w:r>
        <w:rPr>
          <w:rFonts w:ascii="Arial" w:eastAsia="宋体" w:hAnsi="Arial" w:cs="Arial"/>
          <w:color w:val="000000"/>
          <w:sz w:val="20"/>
          <w:szCs w:val="20"/>
        </w:rPr>
        <w:t>It is not always clear how laws and regulations governing matters relevant to our business, such as property ownership, copyrights, trademarks, and other in</w:t>
      </w:r>
      <w:r>
        <w:rPr>
          <w:rFonts w:ascii="Arial" w:eastAsia="宋体" w:hAnsi="Arial" w:cs="Arial"/>
          <w:color w:val="000000"/>
          <w:sz w:val="20"/>
          <w:szCs w:val="20"/>
        </w:rPr>
        <w:t>tellectual property issues, parallel imports and distribution controls, taxation, libel and defamation, and obscenity apply to our businesses. Many of these laws were adopted prior to the advent of the Internet, mobile, and related technologies and, as a r</w:t>
      </w:r>
      <w:r>
        <w:rPr>
          <w:rFonts w:ascii="Arial" w:eastAsia="宋体" w:hAnsi="Arial" w:cs="Arial"/>
          <w:color w:val="000000"/>
          <w:sz w:val="20"/>
          <w:szCs w:val="20"/>
        </w:rPr>
        <w:t>esult, do not contemplate or address the unique issues of the Internet and related technologies. Many of these laws, including some of those that do reference the Internet are subject to interpretation by the courts on an ongoing basis and the resulting un</w:t>
      </w:r>
      <w:r>
        <w:rPr>
          <w:rFonts w:ascii="Arial" w:eastAsia="宋体" w:hAnsi="Arial" w:cs="Arial"/>
          <w:color w:val="000000"/>
          <w:sz w:val="20"/>
          <w:szCs w:val="20"/>
        </w:rPr>
        <w:t xml:space="preserve">certainty in the scope and application of these laws and regulations increases the risk that we will be subject to private claims and governmental actions alleging violations of those laws and regulations. </w:t>
      </w:r>
    </w:p>
    <w:p w14:paraId="64A8B69C" w14:textId="77777777" w:rsidR="008D6614" w:rsidRDefault="008D6614">
      <w:pPr>
        <w:ind w:firstLine="450"/>
        <w:jc w:val="both"/>
      </w:pPr>
    </w:p>
    <w:p w14:paraId="64A8B69D" w14:textId="77777777" w:rsidR="008D6614" w:rsidRDefault="00866AF2">
      <w:pPr>
        <w:ind w:firstLine="450"/>
        <w:jc w:val="both"/>
      </w:pPr>
      <w:r>
        <w:rPr>
          <w:rFonts w:ascii="Arial" w:eastAsia="宋体" w:hAnsi="Arial" w:cs="Arial"/>
          <w:color w:val="000000"/>
          <w:sz w:val="20"/>
          <w:szCs w:val="20"/>
        </w:rPr>
        <w:t xml:space="preserve">As our activities, the products and services we </w:t>
      </w:r>
      <w:r>
        <w:rPr>
          <w:rFonts w:ascii="Arial" w:eastAsia="宋体" w:hAnsi="Arial" w:cs="Arial"/>
          <w:color w:val="000000"/>
          <w:sz w:val="20"/>
          <w:szCs w:val="20"/>
        </w:rPr>
        <w:t>offer, and our geographical scope continue to expand, regulatory agencies or courts may claim or hold that we or our users are subject to additional requirements (including licensure) or prohibited from conducting our business in their jurisdiction, either</w:t>
      </w:r>
      <w:r>
        <w:rPr>
          <w:rFonts w:ascii="Arial" w:eastAsia="宋体" w:hAnsi="Arial" w:cs="Arial"/>
          <w:color w:val="000000"/>
          <w:sz w:val="20"/>
          <w:szCs w:val="20"/>
        </w:rPr>
        <w:t xml:space="preserve"> generally or with respect to certain actions. Financial and political events have increased the level of regulatory scrutiny on large companies, and regulatory agencies may view matters or interpret laws and regulations differently than they have in the p</w:t>
      </w:r>
      <w:r>
        <w:rPr>
          <w:rFonts w:ascii="Arial" w:eastAsia="宋体" w:hAnsi="Arial" w:cs="Arial"/>
          <w:color w:val="000000"/>
          <w:sz w:val="20"/>
          <w:szCs w:val="20"/>
        </w:rPr>
        <w:t>ast and in a manner adverse to our businesses. Our success and increased visibility have driven some existing businesses that perceive us to be a threat to their businesses to raise concerns about our business models to policymakers and regulators. These b</w:t>
      </w:r>
      <w:r>
        <w:rPr>
          <w:rFonts w:ascii="Arial" w:eastAsia="宋体" w:hAnsi="Arial" w:cs="Arial"/>
          <w:color w:val="000000"/>
          <w:sz w:val="20"/>
          <w:szCs w:val="20"/>
        </w:rPr>
        <w:t>usinesses and their trade association groups employ significant resources in their efforts to shape the legal and regulatory regimes in countries where we have significant operations. They may employ these resources in an effort to change the legal and reg</w:t>
      </w:r>
      <w:r>
        <w:rPr>
          <w:rFonts w:ascii="Arial" w:eastAsia="宋体" w:hAnsi="Arial" w:cs="Arial"/>
          <w:color w:val="000000"/>
          <w:sz w:val="20"/>
          <w:szCs w:val="20"/>
        </w:rPr>
        <w:t>ulatory regimes in ways intended to reduce the effectiveness of our businesses and the ability of users to use our products and services. These established businesses have raised concerns relating to pricing, parallel imports, professional seller obligatio</w:t>
      </w:r>
      <w:r>
        <w:rPr>
          <w:rFonts w:ascii="Arial" w:eastAsia="宋体" w:hAnsi="Arial" w:cs="Arial"/>
          <w:color w:val="000000"/>
          <w:sz w:val="20"/>
          <w:szCs w:val="20"/>
        </w:rPr>
        <w:t>ns, selective distribution networks, stolen goods, copyrights, trademarks and other intellectual property rights and the liability of the provider of an Internet marketplace for the conduct of its users related to those and other issues. Any changes to the</w:t>
      </w:r>
      <w:r>
        <w:rPr>
          <w:rFonts w:ascii="Arial" w:eastAsia="宋体" w:hAnsi="Arial" w:cs="Arial"/>
          <w:color w:val="000000"/>
          <w:sz w:val="20"/>
          <w:szCs w:val="20"/>
        </w:rPr>
        <w:t xml:space="preserve"> legal or regulatory regimes in a manner that would increase our liability for third-party listings could negatively impact our business.</w:t>
      </w:r>
    </w:p>
    <w:p w14:paraId="64A8B69E" w14:textId="77777777" w:rsidR="008D6614" w:rsidRDefault="008D6614">
      <w:pPr>
        <w:ind w:firstLine="450"/>
        <w:jc w:val="both"/>
      </w:pPr>
    </w:p>
    <w:p w14:paraId="64A8B69F" w14:textId="77777777" w:rsidR="008D6614" w:rsidRDefault="00866AF2">
      <w:pPr>
        <w:ind w:firstLine="450"/>
        <w:jc w:val="both"/>
      </w:pPr>
      <w:r>
        <w:rPr>
          <w:rFonts w:ascii="Arial" w:eastAsia="宋体" w:hAnsi="Arial" w:cs="Arial"/>
          <w:color w:val="000000"/>
          <w:sz w:val="20"/>
          <w:szCs w:val="20"/>
        </w:rPr>
        <w:t>Numerous U.S. states and foreign jurisdictions, including the State of California, have regulations regarding “auctio</w:t>
      </w:r>
      <w:r>
        <w:rPr>
          <w:rFonts w:ascii="Arial" w:eastAsia="宋体" w:hAnsi="Arial" w:cs="Arial"/>
          <w:color w:val="000000"/>
          <w:sz w:val="20"/>
          <w:szCs w:val="20"/>
        </w:rPr>
        <w:t>ns” and the handling of property by “secondhand dealers” or “pawnbrokers.” Several states and some foreign jurisdictions have attempted to impose such regulations upon us or our users, and others may attempt to do so in the future. Attempted enforcement of</w:t>
      </w:r>
      <w:r>
        <w:rPr>
          <w:rFonts w:ascii="Arial" w:eastAsia="宋体" w:hAnsi="Arial" w:cs="Arial"/>
          <w:color w:val="000000"/>
          <w:sz w:val="20"/>
          <w:szCs w:val="20"/>
        </w:rPr>
        <w:t xml:space="preserve"> these laws against some of our users appears to be increasing and we could be required to change the way we or our users do business in ways that increase costs or reduce revenues, such as forcing us to prohibit listings of certain items or restrict certa</w:t>
      </w:r>
      <w:r>
        <w:rPr>
          <w:rFonts w:ascii="Arial" w:eastAsia="宋体" w:hAnsi="Arial" w:cs="Arial"/>
          <w:color w:val="000000"/>
          <w:sz w:val="20"/>
          <w:szCs w:val="20"/>
        </w:rPr>
        <w:t>in listing formats in some locations. We could also be subject to fines or other penalties, and any of these outcomes could harm our business.</w:t>
      </w:r>
    </w:p>
    <w:p w14:paraId="64A8B6A0" w14:textId="77777777" w:rsidR="008D6614" w:rsidRDefault="008D6614">
      <w:pPr>
        <w:ind w:firstLine="450"/>
        <w:jc w:val="both"/>
      </w:pPr>
    </w:p>
    <w:p w14:paraId="64A8B6A1" w14:textId="77777777" w:rsidR="008D6614" w:rsidRDefault="00866AF2">
      <w:pPr>
        <w:ind w:firstLine="450"/>
        <w:jc w:val="both"/>
      </w:pPr>
      <w:r>
        <w:rPr>
          <w:rFonts w:ascii="Arial" w:eastAsia="宋体" w:hAnsi="Arial" w:cs="Arial"/>
          <w:color w:val="000000"/>
          <w:sz w:val="20"/>
          <w:szCs w:val="20"/>
        </w:rPr>
        <w:t>A number of the lawsuits against us relating to trademark issues seek to have our platforms subject to unfavorab</w:t>
      </w:r>
      <w:r>
        <w:rPr>
          <w:rFonts w:ascii="Arial" w:eastAsia="宋体" w:hAnsi="Arial" w:cs="Arial"/>
          <w:color w:val="000000"/>
          <w:sz w:val="20"/>
          <w:szCs w:val="20"/>
        </w:rPr>
        <w:t>le local laws. For example, “trademark exhaustion” principles provide trademark owners with certain rights to control the sale of a branded authentic product until it has been placed on the market by the trademark holder or with the holder’s consent. The a</w:t>
      </w:r>
      <w:r>
        <w:rPr>
          <w:rFonts w:ascii="Arial" w:eastAsia="宋体" w:hAnsi="Arial" w:cs="Arial"/>
          <w:color w:val="000000"/>
          <w:sz w:val="20"/>
          <w:szCs w:val="20"/>
        </w:rPr>
        <w:t>pplication of “trademark exhaustion” principles is largely unsettled in the context of the Internet, and if trademark owners are able to force us to prohibit listings of certain items in one or more locations, our business could be harmed.</w:t>
      </w:r>
    </w:p>
    <w:p w14:paraId="64A8B6A2" w14:textId="77777777" w:rsidR="008D6614" w:rsidRDefault="008D6614">
      <w:pPr>
        <w:ind w:firstLine="450"/>
        <w:jc w:val="both"/>
      </w:pPr>
    </w:p>
    <w:p w14:paraId="64A8B6A3" w14:textId="77777777" w:rsidR="008D6614" w:rsidRDefault="00866AF2">
      <w:pPr>
        <w:ind w:firstLine="450"/>
        <w:jc w:val="both"/>
      </w:pPr>
      <w:r>
        <w:rPr>
          <w:rFonts w:ascii="Arial" w:eastAsia="宋体" w:hAnsi="Arial" w:cs="Arial"/>
          <w:color w:val="000000"/>
          <w:sz w:val="20"/>
          <w:szCs w:val="20"/>
        </w:rPr>
        <w:t>As we expand an</w:t>
      </w:r>
      <w:r>
        <w:rPr>
          <w:rFonts w:ascii="Arial" w:eastAsia="宋体" w:hAnsi="Arial" w:cs="Arial"/>
          <w:color w:val="000000"/>
          <w:sz w:val="20"/>
          <w:szCs w:val="20"/>
        </w:rPr>
        <w:t>d localize our international activities, we are increasingly becoming obligated to comply with the laws of the countries or markets in which we operate. In addition, because our services are accessible worldwide and we facilitate sales of goods and provide</w:t>
      </w:r>
      <w:r>
        <w:rPr>
          <w:rFonts w:ascii="Arial" w:eastAsia="宋体" w:hAnsi="Arial" w:cs="Arial"/>
          <w:color w:val="000000"/>
          <w:sz w:val="20"/>
          <w:szCs w:val="20"/>
        </w:rPr>
        <w:t xml:space="preserve"> services to users worldwide, one or more jurisdictions may claim that we or our users are required to comply with their laws based on the location of our servers or one or more of our users, or the location of the product or service being sold or provided</w:t>
      </w:r>
      <w:r>
        <w:rPr>
          <w:rFonts w:ascii="Arial" w:eastAsia="宋体" w:hAnsi="Arial" w:cs="Arial"/>
          <w:color w:val="000000"/>
          <w:sz w:val="20"/>
          <w:szCs w:val="20"/>
        </w:rPr>
        <w:t xml:space="preserve"> in an ecommerce transaction. For example, we were found liable in France, under French law, for transactions on some of our websites worldwide that did not involve French buyers or sellers. Laws regulating Internet, mobile and ecommerce technologies outsi</w:t>
      </w:r>
      <w:r>
        <w:rPr>
          <w:rFonts w:ascii="Arial" w:eastAsia="宋体" w:hAnsi="Arial" w:cs="Arial"/>
          <w:color w:val="000000"/>
          <w:sz w:val="20"/>
          <w:szCs w:val="20"/>
        </w:rPr>
        <w:t>de of the United States are generally less favorable to us than those in the United States. Compliance may be more costly or may require us to change our business practices or restrict our service offerings, and the imposition of any regulations on us or o</w:t>
      </w:r>
      <w:r>
        <w:rPr>
          <w:rFonts w:ascii="Arial" w:eastAsia="宋体" w:hAnsi="Arial" w:cs="Arial"/>
          <w:color w:val="000000"/>
          <w:sz w:val="20"/>
          <w:szCs w:val="20"/>
        </w:rPr>
        <w:t xml:space="preserve">ur users may harm our business. In addition, we may be subject to multiple overlapping legal or regulatory regimes that impose conflicting requirements on us (e.g., in cross-border trade). Our alleged failure to </w:t>
      </w:r>
    </w:p>
    <w:p w14:paraId="64A8B6A4" w14:textId="77777777" w:rsidR="008D6614" w:rsidRDefault="008D6614">
      <w:pPr>
        <w:jc w:val="center"/>
      </w:pPr>
    </w:p>
    <w:p w14:paraId="64A8B6A5" w14:textId="77777777" w:rsidR="008D6614" w:rsidRDefault="00866AF2">
      <w:pPr>
        <w:jc w:val="center"/>
      </w:pPr>
      <w:r>
        <w:rPr>
          <w:rFonts w:ascii="Arial" w:eastAsia="宋体" w:hAnsi="Arial" w:cs="Arial"/>
          <w:color w:val="000000"/>
          <w:sz w:val="20"/>
          <w:szCs w:val="20"/>
        </w:rPr>
        <w:t>57</w:t>
      </w:r>
    </w:p>
    <w:p w14:paraId="64A8B6A6" w14:textId="77777777" w:rsidR="008D6614" w:rsidRDefault="00866AF2">
      <w:r>
        <w:pict w14:anchorId="64A8BA16">
          <v:rect id="_x0000_i1081" style="width:415.3pt;height:1.5pt" o:hralign="center" o:hrstd="t" o:hr="t" fillcolor="#a0a0a0" stroked="f"/>
        </w:pict>
      </w:r>
    </w:p>
    <w:p w14:paraId="64A8B6A7" w14:textId="77777777" w:rsidR="008D6614" w:rsidRDefault="008D6614"/>
    <w:p w14:paraId="64A8B6A8" w14:textId="77777777" w:rsidR="008D6614" w:rsidRDefault="00866AF2">
      <w:pPr>
        <w:jc w:val="both"/>
      </w:pPr>
      <w:r>
        <w:rPr>
          <w:rFonts w:ascii="Arial" w:eastAsia="宋体" w:hAnsi="Arial" w:cs="Arial"/>
          <w:color w:val="000000"/>
          <w:sz w:val="20"/>
          <w:szCs w:val="20"/>
        </w:rPr>
        <w:t xml:space="preserve">comply with foreign laws could </w:t>
      </w:r>
      <w:r>
        <w:rPr>
          <w:rFonts w:ascii="Arial" w:eastAsia="宋体" w:hAnsi="Arial" w:cs="Arial"/>
          <w:color w:val="000000"/>
          <w:sz w:val="20"/>
          <w:szCs w:val="20"/>
        </w:rPr>
        <w:t>subject us to penalties ranging from criminal prosecution to significant fines to bans on our services, in addition to the significant costs we may incur in defending against such actions.</w:t>
      </w:r>
    </w:p>
    <w:p w14:paraId="64A8B6A9" w14:textId="77777777" w:rsidR="008D6614" w:rsidRDefault="008D6614">
      <w:pPr>
        <w:jc w:val="both"/>
      </w:pPr>
    </w:p>
    <w:p w14:paraId="64A8B6AA" w14:textId="77777777" w:rsidR="008D6614" w:rsidRDefault="00866AF2">
      <w:pPr>
        <w:ind w:firstLine="450"/>
        <w:jc w:val="both"/>
      </w:pPr>
      <w:r>
        <w:rPr>
          <w:rFonts w:ascii="Arial" w:eastAsia="宋体" w:hAnsi="Arial" w:cs="Arial"/>
          <w:i/>
          <w:iCs/>
          <w:color w:val="000000"/>
          <w:sz w:val="20"/>
          <w:szCs w:val="20"/>
        </w:rPr>
        <w:t>We are regularly subject to general litigation, regulatory dispute</w:t>
      </w:r>
      <w:r>
        <w:rPr>
          <w:rFonts w:ascii="Arial" w:eastAsia="宋体" w:hAnsi="Arial" w:cs="Arial"/>
          <w:i/>
          <w:iCs/>
          <w:color w:val="000000"/>
          <w:sz w:val="20"/>
          <w:szCs w:val="20"/>
        </w:rPr>
        <w:t>s, and government inquiries.</w:t>
      </w:r>
    </w:p>
    <w:p w14:paraId="64A8B6AB" w14:textId="77777777" w:rsidR="008D6614" w:rsidRDefault="008D6614">
      <w:pPr>
        <w:ind w:firstLine="450"/>
        <w:jc w:val="both"/>
      </w:pPr>
    </w:p>
    <w:p w14:paraId="64A8B6AC" w14:textId="77777777" w:rsidR="008D6614" w:rsidRDefault="00866AF2">
      <w:pPr>
        <w:ind w:firstLine="450"/>
        <w:jc w:val="both"/>
      </w:pPr>
      <w:r>
        <w:rPr>
          <w:rFonts w:ascii="Arial" w:eastAsia="宋体" w:hAnsi="Arial" w:cs="Arial"/>
          <w:color w:val="000000"/>
          <w:sz w:val="20"/>
          <w:szCs w:val="20"/>
        </w:rPr>
        <w:t>We are regularly subject to claims, lawsuits (including class actions and individual lawsuits), government investigations, and other proceedings involving competition and antitrust, intellectual property, privacy, consumer pro</w:t>
      </w:r>
      <w:r>
        <w:rPr>
          <w:rFonts w:ascii="Arial" w:eastAsia="宋体" w:hAnsi="Arial" w:cs="Arial"/>
          <w:color w:val="000000"/>
          <w:sz w:val="20"/>
          <w:szCs w:val="20"/>
        </w:rPr>
        <w:t>tection, accessibility claims, securities, tax, labor and employment, commercial disputes, content generated by our users, services and other matters. The number and significance of these disputes and inquiries have increased as our Company has grown large</w:t>
      </w:r>
      <w:r>
        <w:rPr>
          <w:rFonts w:ascii="Arial" w:eastAsia="宋体" w:hAnsi="Arial" w:cs="Arial"/>
          <w:color w:val="000000"/>
          <w:sz w:val="20"/>
          <w:szCs w:val="20"/>
        </w:rPr>
        <w:t>r, our businesses have expanded in scope and geographic reach, and our products and services have increased in complexity.</w:t>
      </w:r>
    </w:p>
    <w:p w14:paraId="64A8B6AD" w14:textId="77777777" w:rsidR="008D6614" w:rsidRDefault="008D6614">
      <w:pPr>
        <w:ind w:firstLine="540"/>
        <w:jc w:val="both"/>
      </w:pPr>
    </w:p>
    <w:p w14:paraId="64A8B6AE" w14:textId="77777777" w:rsidR="008D6614" w:rsidRDefault="00866AF2">
      <w:pPr>
        <w:ind w:firstLine="450"/>
        <w:jc w:val="both"/>
      </w:pPr>
      <w:r>
        <w:rPr>
          <w:rFonts w:ascii="Arial" w:eastAsia="宋体" w:hAnsi="Arial" w:cs="Arial"/>
          <w:color w:val="000000"/>
          <w:sz w:val="20"/>
          <w:szCs w:val="20"/>
        </w:rPr>
        <w:t>The outcome and impact of such claims, lawsuits, government investigations, and other proceedings cannot be predicted with certainty</w:t>
      </w:r>
      <w:r>
        <w:rPr>
          <w:rFonts w:ascii="Arial" w:eastAsia="宋体" w:hAnsi="Arial" w:cs="Arial"/>
          <w:color w:val="000000"/>
          <w:sz w:val="20"/>
          <w:szCs w:val="20"/>
        </w:rPr>
        <w:t>. Regardless of the outcome, such investigations and proceedings can have an adverse impact on us because of legal costs, diversion of management resources, and other factors. Determining reserves for our pending litigation and other proceedings is a compl</w:t>
      </w:r>
      <w:r>
        <w:rPr>
          <w:rFonts w:ascii="Arial" w:eastAsia="宋体" w:hAnsi="Arial" w:cs="Arial"/>
          <w:color w:val="000000"/>
          <w:sz w:val="20"/>
          <w:szCs w:val="20"/>
        </w:rPr>
        <w:t>ex, fact-intensive process that is subject to judgment calls. It is possible that a resolution of one or more such proceedings could require us to make substantial payments to satisfy judgments, fines or penalties or to settle claims or proceedings, any of</w:t>
      </w:r>
      <w:r>
        <w:rPr>
          <w:rFonts w:ascii="Arial" w:eastAsia="宋体" w:hAnsi="Arial" w:cs="Arial"/>
          <w:color w:val="000000"/>
          <w:sz w:val="20"/>
          <w:szCs w:val="20"/>
        </w:rPr>
        <w:t xml:space="preserve"> which could harm our business. These proceedings could also result in reputational harm, criminal sanctions, consent decrees, or orders preventing us from offering certain products, or services, or requiring a change in our business practices in costly wa</w:t>
      </w:r>
      <w:r>
        <w:rPr>
          <w:rFonts w:ascii="Arial" w:eastAsia="宋体" w:hAnsi="Arial" w:cs="Arial"/>
          <w:color w:val="000000"/>
          <w:sz w:val="20"/>
          <w:szCs w:val="20"/>
        </w:rPr>
        <w:t xml:space="preserve">ys, or requiring development of non-infringing or otherwise altered products or technologies. Any of these consequences could harm our business. </w:t>
      </w:r>
    </w:p>
    <w:p w14:paraId="64A8B6AF" w14:textId="77777777" w:rsidR="008D6614" w:rsidRDefault="008D6614">
      <w:pPr>
        <w:ind w:firstLine="450"/>
        <w:jc w:val="both"/>
      </w:pPr>
    </w:p>
    <w:p w14:paraId="64A8B6B0" w14:textId="77777777" w:rsidR="008D6614" w:rsidRDefault="00866AF2">
      <w:pPr>
        <w:ind w:firstLine="450"/>
        <w:jc w:val="both"/>
      </w:pPr>
      <w:r>
        <w:rPr>
          <w:rFonts w:ascii="Arial" w:eastAsia="宋体" w:hAnsi="Arial" w:cs="Arial"/>
          <w:i/>
          <w:iCs/>
          <w:color w:val="000000"/>
          <w:sz w:val="20"/>
          <w:szCs w:val="20"/>
        </w:rPr>
        <w:t>We are subject to regulatory activity and antitrust litigation under competition laws that could adversely im</w:t>
      </w:r>
      <w:r>
        <w:rPr>
          <w:rFonts w:ascii="Arial" w:eastAsia="宋体" w:hAnsi="Arial" w:cs="Arial"/>
          <w:i/>
          <w:iCs/>
          <w:color w:val="000000"/>
          <w:sz w:val="20"/>
          <w:szCs w:val="20"/>
        </w:rPr>
        <w:t>pact our business.</w:t>
      </w:r>
    </w:p>
    <w:p w14:paraId="64A8B6B1" w14:textId="77777777" w:rsidR="008D6614" w:rsidRDefault="008D6614">
      <w:pPr>
        <w:ind w:firstLine="450"/>
        <w:jc w:val="both"/>
      </w:pPr>
    </w:p>
    <w:p w14:paraId="64A8B6B2" w14:textId="77777777" w:rsidR="008D6614" w:rsidRDefault="00866AF2">
      <w:pPr>
        <w:ind w:firstLine="450"/>
        <w:jc w:val="both"/>
      </w:pPr>
      <w:r>
        <w:rPr>
          <w:rFonts w:ascii="Arial" w:eastAsia="宋体" w:hAnsi="Arial" w:cs="Arial"/>
          <w:color w:val="000000"/>
          <w:sz w:val="20"/>
          <w:szCs w:val="20"/>
        </w:rPr>
        <w:t>We are subject to scrutiny by various government agencies under U.S. and foreign laws and regulations, including antitrust and competition laws. Some jurisdictions also provide private rights of action for competitors or consumers to as</w:t>
      </w:r>
      <w:r>
        <w:rPr>
          <w:rFonts w:ascii="Arial" w:eastAsia="宋体" w:hAnsi="Arial" w:cs="Arial"/>
          <w:color w:val="000000"/>
          <w:sz w:val="20"/>
          <w:szCs w:val="20"/>
        </w:rPr>
        <w:t>sert claims of anti-competitive conduct. Other companies and government agencies have in the past and may in the future allege that our actions violate the antitrust or competition laws of the United States, individual states, the European Union or other c</w:t>
      </w:r>
      <w:r>
        <w:rPr>
          <w:rFonts w:ascii="Arial" w:eastAsia="宋体" w:hAnsi="Arial" w:cs="Arial"/>
          <w:color w:val="000000"/>
          <w:sz w:val="20"/>
          <w:szCs w:val="20"/>
        </w:rPr>
        <w:t>ountries, or otherwise constitute unfair competition. An increasing number of governments are regulating competition law activities, including increased scrutiny in large markets such as China. Our business partnerships or agreements or arrangements with c</w:t>
      </w:r>
      <w:r>
        <w:rPr>
          <w:rFonts w:ascii="Arial" w:eastAsia="宋体" w:hAnsi="Arial" w:cs="Arial"/>
          <w:color w:val="000000"/>
          <w:sz w:val="20"/>
          <w:szCs w:val="20"/>
        </w:rPr>
        <w:t>ustomers or other companies could give rise to regulatory action or antitrust litigation. Some regulators, particularly those outside of the United States, may perceive our business to be used so broadly that otherwise uncontroversial business practices co</w:t>
      </w:r>
      <w:r>
        <w:rPr>
          <w:rFonts w:ascii="Arial" w:eastAsia="宋体" w:hAnsi="Arial" w:cs="Arial"/>
          <w:color w:val="000000"/>
          <w:sz w:val="20"/>
          <w:szCs w:val="20"/>
        </w:rPr>
        <w:t>uld be deemed anticompetitive. Certain competition authorities have conducted market studies of our industries. Such claims and investigations, even if without foundation, may be very expensive to defend, involve negative publicity and substantial diversio</w:t>
      </w:r>
      <w:r>
        <w:rPr>
          <w:rFonts w:ascii="Arial" w:eastAsia="宋体" w:hAnsi="Arial" w:cs="Arial"/>
          <w:color w:val="000000"/>
          <w:sz w:val="20"/>
          <w:szCs w:val="20"/>
        </w:rPr>
        <w:t>n of management time and effort and could result in significant judgments against us or require us to change our business practices.</w:t>
      </w:r>
    </w:p>
    <w:p w14:paraId="64A8B6B3" w14:textId="77777777" w:rsidR="008D6614" w:rsidRDefault="008D6614">
      <w:pPr>
        <w:ind w:firstLine="450"/>
        <w:jc w:val="both"/>
      </w:pPr>
    </w:p>
    <w:p w14:paraId="64A8B6B4" w14:textId="77777777" w:rsidR="008D6614" w:rsidRDefault="00866AF2">
      <w:pPr>
        <w:ind w:firstLine="450"/>
      </w:pPr>
      <w:r>
        <w:rPr>
          <w:rFonts w:ascii="Arial" w:eastAsia="宋体" w:hAnsi="Arial" w:cs="Arial"/>
          <w:i/>
          <w:iCs/>
          <w:color w:val="000000"/>
          <w:sz w:val="20"/>
          <w:szCs w:val="20"/>
        </w:rPr>
        <w:t xml:space="preserve">Fluctuations in interest rates, and changes in regulatory guidance related to such interest rates, could </w:t>
      </w:r>
      <w:r>
        <w:rPr>
          <w:rFonts w:ascii="Arial" w:eastAsia="宋体" w:hAnsi="Arial" w:cs="Arial"/>
          <w:i/>
          <w:iCs/>
          <w:color w:val="000000"/>
          <w:sz w:val="20"/>
          <w:szCs w:val="20"/>
        </w:rPr>
        <w:t>adversely impact our financial results.</w:t>
      </w:r>
    </w:p>
    <w:p w14:paraId="64A8B6B5" w14:textId="77777777" w:rsidR="008D6614" w:rsidRDefault="008D6614"/>
    <w:p w14:paraId="64A8B6B6" w14:textId="77777777" w:rsidR="008D6614" w:rsidRDefault="00866AF2">
      <w:pPr>
        <w:ind w:firstLine="450"/>
        <w:jc w:val="both"/>
      </w:pPr>
      <w:r>
        <w:rPr>
          <w:rFonts w:ascii="Arial" w:eastAsia="宋体" w:hAnsi="Arial" w:cs="Arial"/>
          <w:color w:val="000000"/>
          <w:sz w:val="20"/>
          <w:szCs w:val="20"/>
        </w:rPr>
        <w:t>Some of our borrowings bear interest at floating rates and we have entered into agreements intended to convert the interest rate on some of our fixed rate debt instruments to floating rates. To the extent that preva</w:t>
      </w:r>
      <w:r>
        <w:rPr>
          <w:rFonts w:ascii="Arial" w:eastAsia="宋体" w:hAnsi="Arial" w:cs="Arial"/>
          <w:color w:val="000000"/>
          <w:sz w:val="20"/>
          <w:szCs w:val="20"/>
        </w:rPr>
        <w:t>iling rates increase, our interest expense under these debt instruments will increase.</w:t>
      </w:r>
    </w:p>
    <w:p w14:paraId="64A8B6B7" w14:textId="77777777" w:rsidR="008D6614" w:rsidRDefault="008D6614">
      <w:pPr>
        <w:ind w:firstLine="450"/>
        <w:jc w:val="both"/>
      </w:pPr>
    </w:p>
    <w:p w14:paraId="64A8B6B8" w14:textId="77777777" w:rsidR="008D6614" w:rsidRDefault="00866AF2">
      <w:pPr>
        <w:ind w:firstLine="450"/>
        <w:jc w:val="both"/>
      </w:pPr>
      <w:r>
        <w:rPr>
          <w:rFonts w:ascii="Arial" w:eastAsia="宋体" w:hAnsi="Arial" w:cs="Arial"/>
          <w:color w:val="000000"/>
          <w:sz w:val="20"/>
          <w:szCs w:val="20"/>
        </w:rPr>
        <w:t>Investments in both fixed-rate and floating-rate interest-earning instruments carry varying degrees of interest rate risk. The fair market value of our fixed-rate inves</w:t>
      </w:r>
      <w:r>
        <w:rPr>
          <w:rFonts w:ascii="Arial" w:eastAsia="宋体" w:hAnsi="Arial" w:cs="Arial"/>
          <w:color w:val="000000"/>
          <w:sz w:val="20"/>
          <w:szCs w:val="20"/>
        </w:rPr>
        <w:t xml:space="preserve">tment securities may be adversely impacted due to a rise in interest rates. In general, fixed-rate securities with longer maturities are subject to greater interest-rate risk than those with shorter maturities. While floating rate securities generally are </w:t>
      </w:r>
      <w:r>
        <w:rPr>
          <w:rFonts w:ascii="Arial" w:eastAsia="宋体" w:hAnsi="Arial" w:cs="Arial"/>
          <w:color w:val="000000"/>
          <w:sz w:val="20"/>
          <w:szCs w:val="20"/>
        </w:rPr>
        <w:t>subject to less interest-rate risk than fixed-rate securities, floating-rate securities may produce less income than expected if interest rates decrease and may also suffer a decline in market value if interest rates increase. Due in part to these factors,</w:t>
      </w:r>
      <w:r>
        <w:rPr>
          <w:rFonts w:ascii="Arial" w:eastAsia="宋体" w:hAnsi="Arial" w:cs="Arial"/>
          <w:color w:val="000000"/>
          <w:sz w:val="20"/>
          <w:szCs w:val="20"/>
        </w:rPr>
        <w:t xml:space="preserve"> our investment income may decline or we may suffer losses in principal if securities are sold that have declined in market value due to changes in interest rates. In addition, relatively low interest rates limit our investment income. Fluctuations in inte</w:t>
      </w:r>
      <w:r>
        <w:rPr>
          <w:rFonts w:ascii="Arial" w:eastAsia="宋体" w:hAnsi="Arial" w:cs="Arial"/>
          <w:color w:val="000000"/>
          <w:sz w:val="20"/>
          <w:szCs w:val="20"/>
        </w:rPr>
        <w:t>rest rates that increase the cost of our current or future indebtedness, cause the market value of our assets to decline or reduce our investment income could adversely affect our financial results.</w:t>
      </w:r>
    </w:p>
    <w:p w14:paraId="64A8B6B9" w14:textId="77777777" w:rsidR="008D6614" w:rsidRDefault="008D6614">
      <w:pPr>
        <w:jc w:val="center"/>
      </w:pPr>
    </w:p>
    <w:p w14:paraId="64A8B6BA" w14:textId="77777777" w:rsidR="008D6614" w:rsidRDefault="00866AF2">
      <w:pPr>
        <w:jc w:val="center"/>
      </w:pPr>
      <w:r>
        <w:rPr>
          <w:rFonts w:ascii="Arial" w:eastAsia="宋体" w:hAnsi="Arial" w:cs="Arial"/>
          <w:color w:val="000000"/>
          <w:sz w:val="20"/>
          <w:szCs w:val="20"/>
        </w:rPr>
        <w:t>58</w:t>
      </w:r>
    </w:p>
    <w:p w14:paraId="64A8B6BB" w14:textId="77777777" w:rsidR="008D6614" w:rsidRDefault="00866AF2">
      <w:r>
        <w:pict w14:anchorId="64A8BA17">
          <v:rect id="_x0000_i1082" style="width:415.3pt;height:1.5pt" o:hralign="center" o:hrstd="t" o:hr="t" fillcolor="#a0a0a0" stroked="f"/>
        </w:pict>
      </w:r>
    </w:p>
    <w:p w14:paraId="64A8B6BC" w14:textId="77777777" w:rsidR="008D6614" w:rsidRDefault="008D6614"/>
    <w:p w14:paraId="64A8B6BD" w14:textId="77777777" w:rsidR="008D6614" w:rsidRDefault="008D6614">
      <w:pPr>
        <w:ind w:firstLine="450"/>
        <w:jc w:val="both"/>
      </w:pPr>
    </w:p>
    <w:p w14:paraId="64A8B6BE" w14:textId="77777777" w:rsidR="008D6614" w:rsidRDefault="00866AF2">
      <w:pPr>
        <w:ind w:firstLine="450"/>
        <w:jc w:val="both"/>
      </w:pPr>
      <w:r>
        <w:rPr>
          <w:rFonts w:ascii="Arial" w:eastAsia="宋体" w:hAnsi="Arial" w:cs="Arial"/>
          <w:i/>
          <w:iCs/>
          <w:color w:val="000000"/>
          <w:sz w:val="20"/>
          <w:szCs w:val="20"/>
        </w:rPr>
        <w:t xml:space="preserve">The listing or sale by our users of items </w:t>
      </w:r>
      <w:r>
        <w:rPr>
          <w:rFonts w:ascii="Arial" w:eastAsia="宋体" w:hAnsi="Arial" w:cs="Arial"/>
          <w:i/>
          <w:iCs/>
          <w:color w:val="000000"/>
          <w:sz w:val="20"/>
          <w:szCs w:val="20"/>
        </w:rPr>
        <w:t>that allegedly infringe the intellectual property rights of rights owners, including pirated or counterfeit items, may harm our business.</w:t>
      </w:r>
    </w:p>
    <w:p w14:paraId="64A8B6BF" w14:textId="77777777" w:rsidR="008D6614" w:rsidRDefault="008D6614">
      <w:pPr>
        <w:ind w:firstLine="450"/>
        <w:jc w:val="both"/>
      </w:pPr>
    </w:p>
    <w:p w14:paraId="64A8B6C0" w14:textId="77777777" w:rsidR="008D6614" w:rsidRDefault="00866AF2">
      <w:pPr>
        <w:ind w:firstLine="450"/>
        <w:jc w:val="both"/>
      </w:pPr>
      <w:r>
        <w:rPr>
          <w:rFonts w:ascii="Arial" w:eastAsia="宋体" w:hAnsi="Arial" w:cs="Arial"/>
          <w:color w:val="000000"/>
          <w:sz w:val="20"/>
          <w:szCs w:val="20"/>
        </w:rPr>
        <w:t>The listing or sale by our users of unlawful, counterfeit or stolen goods or unlawful services, or sale of goods or s</w:t>
      </w:r>
      <w:r>
        <w:rPr>
          <w:rFonts w:ascii="Arial" w:eastAsia="宋体" w:hAnsi="Arial" w:cs="Arial"/>
          <w:color w:val="000000"/>
          <w:sz w:val="20"/>
          <w:szCs w:val="20"/>
        </w:rPr>
        <w:t>ervices in an unlawful manner, has resulted and may continue to result in allegations of civil or criminal liability for unlawful activities against us (including the employees and directors of our various entities) involving activities carried out by user</w:t>
      </w:r>
      <w:r>
        <w:rPr>
          <w:rFonts w:ascii="Arial" w:eastAsia="宋体" w:hAnsi="Arial" w:cs="Arial"/>
          <w:color w:val="000000"/>
          <w:sz w:val="20"/>
          <w:szCs w:val="20"/>
        </w:rPr>
        <w:t>s through our services. In a number of circumstances, third parties, including government regulators and law enforcement officials, have alleged that our services aid and abet violations of certain laws, including laws regarding the sale of counterfeit ite</w:t>
      </w:r>
      <w:r>
        <w:rPr>
          <w:rFonts w:ascii="Arial" w:eastAsia="宋体" w:hAnsi="Arial" w:cs="Arial"/>
          <w:color w:val="000000"/>
          <w:sz w:val="20"/>
          <w:szCs w:val="20"/>
        </w:rPr>
        <w:t>ms, laws restricting or prohibiting the transferability (and by extension, the resale) of digital goods (e.g., books, music and software), the fencing of stolen goods, selective distribution channel laws, customs laws, distance selling laws, and the sale o</w:t>
      </w:r>
      <w:r>
        <w:rPr>
          <w:rFonts w:ascii="Arial" w:eastAsia="宋体" w:hAnsi="Arial" w:cs="Arial"/>
          <w:color w:val="000000"/>
          <w:sz w:val="20"/>
          <w:szCs w:val="20"/>
        </w:rPr>
        <w:t xml:space="preserve">f items outside of the United States that are regulated by U.S. export controls. </w:t>
      </w:r>
    </w:p>
    <w:p w14:paraId="64A8B6C1" w14:textId="77777777" w:rsidR="008D6614" w:rsidRDefault="008D6614">
      <w:pPr>
        <w:jc w:val="both"/>
      </w:pPr>
    </w:p>
    <w:p w14:paraId="64A8B6C2" w14:textId="77777777" w:rsidR="008D6614" w:rsidRDefault="00866AF2">
      <w:pPr>
        <w:ind w:firstLine="450"/>
        <w:jc w:val="both"/>
      </w:pPr>
      <w:r>
        <w:rPr>
          <w:rFonts w:ascii="Arial" w:eastAsia="宋体" w:hAnsi="Arial" w:cs="Arial"/>
          <w:color w:val="000000"/>
          <w:sz w:val="20"/>
          <w:szCs w:val="20"/>
        </w:rPr>
        <w:t>In addition, allegations of infringement of intellectual property rights, including but not limited to counterfeit items, have resulted in threatened and actual litigation f</w:t>
      </w:r>
      <w:r>
        <w:rPr>
          <w:rFonts w:ascii="Arial" w:eastAsia="宋体" w:hAnsi="Arial" w:cs="Arial"/>
          <w:color w:val="000000"/>
          <w:sz w:val="20"/>
          <w:szCs w:val="20"/>
        </w:rPr>
        <w:t xml:space="preserve">rom time to time by rights owners, including the following luxury brand owners: Tiffany &amp; Co. in the United States; Rolex S.A. and Coty Prestige Lancaster Group GmbH in Germany; Louis Vuitton Malletier and Christian Dior Couture in France; and L’Oréal SA, </w:t>
      </w:r>
      <w:r>
        <w:rPr>
          <w:rFonts w:ascii="Arial" w:eastAsia="宋体" w:hAnsi="Arial" w:cs="Arial"/>
          <w:color w:val="000000"/>
          <w:sz w:val="20"/>
          <w:szCs w:val="20"/>
        </w:rPr>
        <w:t>Lancôme Parfums et Beauté &amp; Cie, and Laboratoire Garnier &amp; Cie in several European countries. Plaintiffs in these and similar suits seek, among other remedies, injunctive relief and damages. Statutory damages for copyright or trademark violations could ran</w:t>
      </w:r>
      <w:r>
        <w:rPr>
          <w:rFonts w:ascii="Arial" w:eastAsia="宋体" w:hAnsi="Arial" w:cs="Arial"/>
          <w:color w:val="000000"/>
          <w:sz w:val="20"/>
          <w:szCs w:val="20"/>
        </w:rPr>
        <w:t>ge up to $150,000 per copyright violation and $2,000,000 per trademark violation in the United States, and may be even higher in other jurisdictions. In the past, we have paid substantial amounts in connection with resolving certain trademark and copyright</w:t>
      </w:r>
      <w:r>
        <w:rPr>
          <w:rFonts w:ascii="Arial" w:eastAsia="宋体" w:hAnsi="Arial" w:cs="Arial"/>
          <w:color w:val="000000"/>
          <w:sz w:val="20"/>
          <w:szCs w:val="20"/>
        </w:rPr>
        <w:t xml:space="preserve"> suits. These and similar suits may also force us to modify our business practices in a manner that increases costs, lowers revenue, makes our websites and mobile platforms less convenient to customers, and requires us to spend substantial resources to tak</w:t>
      </w:r>
      <w:r>
        <w:rPr>
          <w:rFonts w:ascii="Arial" w:eastAsia="宋体" w:hAnsi="Arial" w:cs="Arial"/>
          <w:color w:val="000000"/>
          <w:sz w:val="20"/>
          <w:szCs w:val="20"/>
        </w:rPr>
        <w:t xml:space="preserve">e additional protective measures or discontinue certain service offerings in order to combat these practices. In addition, we have received significant media attention relating to the listing or sale of illegal or counterfeit goods, which could damage our </w:t>
      </w:r>
      <w:r>
        <w:rPr>
          <w:rFonts w:ascii="Arial" w:eastAsia="宋体" w:hAnsi="Arial" w:cs="Arial"/>
          <w:color w:val="000000"/>
          <w:sz w:val="20"/>
          <w:szCs w:val="20"/>
        </w:rPr>
        <w:t>reputation, diminish the value of our brand names, and make users reluctant to use our products and services.</w:t>
      </w:r>
    </w:p>
    <w:p w14:paraId="64A8B6C3" w14:textId="77777777" w:rsidR="008D6614" w:rsidRDefault="008D6614">
      <w:pPr>
        <w:ind w:firstLine="450"/>
        <w:jc w:val="both"/>
      </w:pPr>
    </w:p>
    <w:p w14:paraId="64A8B6C4" w14:textId="77777777" w:rsidR="008D6614" w:rsidRDefault="00866AF2">
      <w:pPr>
        <w:ind w:firstLine="450"/>
        <w:jc w:val="both"/>
      </w:pPr>
      <w:r>
        <w:rPr>
          <w:rFonts w:ascii="Arial" w:eastAsia="宋体" w:hAnsi="Arial" w:cs="Arial"/>
          <w:i/>
          <w:iCs/>
          <w:color w:val="000000"/>
          <w:sz w:val="20"/>
          <w:szCs w:val="20"/>
        </w:rPr>
        <w:t>We are subject to risks associated with information disseminated through our services.</w:t>
      </w:r>
    </w:p>
    <w:p w14:paraId="64A8B6C5" w14:textId="77777777" w:rsidR="008D6614" w:rsidRDefault="008D6614">
      <w:pPr>
        <w:ind w:firstLine="450"/>
        <w:jc w:val="both"/>
      </w:pPr>
    </w:p>
    <w:p w14:paraId="64A8B6C6" w14:textId="77777777" w:rsidR="008D6614" w:rsidRDefault="00866AF2">
      <w:pPr>
        <w:ind w:firstLine="450"/>
        <w:jc w:val="both"/>
      </w:pPr>
      <w:r>
        <w:rPr>
          <w:rFonts w:ascii="Arial" w:eastAsia="宋体" w:hAnsi="Arial" w:cs="Arial"/>
          <w:color w:val="000000"/>
          <w:sz w:val="20"/>
          <w:szCs w:val="20"/>
        </w:rPr>
        <w:t>Online services companies may be subject to claims relati</w:t>
      </w:r>
      <w:r>
        <w:rPr>
          <w:rFonts w:ascii="Arial" w:eastAsia="宋体" w:hAnsi="Arial" w:cs="Arial"/>
          <w:color w:val="000000"/>
          <w:sz w:val="20"/>
          <w:szCs w:val="20"/>
        </w:rPr>
        <w:t>ng to information disseminated through their services, including claims alleging defamation, libel, breach of contract, invasion of privacy, negligence, copyright or trademark infringement, among other things. The laws relating to the liability of online s</w:t>
      </w:r>
      <w:r>
        <w:rPr>
          <w:rFonts w:ascii="Arial" w:eastAsia="宋体" w:hAnsi="Arial" w:cs="Arial"/>
          <w:color w:val="000000"/>
          <w:sz w:val="20"/>
          <w:szCs w:val="20"/>
        </w:rPr>
        <w:t>ervices companies for information disseminated through their services are subject to frequent challenges both in the United States and foreign jurisdictions. Any liabilities incurred as a result of these matters could require us to incur additional costs a</w:t>
      </w:r>
      <w:r>
        <w:rPr>
          <w:rFonts w:ascii="Arial" w:eastAsia="宋体" w:hAnsi="Arial" w:cs="Arial"/>
          <w:color w:val="000000"/>
          <w:sz w:val="20"/>
          <w:szCs w:val="20"/>
        </w:rPr>
        <w:t xml:space="preserve">nd harm our reputation and our business. </w:t>
      </w:r>
    </w:p>
    <w:p w14:paraId="64A8B6C7" w14:textId="77777777" w:rsidR="008D6614" w:rsidRDefault="008D6614">
      <w:pPr>
        <w:ind w:firstLine="450"/>
        <w:jc w:val="both"/>
      </w:pPr>
    </w:p>
    <w:p w14:paraId="64A8B6C8" w14:textId="77777777" w:rsidR="008D6614" w:rsidRDefault="00866AF2">
      <w:pPr>
        <w:ind w:firstLine="450"/>
        <w:jc w:val="both"/>
      </w:pPr>
      <w:r>
        <w:rPr>
          <w:rFonts w:ascii="Arial" w:eastAsia="宋体" w:hAnsi="Arial" w:cs="Arial"/>
          <w:color w:val="000000"/>
          <w:sz w:val="20"/>
          <w:szCs w:val="20"/>
        </w:rPr>
        <w:t xml:space="preserve">Our potential liability to third parties for the user-provided content on our sites, particularly in jurisdictions outside the United States where laws governing Internet transactions are unsettled, may increase. </w:t>
      </w:r>
      <w:r>
        <w:rPr>
          <w:rFonts w:ascii="Arial" w:eastAsia="宋体" w:hAnsi="Arial" w:cs="Arial"/>
          <w:color w:val="000000"/>
          <w:sz w:val="20"/>
          <w:szCs w:val="20"/>
        </w:rPr>
        <w:t>If we become liable for information provided by our users and carried on our service in any jurisdiction in which we operate, we could be directly harmed and we may be forced to implement new measures to reduce our exposure to this liability, including exp</w:t>
      </w:r>
      <w:r>
        <w:rPr>
          <w:rFonts w:ascii="Arial" w:eastAsia="宋体" w:hAnsi="Arial" w:cs="Arial"/>
          <w:color w:val="000000"/>
          <w:sz w:val="20"/>
          <w:szCs w:val="20"/>
        </w:rPr>
        <w:t xml:space="preserve">ending substantial resources or discontinuing certain service offerings, which could harm our business. </w:t>
      </w:r>
    </w:p>
    <w:p w14:paraId="64A8B6C9" w14:textId="77777777" w:rsidR="008D6614" w:rsidRDefault="008D6614">
      <w:pPr>
        <w:ind w:firstLine="450"/>
        <w:jc w:val="both"/>
      </w:pPr>
    </w:p>
    <w:p w14:paraId="64A8B6CA" w14:textId="77777777" w:rsidR="008D6614" w:rsidRDefault="00866AF2">
      <w:pPr>
        <w:ind w:firstLine="450"/>
        <w:jc w:val="both"/>
      </w:pPr>
      <w:r>
        <w:rPr>
          <w:rFonts w:ascii="Arial" w:eastAsia="宋体" w:hAnsi="Arial" w:cs="Arial"/>
          <w:i/>
          <w:iCs/>
          <w:color w:val="000000"/>
          <w:sz w:val="20"/>
          <w:szCs w:val="20"/>
        </w:rPr>
        <w:t>Changes to our programs to protect buyers and sellers could increase our costs and loss rate.</w:t>
      </w:r>
    </w:p>
    <w:p w14:paraId="64A8B6CB" w14:textId="77777777" w:rsidR="008D6614" w:rsidRDefault="008D6614">
      <w:pPr>
        <w:ind w:firstLine="450"/>
        <w:jc w:val="both"/>
      </w:pPr>
    </w:p>
    <w:p w14:paraId="64A8B6CC" w14:textId="77777777" w:rsidR="008D6614" w:rsidRDefault="00866AF2">
      <w:pPr>
        <w:ind w:firstLine="450"/>
        <w:jc w:val="both"/>
      </w:pPr>
      <w:r>
        <w:rPr>
          <w:rFonts w:ascii="Arial" w:eastAsia="宋体" w:hAnsi="Arial" w:cs="Arial"/>
          <w:color w:val="000000"/>
          <w:sz w:val="20"/>
          <w:szCs w:val="20"/>
        </w:rPr>
        <w:t>Our eBay Money Back Guarantee program represents the me</w:t>
      </w:r>
      <w:r>
        <w:rPr>
          <w:rFonts w:ascii="Arial" w:eastAsia="宋体" w:hAnsi="Arial" w:cs="Arial"/>
          <w:color w:val="000000"/>
          <w:sz w:val="20"/>
          <w:szCs w:val="20"/>
        </w:rPr>
        <w:t>ans by which we compensate users who believe that they have been defrauded, have not received the item that they purchased or have received an item different from what was described. In addition, as we expand our payments capabilities, we may be exposed to</w:t>
      </w:r>
      <w:r>
        <w:rPr>
          <w:rFonts w:ascii="Arial" w:eastAsia="宋体" w:hAnsi="Arial" w:cs="Arial"/>
          <w:color w:val="000000"/>
          <w:sz w:val="20"/>
          <w:szCs w:val="20"/>
        </w:rPr>
        <w:t xml:space="preserve"> losses associated with compensating our sellers for fraudulent payments. We expect to continue to receive communications from users requesting reimbursement or threatening or commencing legal action against us if no reimbursement is made. Our liability fo</w:t>
      </w:r>
      <w:r>
        <w:rPr>
          <w:rFonts w:ascii="Arial" w:eastAsia="宋体" w:hAnsi="Arial" w:cs="Arial"/>
          <w:color w:val="000000"/>
          <w:sz w:val="20"/>
          <w:szCs w:val="20"/>
        </w:rPr>
        <w:t>r these sorts of claims is slowly beginning to be clarified in some jurisdictions and may be higher in some non-U.S. jurisdictions than it is in the United States. Litigation involving liability for any such third-party actions could be costly and time con</w:t>
      </w:r>
      <w:r>
        <w:rPr>
          <w:rFonts w:ascii="Arial" w:eastAsia="宋体" w:hAnsi="Arial" w:cs="Arial"/>
          <w:color w:val="000000"/>
          <w:sz w:val="20"/>
          <w:szCs w:val="20"/>
        </w:rPr>
        <w:t>suming for us, divert management attention, result in increased costs of doing business, lead to adverse judgments or settlements or otherwise harm our business. In addition, affected users will likely complain to regulatory agencies that could take action</w:t>
      </w:r>
      <w:r>
        <w:rPr>
          <w:rFonts w:ascii="Arial" w:eastAsia="宋体" w:hAnsi="Arial" w:cs="Arial"/>
          <w:color w:val="000000"/>
          <w:sz w:val="20"/>
          <w:szCs w:val="20"/>
        </w:rPr>
        <w:t xml:space="preserve"> against us, including imposing fines or seeking injunctions.</w:t>
      </w:r>
    </w:p>
    <w:p w14:paraId="64A8B6CD" w14:textId="77777777" w:rsidR="008D6614" w:rsidRDefault="008D6614">
      <w:pPr>
        <w:jc w:val="center"/>
      </w:pPr>
    </w:p>
    <w:p w14:paraId="64A8B6CE" w14:textId="77777777" w:rsidR="008D6614" w:rsidRDefault="00866AF2">
      <w:pPr>
        <w:jc w:val="center"/>
      </w:pPr>
      <w:r>
        <w:rPr>
          <w:rFonts w:ascii="Arial" w:eastAsia="宋体" w:hAnsi="Arial" w:cs="Arial"/>
          <w:color w:val="000000"/>
          <w:sz w:val="20"/>
          <w:szCs w:val="20"/>
        </w:rPr>
        <w:t>59</w:t>
      </w:r>
    </w:p>
    <w:p w14:paraId="64A8B6CF" w14:textId="77777777" w:rsidR="008D6614" w:rsidRDefault="00866AF2">
      <w:r>
        <w:pict w14:anchorId="64A8BA18">
          <v:rect id="_x0000_i1083" style="width:415.3pt;height:1.5pt" o:hralign="center" o:hrstd="t" o:hr="t" fillcolor="#a0a0a0" stroked="f"/>
        </w:pict>
      </w:r>
    </w:p>
    <w:p w14:paraId="64A8B6D0" w14:textId="77777777" w:rsidR="008D6614" w:rsidRDefault="008D6614"/>
    <w:p w14:paraId="64A8B6D1" w14:textId="77777777" w:rsidR="008D6614" w:rsidRDefault="008D6614">
      <w:pPr>
        <w:ind w:firstLine="450"/>
        <w:jc w:val="both"/>
      </w:pPr>
    </w:p>
    <w:p w14:paraId="64A8B6D2" w14:textId="77777777" w:rsidR="008D6614" w:rsidRDefault="00866AF2">
      <w:pPr>
        <w:ind w:firstLine="450"/>
        <w:jc w:val="both"/>
      </w:pPr>
      <w:r>
        <w:rPr>
          <w:rFonts w:ascii="Arial" w:eastAsia="宋体" w:hAnsi="Arial" w:cs="Arial"/>
          <w:i/>
          <w:iCs/>
          <w:color w:val="000000"/>
          <w:sz w:val="20"/>
          <w:szCs w:val="20"/>
        </w:rPr>
        <w:t>Development of our payments system requires ongoing investment, is subject to evolving laws, regulations, rules, and standards, and involves risk, including risks related to our dependen</w:t>
      </w:r>
      <w:r>
        <w:rPr>
          <w:rFonts w:ascii="Arial" w:eastAsia="宋体" w:hAnsi="Arial" w:cs="Arial"/>
          <w:i/>
          <w:iCs/>
          <w:color w:val="000000"/>
          <w:sz w:val="20"/>
          <w:szCs w:val="20"/>
        </w:rPr>
        <w:t>ce on third-party providers.</w:t>
      </w:r>
    </w:p>
    <w:p w14:paraId="64A8B6D3" w14:textId="77777777" w:rsidR="008D6614" w:rsidRDefault="008D6614"/>
    <w:p w14:paraId="64A8B6D4" w14:textId="77777777" w:rsidR="008D6614" w:rsidRDefault="00866AF2">
      <w:pPr>
        <w:ind w:firstLine="440"/>
        <w:jc w:val="both"/>
      </w:pPr>
      <w:r>
        <w:rPr>
          <w:rFonts w:ascii="Arial" w:eastAsia="宋体" w:hAnsi="Arial" w:cs="Arial"/>
          <w:color w:val="000000"/>
          <w:sz w:val="20"/>
          <w:szCs w:val="20"/>
        </w:rPr>
        <w:t>We have invested and plan to continue to invest internal resources into our payments tools in order to maintain existing availability, expand into additional markets and offer new payment methods and tools to our buyers and se</w:t>
      </w:r>
      <w:r>
        <w:rPr>
          <w:rFonts w:ascii="Arial" w:eastAsia="宋体" w:hAnsi="Arial" w:cs="Arial"/>
          <w:color w:val="000000"/>
          <w:sz w:val="20"/>
          <w:szCs w:val="20"/>
        </w:rPr>
        <w:t>llers. If we fail to invest adequate resources into payments on our platform, or if our investment efforts are unsuccessful or unreliable, our payments services may not function properly or keep pace with competitive offerings, which could negatively impac</w:t>
      </w:r>
      <w:r>
        <w:rPr>
          <w:rFonts w:ascii="Arial" w:eastAsia="宋体" w:hAnsi="Arial" w:cs="Arial"/>
          <w:color w:val="000000"/>
          <w:sz w:val="20"/>
          <w:szCs w:val="20"/>
        </w:rPr>
        <w:t>t their usage and our marketplaces. Further, our ability to expand our payments services into additional countries is dependent upon the third-party providers we use to support this service. As we expand the availability of our payments services to additio</w:t>
      </w:r>
      <w:r>
        <w:rPr>
          <w:rFonts w:ascii="Arial" w:eastAsia="宋体" w:hAnsi="Arial" w:cs="Arial"/>
          <w:color w:val="000000"/>
          <w:sz w:val="20"/>
          <w:szCs w:val="20"/>
        </w:rPr>
        <w:t>nal markets or offer new payment methods to our sellers and buyers in the future, we may become subject to additional regulations and compliance requirements, and exposed to heightened fraud risk, which could lead to an increase in our operating expenses.</w:t>
      </w:r>
    </w:p>
    <w:p w14:paraId="64A8B6D5" w14:textId="77777777" w:rsidR="008D6614" w:rsidRDefault="008D6614"/>
    <w:p w14:paraId="64A8B6D6" w14:textId="77777777" w:rsidR="008D6614" w:rsidRDefault="00866AF2">
      <w:pPr>
        <w:ind w:firstLine="440"/>
        <w:jc w:val="both"/>
      </w:pPr>
      <w:r>
        <w:rPr>
          <w:rFonts w:ascii="Arial" w:eastAsia="宋体" w:hAnsi="Arial" w:cs="Arial"/>
          <w:color w:val="000000"/>
          <w:sz w:val="20"/>
          <w:szCs w:val="20"/>
        </w:rPr>
        <w:t>We rely on third-party service providers to perform services related to compliance, credit card processing, payment disbursements, currency exchange, identity verification, sanctions screening, and fraud analysis and detection. As a result, we are subject</w:t>
      </w:r>
      <w:r>
        <w:rPr>
          <w:rFonts w:ascii="Arial" w:eastAsia="宋体" w:hAnsi="Arial" w:cs="Arial"/>
          <w:color w:val="000000"/>
          <w:sz w:val="20"/>
          <w:szCs w:val="20"/>
        </w:rPr>
        <w:t xml:space="preserve"> to a number of risks related to our dependence on third-party service providers. If any or some of these service providers fail to perform adequately or if any such service provider were to terminate or modify its relationship with us unexpectedly, our se</w:t>
      </w:r>
      <w:r>
        <w:rPr>
          <w:rFonts w:ascii="Arial" w:eastAsia="宋体" w:hAnsi="Arial" w:cs="Arial"/>
          <w:color w:val="000000"/>
          <w:sz w:val="20"/>
          <w:szCs w:val="20"/>
        </w:rPr>
        <w:t>llers’ ability to use our platform to receive orders or payments could be adversely affected, which would increase costs, drive sellers away from our marketplaces, result in potential legal liability, and harm our business. In addition, we and our third-pa</w:t>
      </w:r>
      <w:r>
        <w:rPr>
          <w:rFonts w:ascii="Arial" w:eastAsia="宋体" w:hAnsi="Arial" w:cs="Arial"/>
          <w:color w:val="000000"/>
          <w:sz w:val="20"/>
          <w:szCs w:val="20"/>
        </w:rPr>
        <w:t>rty service providers may experience service outages from time to time that could adversely impact payments made on our platform. Additionally, any unexpected termination or modification of those third-party services could lead to a lapse in the effectiven</w:t>
      </w:r>
      <w:r>
        <w:rPr>
          <w:rFonts w:ascii="Arial" w:eastAsia="宋体" w:hAnsi="Arial" w:cs="Arial"/>
          <w:color w:val="000000"/>
          <w:sz w:val="20"/>
          <w:szCs w:val="20"/>
        </w:rPr>
        <w:t>ess of certain fraud prevention and detection tools.</w:t>
      </w:r>
    </w:p>
    <w:p w14:paraId="64A8B6D7" w14:textId="77777777" w:rsidR="008D6614" w:rsidRDefault="008D6614"/>
    <w:p w14:paraId="64A8B6D8" w14:textId="77777777" w:rsidR="008D6614" w:rsidRDefault="00866AF2">
      <w:pPr>
        <w:ind w:firstLine="440"/>
        <w:jc w:val="both"/>
      </w:pPr>
      <w:r>
        <w:rPr>
          <w:rFonts w:ascii="Arial" w:eastAsia="宋体" w:hAnsi="Arial" w:cs="Arial"/>
          <w:color w:val="000000"/>
          <w:sz w:val="20"/>
          <w:szCs w:val="20"/>
        </w:rPr>
        <w:t xml:space="preserve">Our third-party service providers may increase the fees they charge us in the future, which would increase our operating expenses. This could, in turn, require us to increase the fees we charge to </w:t>
      </w:r>
      <w:r>
        <w:rPr>
          <w:rFonts w:ascii="Arial" w:eastAsia="宋体" w:hAnsi="Arial" w:cs="Arial"/>
          <w:color w:val="000000"/>
          <w:sz w:val="20"/>
          <w:szCs w:val="20"/>
        </w:rPr>
        <w:t>sellers and cause some sellers to reduce listings on our marketplaces or to leave our platform altogether by closing their accounts.</w:t>
      </w:r>
    </w:p>
    <w:p w14:paraId="64A8B6D9" w14:textId="77777777" w:rsidR="008D6614" w:rsidRDefault="008D6614"/>
    <w:p w14:paraId="64A8B6DA" w14:textId="77777777" w:rsidR="008D6614" w:rsidRDefault="00866AF2">
      <w:pPr>
        <w:ind w:firstLine="440"/>
        <w:jc w:val="both"/>
      </w:pPr>
      <w:r>
        <w:rPr>
          <w:rFonts w:ascii="Arial" w:eastAsia="宋体" w:hAnsi="Arial" w:cs="Arial"/>
          <w:color w:val="000000"/>
          <w:sz w:val="20"/>
          <w:szCs w:val="20"/>
        </w:rPr>
        <w:t>Payments are governed by complex and continuously evolving laws and regulations that are subject to change and vary across</w:t>
      </w:r>
      <w:r>
        <w:rPr>
          <w:rFonts w:ascii="Arial" w:eastAsia="宋体" w:hAnsi="Arial" w:cs="Arial"/>
          <w:color w:val="000000"/>
          <w:sz w:val="20"/>
          <w:szCs w:val="20"/>
        </w:rPr>
        <w:t xml:space="preserve"> different jurisdictions in the United States and globally. As a result, we are required to spend significant time and effort to determine whether various licensing and registration laws relating to payments apply to us and to comply with applicable laws a</w:t>
      </w:r>
      <w:r>
        <w:rPr>
          <w:rFonts w:ascii="Arial" w:eastAsia="宋体" w:hAnsi="Arial" w:cs="Arial"/>
          <w:color w:val="000000"/>
          <w:sz w:val="20"/>
          <w:szCs w:val="20"/>
        </w:rPr>
        <w:t>nd licensing and registration regulations. In addition, there can be no assurance that we will be able to obtain or retain any necessary licenses or registrations. Any failure or claim of failure on the part of the Company or its third-party service provid</w:t>
      </w:r>
      <w:r>
        <w:rPr>
          <w:rFonts w:ascii="Arial" w:eastAsia="宋体" w:hAnsi="Arial" w:cs="Arial"/>
          <w:color w:val="000000"/>
          <w:sz w:val="20"/>
          <w:szCs w:val="20"/>
        </w:rPr>
        <w:t>ers to comply with applicable laws and regulations relating to payments could require us to expend significant resources, result in liabilities, limit or preclude our ability to enter certain markets and harm our reputation. In addition, changes in payment</w:t>
      </w:r>
      <w:r>
        <w:rPr>
          <w:rFonts w:ascii="Arial" w:eastAsia="宋体" w:hAnsi="Arial" w:cs="Arial"/>
          <w:color w:val="000000"/>
          <w:sz w:val="20"/>
          <w:szCs w:val="20"/>
        </w:rPr>
        <w:t xml:space="preserve"> regulations, including changes to the credit or debit card interchange rates in the United States or other markets, could adversely affect payments on our platform and make our payments systems less profitable.</w:t>
      </w:r>
    </w:p>
    <w:p w14:paraId="64A8B6DB" w14:textId="77777777" w:rsidR="008D6614" w:rsidRDefault="008D6614"/>
    <w:p w14:paraId="64A8B6DC" w14:textId="77777777" w:rsidR="008D6614" w:rsidRDefault="00866AF2">
      <w:pPr>
        <w:ind w:firstLine="440"/>
        <w:jc w:val="both"/>
      </w:pPr>
      <w:r>
        <w:rPr>
          <w:rFonts w:ascii="Arial" w:eastAsia="宋体" w:hAnsi="Arial" w:cs="Arial"/>
          <w:color w:val="000000"/>
          <w:sz w:val="20"/>
          <w:szCs w:val="20"/>
        </w:rPr>
        <w:t>Further, we are indirectly subject to payme</w:t>
      </w:r>
      <w:r>
        <w:rPr>
          <w:rFonts w:ascii="Arial" w:eastAsia="宋体" w:hAnsi="Arial" w:cs="Arial"/>
          <w:color w:val="000000"/>
          <w:sz w:val="20"/>
          <w:szCs w:val="20"/>
        </w:rPr>
        <w:t>nt card association operating rules and certification requirements pursuant to agreements with our third-party payment processors. These rules and requirements, including the Payment Card Industry Data Security Standard and rules governing electronic funds</w:t>
      </w:r>
      <w:r>
        <w:rPr>
          <w:rFonts w:ascii="Arial" w:eastAsia="宋体" w:hAnsi="Arial" w:cs="Arial"/>
          <w:color w:val="000000"/>
          <w:sz w:val="20"/>
          <w:szCs w:val="20"/>
        </w:rPr>
        <w:t xml:space="preserve"> transfers, are subject to change or reinterpretation, making it difficult for us to comply. Any failure to comply with these rules and certification requirements could impact our ability to meet our contractual obligations to our third-party payment proce</w:t>
      </w:r>
      <w:r>
        <w:rPr>
          <w:rFonts w:ascii="Arial" w:eastAsia="宋体" w:hAnsi="Arial" w:cs="Arial"/>
          <w:color w:val="000000"/>
          <w:sz w:val="20"/>
          <w:szCs w:val="20"/>
        </w:rPr>
        <w:t>ssors and could result in potential fines. In addition, changes in these rules and requirements, including any change in our designation by major payment card providers, could require a change in our business operations and could result in limitations on o</w:t>
      </w:r>
      <w:r>
        <w:rPr>
          <w:rFonts w:ascii="Arial" w:eastAsia="宋体" w:hAnsi="Arial" w:cs="Arial"/>
          <w:color w:val="000000"/>
          <w:sz w:val="20"/>
          <w:szCs w:val="20"/>
        </w:rPr>
        <w:t>r loss of our ability to accept payment cards, any of which could negatively impact our business. Such changes could also increase our costs of compliance, which could lead to increased fees for us or our sellers and adversely affect payments on our platfo</w:t>
      </w:r>
      <w:r>
        <w:rPr>
          <w:rFonts w:ascii="Arial" w:eastAsia="宋体" w:hAnsi="Arial" w:cs="Arial"/>
          <w:color w:val="000000"/>
          <w:sz w:val="20"/>
          <w:szCs w:val="20"/>
        </w:rPr>
        <w:t>rm or usage of our payments services and marketplaces.</w:t>
      </w:r>
    </w:p>
    <w:p w14:paraId="64A8B6DD" w14:textId="77777777" w:rsidR="008D6614" w:rsidRDefault="008D6614">
      <w:pPr>
        <w:ind w:firstLine="450"/>
        <w:jc w:val="both"/>
      </w:pPr>
    </w:p>
    <w:p w14:paraId="64A8B6DE" w14:textId="77777777" w:rsidR="008D6614" w:rsidRDefault="008D6614">
      <w:pPr>
        <w:jc w:val="center"/>
      </w:pPr>
    </w:p>
    <w:p w14:paraId="64A8B6DF" w14:textId="77777777" w:rsidR="008D6614" w:rsidRDefault="00866AF2">
      <w:pPr>
        <w:jc w:val="center"/>
      </w:pPr>
      <w:r>
        <w:rPr>
          <w:rFonts w:ascii="Arial" w:eastAsia="宋体" w:hAnsi="Arial" w:cs="Arial"/>
          <w:color w:val="000000"/>
          <w:sz w:val="20"/>
          <w:szCs w:val="20"/>
        </w:rPr>
        <w:t>60</w:t>
      </w:r>
    </w:p>
    <w:p w14:paraId="64A8B6E0" w14:textId="77777777" w:rsidR="008D6614" w:rsidRDefault="00866AF2">
      <w:r>
        <w:pict w14:anchorId="64A8BA19">
          <v:rect id="_x0000_i1084" style="width:415.3pt;height:1.5pt" o:hralign="center" o:hrstd="t" o:hr="t" fillcolor="#a0a0a0" stroked="f"/>
        </w:pict>
      </w:r>
    </w:p>
    <w:p w14:paraId="64A8B6E1" w14:textId="77777777" w:rsidR="008D6614" w:rsidRDefault="008D6614"/>
    <w:p w14:paraId="64A8B6E2" w14:textId="77777777" w:rsidR="008D6614" w:rsidRDefault="00866AF2">
      <w:pPr>
        <w:ind w:firstLine="450"/>
        <w:jc w:val="both"/>
      </w:pPr>
      <w:r>
        <w:rPr>
          <w:rFonts w:ascii="Arial" w:eastAsia="宋体" w:hAnsi="Arial" w:cs="Arial"/>
          <w:i/>
          <w:iCs/>
          <w:color w:val="000000"/>
          <w:sz w:val="20"/>
          <w:szCs w:val="20"/>
        </w:rPr>
        <w:t>We may be unable to adequately protect or enforce our intellectual property rights and face ongoing risks from patent litigation and allegations by third parties that we are infringing their in</w:t>
      </w:r>
      <w:r>
        <w:rPr>
          <w:rFonts w:ascii="Arial" w:eastAsia="宋体" w:hAnsi="Arial" w:cs="Arial"/>
          <w:i/>
          <w:iCs/>
          <w:color w:val="000000"/>
          <w:sz w:val="20"/>
          <w:szCs w:val="20"/>
        </w:rPr>
        <w:t xml:space="preserve">tellectual property rights. </w:t>
      </w:r>
    </w:p>
    <w:p w14:paraId="64A8B6E3" w14:textId="77777777" w:rsidR="008D6614" w:rsidRDefault="008D6614">
      <w:pPr>
        <w:ind w:firstLine="450"/>
        <w:jc w:val="both"/>
      </w:pPr>
    </w:p>
    <w:p w14:paraId="64A8B6E4" w14:textId="77777777" w:rsidR="008D6614" w:rsidRDefault="00866AF2">
      <w:pPr>
        <w:ind w:firstLine="450"/>
        <w:jc w:val="both"/>
      </w:pPr>
      <w:r>
        <w:rPr>
          <w:rFonts w:ascii="Arial" w:eastAsia="宋体" w:hAnsi="Arial" w:cs="Arial"/>
          <w:color w:val="000000"/>
          <w:sz w:val="20"/>
          <w:szCs w:val="20"/>
        </w:rPr>
        <w:t>We believe the protection of our intellectual property, including our trademarks, patents, copyrights, domain names, trade dress, and trade secrets, is critical to our success. We seek to protect our intellectual property righ</w:t>
      </w:r>
      <w:r>
        <w:rPr>
          <w:rFonts w:ascii="Arial" w:eastAsia="宋体" w:hAnsi="Arial" w:cs="Arial"/>
          <w:color w:val="000000"/>
          <w:sz w:val="20"/>
          <w:szCs w:val="20"/>
        </w:rPr>
        <w:t>ts by relying on applicable laws and regulations in the United States and internationally, as well as a variety of administrative procedures. We also rely on contractual restrictions to protect our proprietary rights when offering or procuring products and</w:t>
      </w:r>
      <w:r>
        <w:rPr>
          <w:rFonts w:ascii="Arial" w:eastAsia="宋体" w:hAnsi="Arial" w:cs="Arial"/>
          <w:color w:val="000000"/>
          <w:sz w:val="20"/>
          <w:szCs w:val="20"/>
        </w:rPr>
        <w:t xml:space="preserve"> services, including confidentiality and invention assignment agreements entered into with our employees and contractors and confidentiality agreements with parties with whom we conduct business.</w:t>
      </w:r>
    </w:p>
    <w:p w14:paraId="64A8B6E5" w14:textId="77777777" w:rsidR="008D6614" w:rsidRDefault="008D6614">
      <w:pPr>
        <w:ind w:firstLine="450"/>
        <w:jc w:val="both"/>
      </w:pPr>
    </w:p>
    <w:p w14:paraId="64A8B6E6" w14:textId="77777777" w:rsidR="008D6614" w:rsidRDefault="00866AF2">
      <w:pPr>
        <w:ind w:firstLine="450"/>
        <w:jc w:val="both"/>
      </w:pPr>
      <w:r>
        <w:rPr>
          <w:rFonts w:ascii="Arial" w:eastAsia="宋体" w:hAnsi="Arial" w:cs="Arial"/>
          <w:color w:val="000000"/>
          <w:sz w:val="20"/>
          <w:szCs w:val="20"/>
        </w:rPr>
        <w:t>However, effective intellectual property protection may not</w:t>
      </w:r>
      <w:r>
        <w:rPr>
          <w:rFonts w:ascii="Arial" w:eastAsia="宋体" w:hAnsi="Arial" w:cs="Arial"/>
          <w:color w:val="000000"/>
          <w:sz w:val="20"/>
          <w:szCs w:val="20"/>
        </w:rPr>
        <w:t xml:space="preserve"> be available in every country in which our products and services are made available, and contractual arrangements and other steps we have taken to protect our intellectual property may not prevent third parties from infringing or misappropriating our inte</w:t>
      </w:r>
      <w:r>
        <w:rPr>
          <w:rFonts w:ascii="Arial" w:eastAsia="宋体" w:hAnsi="Arial" w:cs="Arial"/>
          <w:color w:val="000000"/>
          <w:sz w:val="20"/>
          <w:szCs w:val="20"/>
        </w:rPr>
        <w:t>llectual property or deter independent development of equivalent or superior intellectual property rights by others. Trademark, copyright, patent, domain name, trade dress and trade secret protection is very expensive to maintain and may require litigation</w:t>
      </w:r>
      <w:r>
        <w:rPr>
          <w:rFonts w:ascii="Arial" w:eastAsia="宋体" w:hAnsi="Arial" w:cs="Arial"/>
          <w:color w:val="000000"/>
          <w:sz w:val="20"/>
          <w:szCs w:val="20"/>
        </w:rPr>
        <w:t>. We must protect our intellectual property rights and other proprietary rights in an increasing number of jurisdictions, a process that is expensive and time consuming and may not be successful in every jurisdiction. Also, we may not be able to discover o</w:t>
      </w:r>
      <w:r>
        <w:rPr>
          <w:rFonts w:ascii="Arial" w:eastAsia="宋体" w:hAnsi="Arial" w:cs="Arial"/>
          <w:color w:val="000000"/>
          <w:sz w:val="20"/>
          <w:szCs w:val="20"/>
        </w:rPr>
        <w:t xml:space="preserve">r determine the extent of any unauthorized use of our proprietary rights. We have licensed in the past, and expect to license in the future, certain of our proprietary rights, such as trademarks or copyrighted material, to others. These licensees may take </w:t>
      </w:r>
      <w:r>
        <w:rPr>
          <w:rFonts w:ascii="Arial" w:eastAsia="宋体" w:hAnsi="Arial" w:cs="Arial"/>
          <w:color w:val="000000"/>
          <w:sz w:val="20"/>
          <w:szCs w:val="20"/>
        </w:rPr>
        <w:t>actions that diminish the value of our proprietary rights or harm our reputation. Any failure to adequately protect or enforce our intellectual property rights, or significant costs incurred in doing so, could materially harm our business.</w:t>
      </w:r>
    </w:p>
    <w:p w14:paraId="64A8B6E7" w14:textId="77777777" w:rsidR="008D6614" w:rsidRDefault="008D6614">
      <w:pPr>
        <w:ind w:firstLine="450"/>
        <w:jc w:val="both"/>
      </w:pPr>
    </w:p>
    <w:p w14:paraId="64A8B6E8" w14:textId="77777777" w:rsidR="008D6614" w:rsidRDefault="00866AF2">
      <w:pPr>
        <w:ind w:firstLine="450"/>
        <w:jc w:val="both"/>
      </w:pPr>
      <w:r>
        <w:rPr>
          <w:rFonts w:ascii="Arial" w:eastAsia="宋体" w:hAnsi="Arial" w:cs="Arial"/>
          <w:color w:val="000000"/>
          <w:sz w:val="20"/>
          <w:szCs w:val="20"/>
        </w:rPr>
        <w:t>Additionally, w</w:t>
      </w:r>
      <w:r>
        <w:rPr>
          <w:rFonts w:ascii="Arial" w:eastAsia="宋体" w:hAnsi="Arial" w:cs="Arial"/>
          <w:color w:val="000000"/>
          <w:sz w:val="20"/>
          <w:szCs w:val="20"/>
        </w:rPr>
        <w:t>e have repeatedly been sued for allegedly infringing other parties’ patents. We are a defendant in a number of patent suits and have been notified of several other potential patent disputes. We expect that we will increasingly be subject to patent infringe</w:t>
      </w:r>
      <w:r>
        <w:rPr>
          <w:rFonts w:ascii="Arial" w:eastAsia="宋体" w:hAnsi="Arial" w:cs="Arial"/>
          <w:color w:val="000000"/>
          <w:sz w:val="20"/>
          <w:szCs w:val="20"/>
        </w:rPr>
        <w:t>ment claims because, among other reasons:</w:t>
      </w:r>
    </w:p>
    <w:p w14:paraId="64A8B6E9" w14:textId="77777777" w:rsidR="008D6614" w:rsidRDefault="008D6614"/>
    <w:p w14:paraId="64A8B6EA" w14:textId="77777777" w:rsidR="008D6614" w:rsidRDefault="00866AF2">
      <w:pPr>
        <w:ind w:hanging="360"/>
      </w:pPr>
      <w:r>
        <w:rPr>
          <w:rFonts w:ascii="Arial" w:eastAsia="宋体" w:hAnsi="Arial" w:cs="Arial"/>
          <w:color w:val="000000"/>
          <w:sz w:val="20"/>
          <w:szCs w:val="20"/>
        </w:rPr>
        <w:t>•our products and services continue to expand in scope and complexity;</w:t>
      </w:r>
    </w:p>
    <w:p w14:paraId="64A8B6EB" w14:textId="77777777" w:rsidR="008D6614" w:rsidRDefault="00866AF2">
      <w:pPr>
        <w:ind w:hanging="360"/>
      </w:pPr>
      <w:r>
        <w:rPr>
          <w:rFonts w:ascii="Arial" w:eastAsia="宋体" w:hAnsi="Arial" w:cs="Arial"/>
          <w:color w:val="000000"/>
          <w:sz w:val="20"/>
          <w:szCs w:val="20"/>
        </w:rPr>
        <w:t>•we continue to expand into new businesses, including through acquisitions and licenses; and</w:t>
      </w:r>
    </w:p>
    <w:p w14:paraId="64A8B6EC" w14:textId="77777777" w:rsidR="008D6614" w:rsidRDefault="00866AF2">
      <w:pPr>
        <w:ind w:hanging="360"/>
        <w:jc w:val="both"/>
      </w:pPr>
      <w:r>
        <w:rPr>
          <w:rFonts w:ascii="Arial" w:eastAsia="宋体" w:hAnsi="Arial" w:cs="Arial"/>
          <w:color w:val="000000"/>
          <w:sz w:val="20"/>
          <w:szCs w:val="20"/>
        </w:rPr>
        <w:t>•the universe of patent owners who may claim that</w:t>
      </w:r>
      <w:r>
        <w:rPr>
          <w:rFonts w:ascii="Arial" w:eastAsia="宋体" w:hAnsi="Arial" w:cs="Arial"/>
          <w:color w:val="000000"/>
          <w:sz w:val="20"/>
          <w:szCs w:val="20"/>
        </w:rPr>
        <w:t xml:space="preserve"> we, any of the companies that we have acquired, or our customers infringe their patents, and the aggregate number of patents controlled by such patent owners, continues to increase.</w:t>
      </w:r>
    </w:p>
    <w:p w14:paraId="64A8B6ED" w14:textId="77777777" w:rsidR="008D6614" w:rsidRDefault="008D6614">
      <w:pPr>
        <w:ind w:firstLine="450"/>
        <w:jc w:val="both"/>
      </w:pPr>
    </w:p>
    <w:p w14:paraId="64A8B6EE" w14:textId="77777777" w:rsidR="008D6614" w:rsidRDefault="00866AF2">
      <w:pPr>
        <w:ind w:firstLine="450"/>
        <w:jc w:val="both"/>
      </w:pPr>
      <w:r>
        <w:rPr>
          <w:rFonts w:ascii="Arial" w:eastAsia="宋体" w:hAnsi="Arial" w:cs="Arial"/>
          <w:color w:val="000000"/>
          <w:sz w:val="20"/>
          <w:szCs w:val="20"/>
        </w:rPr>
        <w:t>As the number of patent owners and products in the software industry inc</w:t>
      </w:r>
      <w:r>
        <w:rPr>
          <w:rFonts w:ascii="Arial" w:eastAsia="宋体" w:hAnsi="Arial" w:cs="Arial"/>
          <w:color w:val="000000"/>
          <w:sz w:val="20"/>
          <w:szCs w:val="20"/>
        </w:rPr>
        <w:t>reases and the functionality of these products further overlap, and as we acquire technology through acquisitions or licenses, litigation may be necessary to determine the validity and scope of the intellectual property rights of others and we may become i</w:t>
      </w:r>
      <w:r>
        <w:rPr>
          <w:rFonts w:ascii="Arial" w:eastAsia="宋体" w:hAnsi="Arial" w:cs="Arial"/>
          <w:color w:val="000000"/>
          <w:sz w:val="20"/>
          <w:szCs w:val="20"/>
        </w:rPr>
        <w:t>ncreasingly subject to patent suits and other infringement claims, including copyright, and trademark infringement claims. Such claims may be brought directly against us and/or against our customers whom we may indemnify either because we are contractually</w:t>
      </w:r>
      <w:r>
        <w:rPr>
          <w:rFonts w:ascii="Arial" w:eastAsia="宋体" w:hAnsi="Arial" w:cs="Arial"/>
          <w:color w:val="000000"/>
          <w:sz w:val="20"/>
          <w:szCs w:val="20"/>
        </w:rPr>
        <w:t xml:space="preserve"> obligated to do so or we choose to do so as a business matter. We believe that an increasing number of these claims against us and other technology companies have been, and continue to be, initiated by third parties whose sole or primary business is to as</w:t>
      </w:r>
      <w:r>
        <w:rPr>
          <w:rFonts w:ascii="Arial" w:eastAsia="宋体" w:hAnsi="Arial" w:cs="Arial"/>
          <w:color w:val="000000"/>
          <w:sz w:val="20"/>
          <w:szCs w:val="20"/>
        </w:rPr>
        <w:t xml:space="preserve">sert such claims. In addition, we have seen significant patent disputes between operating companies in some technology industries. Patent claims, whether meritorious or not, are time-consuming and costly to defend and resolve, and could require us to make </w:t>
      </w:r>
      <w:r>
        <w:rPr>
          <w:rFonts w:ascii="Arial" w:eastAsia="宋体" w:hAnsi="Arial" w:cs="Arial"/>
          <w:color w:val="000000"/>
          <w:sz w:val="20"/>
          <w:szCs w:val="20"/>
        </w:rPr>
        <w:t>expensive changes in our methods of doing business, enter into costly royalty or licensing agreements, make substantial payments to satisfy adverse judgments or settle claims or proceedings, or cease conducting certain operations, which would harm our busi</w:t>
      </w:r>
      <w:r>
        <w:rPr>
          <w:rFonts w:ascii="Arial" w:eastAsia="宋体" w:hAnsi="Arial" w:cs="Arial"/>
          <w:color w:val="000000"/>
          <w:sz w:val="20"/>
          <w:szCs w:val="20"/>
        </w:rPr>
        <w:t>ness.</w:t>
      </w:r>
    </w:p>
    <w:p w14:paraId="64A8B6EF" w14:textId="77777777" w:rsidR="008D6614" w:rsidRDefault="008D6614">
      <w:pPr>
        <w:ind w:firstLine="450"/>
      </w:pPr>
    </w:p>
    <w:p w14:paraId="64A8B6F0" w14:textId="77777777" w:rsidR="008D6614" w:rsidRDefault="00866AF2">
      <w:pPr>
        <w:ind w:firstLine="360"/>
        <w:jc w:val="both"/>
      </w:pPr>
      <w:r>
        <w:rPr>
          <w:rFonts w:ascii="Arial" w:eastAsia="宋体" w:hAnsi="Arial" w:cs="Arial"/>
          <w:color w:val="000000"/>
          <w:sz w:val="20"/>
          <w:szCs w:val="20"/>
        </w:rPr>
        <w:t xml:space="preserve">The ultimate outcome of any allegation or litigation is uncertain and, regardless of the outcome, any of the claims described above, with or without merit, may be time-consuming, result in costly litigation, divert management’s time and </w:t>
      </w:r>
      <w:r>
        <w:rPr>
          <w:rFonts w:ascii="Arial" w:eastAsia="宋体" w:hAnsi="Arial" w:cs="Arial"/>
          <w:color w:val="000000"/>
          <w:sz w:val="20"/>
          <w:szCs w:val="20"/>
        </w:rPr>
        <w:t>attention from our business, require us to stop selling, delay roll-out, or redesign our products, or require us to pay substantial amounts to satisfy judgments or settle claims or lawsuits or to pay substantial royalty or licensing fees, or to satisfy ind</w:t>
      </w:r>
      <w:r>
        <w:rPr>
          <w:rFonts w:ascii="Arial" w:eastAsia="宋体" w:hAnsi="Arial" w:cs="Arial"/>
          <w:color w:val="000000"/>
          <w:sz w:val="20"/>
          <w:szCs w:val="20"/>
        </w:rPr>
        <w:t>emnification obligations that we have with some of our customers. Our failure to obtain necessary license or other rights, or litigation or claims arising out of intellectual property matters, may harm our business.</w:t>
      </w:r>
    </w:p>
    <w:p w14:paraId="64A8B6F1" w14:textId="77777777" w:rsidR="008D6614" w:rsidRDefault="008D6614">
      <w:pPr>
        <w:jc w:val="both"/>
      </w:pPr>
    </w:p>
    <w:p w14:paraId="64A8B6F2" w14:textId="77777777" w:rsidR="008D6614" w:rsidRDefault="008D6614">
      <w:pPr>
        <w:jc w:val="center"/>
      </w:pPr>
    </w:p>
    <w:p w14:paraId="64A8B6F3" w14:textId="77777777" w:rsidR="008D6614" w:rsidRDefault="00866AF2">
      <w:pPr>
        <w:jc w:val="center"/>
      </w:pPr>
      <w:r>
        <w:rPr>
          <w:rFonts w:ascii="Arial" w:eastAsia="宋体" w:hAnsi="Arial" w:cs="Arial"/>
          <w:color w:val="000000"/>
          <w:sz w:val="20"/>
          <w:szCs w:val="20"/>
        </w:rPr>
        <w:t>61</w:t>
      </w:r>
    </w:p>
    <w:p w14:paraId="64A8B6F4" w14:textId="77777777" w:rsidR="008D6614" w:rsidRDefault="00866AF2">
      <w:r>
        <w:pict w14:anchorId="64A8BA1A">
          <v:rect id="_x0000_i1085" style="width:415.3pt;height:1.5pt" o:hralign="center" o:hrstd="t" o:hr="t" fillcolor="#a0a0a0" stroked="f"/>
        </w:pict>
      </w:r>
    </w:p>
    <w:p w14:paraId="64A8B6F5" w14:textId="77777777" w:rsidR="008D6614" w:rsidRDefault="008D6614"/>
    <w:p w14:paraId="64A8B6F6" w14:textId="77777777" w:rsidR="008D6614" w:rsidRDefault="00866AF2">
      <w:pPr>
        <w:ind w:firstLine="450"/>
        <w:jc w:val="both"/>
      </w:pPr>
      <w:r>
        <w:rPr>
          <w:rFonts w:ascii="Arial" w:eastAsia="宋体" w:hAnsi="Arial" w:cs="Arial"/>
          <w:i/>
          <w:iCs/>
          <w:color w:val="000000"/>
          <w:sz w:val="20"/>
          <w:szCs w:val="20"/>
        </w:rPr>
        <w:t>Failure to deal effectively with</w:t>
      </w:r>
      <w:r>
        <w:rPr>
          <w:rFonts w:ascii="Arial" w:eastAsia="宋体" w:hAnsi="Arial" w:cs="Arial"/>
          <w:i/>
          <w:iCs/>
          <w:color w:val="000000"/>
          <w:sz w:val="20"/>
          <w:szCs w:val="20"/>
        </w:rPr>
        <w:t xml:space="preserve"> fraudulent activities on our platforms would increase our loss rate and harm our business, and could severely diminish merchant and consumer confidence in and use of our services.</w:t>
      </w:r>
    </w:p>
    <w:p w14:paraId="64A8B6F7" w14:textId="77777777" w:rsidR="008D6614" w:rsidRDefault="008D6614">
      <w:pPr>
        <w:ind w:firstLine="450"/>
        <w:jc w:val="both"/>
      </w:pPr>
    </w:p>
    <w:p w14:paraId="64A8B6F8" w14:textId="77777777" w:rsidR="008D6614" w:rsidRDefault="00866AF2">
      <w:pPr>
        <w:ind w:firstLine="450"/>
        <w:jc w:val="both"/>
      </w:pPr>
      <w:r>
        <w:rPr>
          <w:rFonts w:ascii="Arial" w:eastAsia="宋体" w:hAnsi="Arial" w:cs="Arial"/>
          <w:color w:val="000000"/>
          <w:sz w:val="20"/>
          <w:szCs w:val="20"/>
        </w:rPr>
        <w:t>We face risks with respect to fraudulent activities on our platforms and p</w:t>
      </w:r>
      <w:r>
        <w:rPr>
          <w:rFonts w:ascii="Arial" w:eastAsia="宋体" w:hAnsi="Arial" w:cs="Arial"/>
          <w:color w:val="000000"/>
          <w:sz w:val="20"/>
          <w:szCs w:val="20"/>
        </w:rPr>
        <w:t>eriodically receive complaints from buyers and sellers who may not have received the goods that they had contracted to purchase or payment for the goods that a buyer had contracted to purchase. In some European and Asian jurisdictions, buyers may also have</w:t>
      </w:r>
      <w:r>
        <w:rPr>
          <w:rFonts w:ascii="Arial" w:eastAsia="宋体" w:hAnsi="Arial" w:cs="Arial"/>
          <w:color w:val="000000"/>
          <w:sz w:val="20"/>
          <w:szCs w:val="20"/>
        </w:rPr>
        <w:t xml:space="preserve"> the right to withdraw from a sale made by a professional seller within a specified time period. While we can, in some cases, suspend the accounts of users who fail to fulfill their payment or delivery obligations to other users, we do not have the ability</w:t>
      </w:r>
      <w:r>
        <w:rPr>
          <w:rFonts w:ascii="Arial" w:eastAsia="宋体" w:hAnsi="Arial" w:cs="Arial"/>
          <w:color w:val="000000"/>
          <w:sz w:val="20"/>
          <w:szCs w:val="20"/>
        </w:rPr>
        <w:t xml:space="preserve"> to require users to make payment or deliver goods, or otherwise make users whole other than through our buyer protection program, which in the United States we refer to as the eBay Money Back Guarantee, or as we roll out our new payments capabilities, by </w:t>
      </w:r>
      <w:r>
        <w:rPr>
          <w:rFonts w:ascii="Arial" w:eastAsia="宋体" w:hAnsi="Arial" w:cs="Arial"/>
          <w:color w:val="000000"/>
          <w:sz w:val="20"/>
          <w:szCs w:val="20"/>
        </w:rPr>
        <w:t>compensating our sellers for fraudulent payments. Although we have implemented measures to detect and reduce the occurrence of fraudulent activities, combat bad buyer experiences and increase buyer satisfaction, including evaluating sellers on the basis of</w:t>
      </w:r>
      <w:r>
        <w:rPr>
          <w:rFonts w:ascii="Arial" w:eastAsia="宋体" w:hAnsi="Arial" w:cs="Arial"/>
          <w:color w:val="000000"/>
          <w:sz w:val="20"/>
          <w:szCs w:val="20"/>
        </w:rPr>
        <w:t xml:space="preserve"> their transaction history and restricting or suspending their activity, there can be no assurance that these measures will be effective in combating fraudulent transactions or improving overall satisfaction among sellers, buyers, and other participants. A</w:t>
      </w:r>
      <w:r>
        <w:rPr>
          <w:rFonts w:ascii="Arial" w:eastAsia="宋体" w:hAnsi="Arial" w:cs="Arial"/>
          <w:color w:val="000000"/>
          <w:sz w:val="20"/>
          <w:szCs w:val="20"/>
        </w:rPr>
        <w:t>dditional measures to address fraud could negatively affect the attractiveness of our services to buyers or sellers, resulting in a reduction in the ability to attract new users or retain current users, damage to our reputation, or a diminution in the valu</w:t>
      </w:r>
      <w:r>
        <w:rPr>
          <w:rFonts w:ascii="Arial" w:eastAsia="宋体" w:hAnsi="Arial" w:cs="Arial"/>
          <w:color w:val="000000"/>
          <w:sz w:val="20"/>
          <w:szCs w:val="20"/>
        </w:rPr>
        <w:t>e of our brand names.</w:t>
      </w:r>
    </w:p>
    <w:p w14:paraId="64A8B6F9" w14:textId="77777777" w:rsidR="008D6614" w:rsidRDefault="008D6614">
      <w:pPr>
        <w:ind w:firstLine="450"/>
        <w:jc w:val="both"/>
      </w:pPr>
    </w:p>
    <w:p w14:paraId="64A8B6FA" w14:textId="77777777" w:rsidR="008D6614" w:rsidRDefault="00866AF2">
      <w:pPr>
        <w:ind w:firstLine="450"/>
        <w:jc w:val="both"/>
      </w:pPr>
      <w:r>
        <w:rPr>
          <w:rFonts w:ascii="Arial" w:eastAsia="宋体" w:hAnsi="Arial" w:cs="Arial"/>
          <w:i/>
          <w:iCs/>
          <w:color w:val="000000"/>
          <w:sz w:val="20"/>
          <w:szCs w:val="20"/>
        </w:rPr>
        <w:t>We have substantial indebtedness, and we may incur substantial additional indebtedness in the future, and we may not generate sufficient cash flow from our business to service our indebtedness. Failure to comply with the terms of our</w:t>
      </w:r>
      <w:r>
        <w:rPr>
          <w:rFonts w:ascii="Arial" w:eastAsia="宋体" w:hAnsi="Arial" w:cs="Arial"/>
          <w:i/>
          <w:iCs/>
          <w:color w:val="000000"/>
          <w:sz w:val="20"/>
          <w:szCs w:val="20"/>
        </w:rPr>
        <w:t xml:space="preserve"> indebtedness could result in the acceleration of our indebtedness, which could have an adverse effect on our cash flow and liquidity.</w:t>
      </w:r>
    </w:p>
    <w:p w14:paraId="64A8B6FB" w14:textId="77777777" w:rsidR="008D6614" w:rsidRDefault="008D6614">
      <w:pPr>
        <w:ind w:firstLine="450"/>
        <w:jc w:val="both"/>
      </w:pPr>
    </w:p>
    <w:p w14:paraId="64A8B6FC" w14:textId="77777777" w:rsidR="008D6614" w:rsidRDefault="00866AF2">
      <w:pPr>
        <w:ind w:firstLine="450"/>
        <w:jc w:val="both"/>
      </w:pPr>
      <w:r>
        <w:rPr>
          <w:rFonts w:ascii="Arial" w:eastAsia="宋体" w:hAnsi="Arial" w:cs="Arial"/>
          <w:color w:val="000000"/>
          <w:sz w:val="20"/>
          <w:szCs w:val="20"/>
        </w:rPr>
        <w:t>We have a substantial amount of outstanding indebtedness and we may incur substantial additional indebtedness in the fut</w:t>
      </w:r>
      <w:r>
        <w:rPr>
          <w:rFonts w:ascii="Arial" w:eastAsia="宋体" w:hAnsi="Arial" w:cs="Arial"/>
          <w:color w:val="000000"/>
          <w:sz w:val="20"/>
          <w:szCs w:val="20"/>
        </w:rPr>
        <w:t>ure, including under our commercial paper program and revolving credit facility or through public or private offerings of debt securities. Our outstanding indebtedness and any additional indebtedness we incur may have significant consequences, including, w</w:t>
      </w:r>
      <w:r>
        <w:rPr>
          <w:rFonts w:ascii="Arial" w:eastAsia="宋体" w:hAnsi="Arial" w:cs="Arial"/>
          <w:color w:val="000000"/>
          <w:sz w:val="20"/>
          <w:szCs w:val="20"/>
        </w:rPr>
        <w:t>ithout limitation, any of the following:</w:t>
      </w:r>
    </w:p>
    <w:p w14:paraId="64A8B6FD" w14:textId="77777777" w:rsidR="008D6614" w:rsidRDefault="00866AF2">
      <w:pPr>
        <w:jc w:val="both"/>
      </w:pPr>
      <w:r>
        <w:rPr>
          <w:rFonts w:ascii="Arial" w:eastAsia="宋体" w:hAnsi="Arial" w:cs="Arial"/>
          <w:color w:val="000000"/>
          <w:sz w:val="20"/>
          <w:szCs w:val="20"/>
        </w:rPr>
        <w:t>        </w:t>
      </w:r>
    </w:p>
    <w:p w14:paraId="64A8B6FE" w14:textId="77777777" w:rsidR="008D6614" w:rsidRDefault="00866AF2">
      <w:pPr>
        <w:ind w:hanging="360"/>
        <w:jc w:val="both"/>
      </w:pPr>
      <w:r>
        <w:rPr>
          <w:rFonts w:ascii="Arial" w:eastAsia="宋体" w:hAnsi="Arial" w:cs="Arial"/>
          <w:color w:val="000000"/>
          <w:sz w:val="20"/>
          <w:szCs w:val="20"/>
        </w:rPr>
        <w:t xml:space="preserve">•requiring us to use a significant portion of our cash flow from operations and other available cash to service our indebtedness, thereby reducing the amount of cash available for other purposes, </w:t>
      </w:r>
      <w:r>
        <w:rPr>
          <w:rFonts w:ascii="Arial" w:eastAsia="宋体" w:hAnsi="Arial" w:cs="Arial"/>
          <w:color w:val="000000"/>
          <w:sz w:val="20"/>
          <w:szCs w:val="20"/>
        </w:rPr>
        <w:t>including capital expenditures, dividends, share repurchases, and acquisitions;</w:t>
      </w:r>
    </w:p>
    <w:p w14:paraId="64A8B6FF" w14:textId="77777777" w:rsidR="008D6614" w:rsidRDefault="00866AF2">
      <w:pPr>
        <w:ind w:hanging="360"/>
        <w:jc w:val="both"/>
      </w:pPr>
      <w:r>
        <w:rPr>
          <w:rFonts w:ascii="Arial" w:eastAsia="宋体" w:hAnsi="Arial" w:cs="Arial"/>
          <w:color w:val="000000"/>
          <w:sz w:val="20"/>
          <w:szCs w:val="20"/>
        </w:rPr>
        <w:t>•our indebtedness and leverage may increase our vulnerability to downturns in our business, to competitive pressures, and to adverse changes in general economic and industry co</w:t>
      </w:r>
      <w:r>
        <w:rPr>
          <w:rFonts w:ascii="Arial" w:eastAsia="宋体" w:hAnsi="Arial" w:cs="Arial"/>
          <w:color w:val="000000"/>
          <w:sz w:val="20"/>
          <w:szCs w:val="20"/>
        </w:rPr>
        <w:t>nditions;</w:t>
      </w:r>
    </w:p>
    <w:p w14:paraId="64A8B700" w14:textId="77777777" w:rsidR="008D6614" w:rsidRDefault="00866AF2">
      <w:pPr>
        <w:ind w:hanging="360"/>
        <w:jc w:val="both"/>
      </w:pPr>
      <w:r>
        <w:rPr>
          <w:rFonts w:ascii="Arial" w:eastAsia="宋体" w:hAnsi="Arial" w:cs="Arial"/>
          <w:color w:val="000000"/>
          <w:sz w:val="20"/>
          <w:szCs w:val="20"/>
        </w:rPr>
        <w:t>•adverse changes in the ratings assigned to our debt securities by credit rating agencies will likely increase our borrowing costs;</w:t>
      </w:r>
    </w:p>
    <w:p w14:paraId="64A8B701" w14:textId="77777777" w:rsidR="008D6614" w:rsidRDefault="00866AF2">
      <w:pPr>
        <w:ind w:hanging="360"/>
        <w:jc w:val="both"/>
      </w:pPr>
      <w:r>
        <w:rPr>
          <w:rFonts w:ascii="Arial" w:eastAsia="宋体" w:hAnsi="Arial" w:cs="Arial"/>
          <w:color w:val="000000"/>
          <w:sz w:val="20"/>
          <w:szCs w:val="20"/>
        </w:rPr>
        <w:t>•our ability to obtain additional financing for working capital, capital expenditures, acquisitions, share repurch</w:t>
      </w:r>
      <w:r>
        <w:rPr>
          <w:rFonts w:ascii="Arial" w:eastAsia="宋体" w:hAnsi="Arial" w:cs="Arial"/>
          <w:color w:val="000000"/>
          <w:sz w:val="20"/>
          <w:szCs w:val="20"/>
        </w:rPr>
        <w:t>ases, dividends or other general corporate and other purposes may be limited; and</w:t>
      </w:r>
    </w:p>
    <w:p w14:paraId="64A8B702" w14:textId="77777777" w:rsidR="008D6614" w:rsidRDefault="00866AF2">
      <w:pPr>
        <w:ind w:hanging="360"/>
        <w:jc w:val="both"/>
      </w:pPr>
      <w:r>
        <w:rPr>
          <w:rFonts w:ascii="Arial" w:eastAsia="宋体" w:hAnsi="Arial" w:cs="Arial"/>
          <w:color w:val="000000"/>
          <w:sz w:val="20"/>
          <w:szCs w:val="20"/>
        </w:rPr>
        <w:t>•our flexibility in planning for, or reacting to, changes in our business and our industry may be limited.</w:t>
      </w:r>
    </w:p>
    <w:p w14:paraId="64A8B703" w14:textId="77777777" w:rsidR="008D6614" w:rsidRDefault="008D6614">
      <w:pPr>
        <w:jc w:val="both"/>
      </w:pPr>
    </w:p>
    <w:p w14:paraId="64A8B704" w14:textId="77777777" w:rsidR="008D6614" w:rsidRDefault="00866AF2">
      <w:pPr>
        <w:ind w:firstLine="450"/>
        <w:jc w:val="both"/>
      </w:pPr>
      <w:r>
        <w:rPr>
          <w:rFonts w:ascii="Arial" w:eastAsia="宋体" w:hAnsi="Arial" w:cs="Arial"/>
          <w:color w:val="000000"/>
          <w:sz w:val="20"/>
          <w:szCs w:val="20"/>
        </w:rPr>
        <w:t>These risks increase as the level of our debt increases. Our abili</w:t>
      </w:r>
      <w:r>
        <w:rPr>
          <w:rFonts w:ascii="Arial" w:eastAsia="宋体" w:hAnsi="Arial" w:cs="Arial"/>
          <w:color w:val="000000"/>
          <w:sz w:val="20"/>
          <w:szCs w:val="20"/>
        </w:rPr>
        <w:t>ty to make payments of principal of and interest on our indebtedness depends upon our future performance, which will be subject to general economic conditions, industry cycles and financial, business and other factors affecting our results of operations an</w:t>
      </w:r>
      <w:r>
        <w:rPr>
          <w:rFonts w:ascii="Arial" w:eastAsia="宋体" w:hAnsi="Arial" w:cs="Arial"/>
          <w:color w:val="000000"/>
          <w:sz w:val="20"/>
          <w:szCs w:val="20"/>
        </w:rPr>
        <w:t>d financial condition, many of which are beyond our control. If we are unable to generate sufficient cash flow from operations in the future to service our debt, we may be required to, among other things:</w:t>
      </w:r>
    </w:p>
    <w:p w14:paraId="64A8B705" w14:textId="77777777" w:rsidR="008D6614" w:rsidRDefault="00866AF2">
      <w:pPr>
        <w:jc w:val="both"/>
      </w:pPr>
      <w:r>
        <w:rPr>
          <w:rFonts w:ascii="Arial" w:eastAsia="宋体" w:hAnsi="Arial" w:cs="Arial"/>
          <w:color w:val="000000"/>
          <w:sz w:val="20"/>
          <w:szCs w:val="20"/>
        </w:rPr>
        <w:t>        </w:t>
      </w:r>
    </w:p>
    <w:p w14:paraId="64A8B706" w14:textId="77777777" w:rsidR="008D6614" w:rsidRDefault="00866AF2">
      <w:pPr>
        <w:ind w:hanging="360"/>
        <w:jc w:val="both"/>
      </w:pPr>
      <w:r>
        <w:rPr>
          <w:rFonts w:ascii="Arial" w:eastAsia="宋体" w:hAnsi="Arial" w:cs="Arial"/>
          <w:color w:val="000000"/>
          <w:sz w:val="20"/>
          <w:szCs w:val="20"/>
        </w:rPr>
        <w:t xml:space="preserve">•incur the tax cost of repatriating funds </w:t>
      </w:r>
      <w:r>
        <w:rPr>
          <w:rFonts w:ascii="Arial" w:eastAsia="宋体" w:hAnsi="Arial" w:cs="Arial"/>
          <w:color w:val="000000"/>
          <w:sz w:val="20"/>
          <w:szCs w:val="20"/>
        </w:rPr>
        <w:t>to the United States;</w:t>
      </w:r>
    </w:p>
    <w:p w14:paraId="64A8B707" w14:textId="77777777" w:rsidR="008D6614" w:rsidRDefault="00866AF2">
      <w:pPr>
        <w:ind w:hanging="360"/>
        <w:jc w:val="both"/>
      </w:pPr>
      <w:r>
        <w:rPr>
          <w:rFonts w:ascii="Arial" w:eastAsia="宋体" w:hAnsi="Arial" w:cs="Arial"/>
          <w:color w:val="000000"/>
          <w:sz w:val="20"/>
          <w:szCs w:val="20"/>
        </w:rPr>
        <w:t>•seek additional financing in the debt or equity markets;</w:t>
      </w:r>
    </w:p>
    <w:p w14:paraId="64A8B708" w14:textId="77777777" w:rsidR="008D6614" w:rsidRDefault="00866AF2">
      <w:pPr>
        <w:ind w:hanging="360"/>
        <w:jc w:val="both"/>
      </w:pPr>
      <w:r>
        <w:rPr>
          <w:rFonts w:ascii="Arial" w:eastAsia="宋体" w:hAnsi="Arial" w:cs="Arial"/>
          <w:color w:val="000000"/>
          <w:sz w:val="20"/>
          <w:szCs w:val="20"/>
        </w:rPr>
        <w:t>•refinance or restructure all or a portion of our indebtedness;</w:t>
      </w:r>
    </w:p>
    <w:p w14:paraId="64A8B709" w14:textId="77777777" w:rsidR="008D6614" w:rsidRDefault="00866AF2">
      <w:pPr>
        <w:ind w:hanging="360"/>
        <w:jc w:val="both"/>
      </w:pPr>
      <w:r>
        <w:rPr>
          <w:rFonts w:ascii="Arial" w:eastAsia="宋体" w:hAnsi="Arial" w:cs="Arial"/>
          <w:color w:val="000000"/>
          <w:sz w:val="20"/>
          <w:szCs w:val="20"/>
        </w:rPr>
        <w:t>•sell selected assets; or</w:t>
      </w:r>
    </w:p>
    <w:p w14:paraId="64A8B70A" w14:textId="77777777" w:rsidR="008D6614" w:rsidRDefault="00866AF2">
      <w:pPr>
        <w:ind w:hanging="360"/>
        <w:jc w:val="both"/>
      </w:pPr>
      <w:r>
        <w:rPr>
          <w:rFonts w:ascii="Arial" w:eastAsia="宋体" w:hAnsi="Arial" w:cs="Arial"/>
          <w:color w:val="000000"/>
          <w:sz w:val="20"/>
          <w:szCs w:val="20"/>
        </w:rPr>
        <w:t>•reduce or delay planned capital or operating expenditures.</w:t>
      </w:r>
    </w:p>
    <w:p w14:paraId="64A8B70B" w14:textId="77777777" w:rsidR="008D6614" w:rsidRDefault="008D6614">
      <w:pPr>
        <w:jc w:val="both"/>
      </w:pPr>
    </w:p>
    <w:p w14:paraId="64A8B70C" w14:textId="77777777" w:rsidR="008D6614" w:rsidRDefault="00866AF2">
      <w:pPr>
        <w:ind w:firstLine="450"/>
        <w:jc w:val="both"/>
      </w:pPr>
      <w:r>
        <w:rPr>
          <w:rFonts w:ascii="Arial" w:eastAsia="宋体" w:hAnsi="Arial" w:cs="Arial"/>
          <w:color w:val="000000"/>
          <w:sz w:val="20"/>
          <w:szCs w:val="20"/>
        </w:rPr>
        <w:t xml:space="preserve">Such measures might </w:t>
      </w:r>
      <w:r>
        <w:rPr>
          <w:rFonts w:ascii="Arial" w:eastAsia="宋体" w:hAnsi="Arial" w:cs="Arial"/>
          <w:color w:val="000000"/>
          <w:sz w:val="20"/>
          <w:szCs w:val="20"/>
        </w:rPr>
        <w:t>not be sufficient to enable us to service our debt. In addition, any such financing, refinancing or sale of assets might not be available on economically favorable terms or at all.</w:t>
      </w:r>
    </w:p>
    <w:p w14:paraId="64A8B70D" w14:textId="77777777" w:rsidR="008D6614" w:rsidRDefault="008D6614">
      <w:pPr>
        <w:ind w:firstLine="450"/>
        <w:jc w:val="both"/>
      </w:pPr>
    </w:p>
    <w:p w14:paraId="64A8B70E" w14:textId="77777777" w:rsidR="008D6614" w:rsidRDefault="00866AF2">
      <w:pPr>
        <w:ind w:firstLine="450"/>
        <w:jc w:val="both"/>
      </w:pPr>
      <w:r>
        <w:rPr>
          <w:rFonts w:ascii="Arial" w:eastAsia="宋体" w:hAnsi="Arial" w:cs="Arial"/>
          <w:color w:val="000000"/>
          <w:sz w:val="20"/>
          <w:szCs w:val="20"/>
        </w:rPr>
        <w:t xml:space="preserve">Our revolving credit facility and the indenture pursuant to which certain </w:t>
      </w:r>
      <w:r>
        <w:rPr>
          <w:rFonts w:ascii="Arial" w:eastAsia="宋体" w:hAnsi="Arial" w:cs="Arial"/>
          <w:color w:val="000000"/>
          <w:sz w:val="20"/>
          <w:szCs w:val="20"/>
        </w:rPr>
        <w:t xml:space="preserve">of our outstanding debt securities were issued contain, and any debt instruments we enter into in the future may contain, financial and other covenants that </w:t>
      </w:r>
    </w:p>
    <w:p w14:paraId="64A8B70F" w14:textId="77777777" w:rsidR="008D6614" w:rsidRDefault="008D6614">
      <w:pPr>
        <w:jc w:val="center"/>
      </w:pPr>
    </w:p>
    <w:p w14:paraId="64A8B710" w14:textId="77777777" w:rsidR="008D6614" w:rsidRDefault="00866AF2">
      <w:pPr>
        <w:jc w:val="center"/>
      </w:pPr>
      <w:r>
        <w:rPr>
          <w:rFonts w:ascii="Arial" w:eastAsia="宋体" w:hAnsi="Arial" w:cs="Arial"/>
          <w:color w:val="000000"/>
          <w:sz w:val="20"/>
          <w:szCs w:val="20"/>
        </w:rPr>
        <w:t>62</w:t>
      </w:r>
    </w:p>
    <w:p w14:paraId="64A8B711" w14:textId="77777777" w:rsidR="008D6614" w:rsidRDefault="00866AF2">
      <w:r>
        <w:pict w14:anchorId="64A8BA1B">
          <v:rect id="_x0000_i1086" style="width:415.3pt;height:1.5pt" o:hralign="center" o:hrstd="t" o:hr="t" fillcolor="#a0a0a0" stroked="f"/>
        </w:pict>
      </w:r>
    </w:p>
    <w:p w14:paraId="64A8B712" w14:textId="77777777" w:rsidR="008D6614" w:rsidRDefault="008D6614"/>
    <w:p w14:paraId="64A8B713" w14:textId="77777777" w:rsidR="008D6614" w:rsidRDefault="00866AF2">
      <w:pPr>
        <w:jc w:val="both"/>
      </w:pPr>
      <w:r>
        <w:rPr>
          <w:rFonts w:ascii="Arial" w:eastAsia="宋体" w:hAnsi="Arial" w:cs="Arial"/>
          <w:color w:val="000000"/>
          <w:sz w:val="20"/>
          <w:szCs w:val="20"/>
        </w:rPr>
        <w:t xml:space="preserve">restrict or could restrict, among other things, our business and operations. If we fail to </w:t>
      </w:r>
      <w:r>
        <w:rPr>
          <w:rFonts w:ascii="Arial" w:eastAsia="宋体" w:hAnsi="Arial" w:cs="Arial"/>
          <w:color w:val="000000"/>
          <w:sz w:val="20"/>
          <w:szCs w:val="20"/>
        </w:rPr>
        <w:t>pay amounts due under, or breach any of the covenants in, a debt instrument, then the lenders would typically have the right to demand immediate repayment of all borrowings thereunder (subject in certain cases to grace or cure period). Moreover, any such a</w:t>
      </w:r>
      <w:r>
        <w:rPr>
          <w:rFonts w:ascii="Arial" w:eastAsia="宋体" w:hAnsi="Arial" w:cs="Arial"/>
          <w:color w:val="000000"/>
          <w:sz w:val="20"/>
          <w:szCs w:val="20"/>
        </w:rPr>
        <w:t>cceleration and required repayment of or default in respect of any of our indebtedness could, in turn, constitute an event of default under other debt instruments, thereby resulting in the acceleration and required repayment of that other indebtedness. Any</w:t>
      </w:r>
      <w:r>
        <w:rPr>
          <w:rFonts w:ascii="Arial" w:eastAsia="宋体" w:hAnsi="Arial" w:cs="Arial"/>
          <w:color w:val="000000"/>
          <w:sz w:val="20"/>
          <w:szCs w:val="20"/>
        </w:rPr>
        <w:t xml:space="preserve"> of these events could materially adversely affect our liquidity and financial condition.</w:t>
      </w:r>
    </w:p>
    <w:p w14:paraId="64A8B714" w14:textId="77777777" w:rsidR="008D6614" w:rsidRDefault="008D6614">
      <w:pPr>
        <w:ind w:firstLine="450"/>
        <w:jc w:val="both"/>
      </w:pPr>
    </w:p>
    <w:p w14:paraId="64A8B715" w14:textId="77777777" w:rsidR="008D6614" w:rsidRDefault="00866AF2">
      <w:pPr>
        <w:ind w:firstLine="450"/>
        <w:jc w:val="both"/>
      </w:pPr>
      <w:r>
        <w:rPr>
          <w:rFonts w:ascii="Arial" w:eastAsia="宋体" w:hAnsi="Arial" w:cs="Arial"/>
          <w:i/>
          <w:iCs/>
          <w:color w:val="000000"/>
          <w:sz w:val="20"/>
          <w:szCs w:val="20"/>
        </w:rPr>
        <w:t>A downgrade in our credit ratings could materially adversely affect our business.</w:t>
      </w:r>
    </w:p>
    <w:p w14:paraId="64A8B716" w14:textId="77777777" w:rsidR="008D6614" w:rsidRDefault="008D6614">
      <w:pPr>
        <w:ind w:firstLine="450"/>
        <w:jc w:val="both"/>
      </w:pPr>
    </w:p>
    <w:p w14:paraId="64A8B717" w14:textId="77777777" w:rsidR="008D6614" w:rsidRDefault="00866AF2">
      <w:pPr>
        <w:ind w:firstLine="450"/>
        <w:jc w:val="both"/>
      </w:pPr>
      <w:r>
        <w:rPr>
          <w:rFonts w:ascii="Arial" w:eastAsia="宋体" w:hAnsi="Arial" w:cs="Arial"/>
          <w:color w:val="000000"/>
          <w:sz w:val="20"/>
          <w:szCs w:val="20"/>
        </w:rPr>
        <w:t xml:space="preserve">The credit ratings assigned to our debt securities could change based upon, among </w:t>
      </w:r>
      <w:r>
        <w:rPr>
          <w:rFonts w:ascii="Arial" w:eastAsia="宋体" w:hAnsi="Arial" w:cs="Arial"/>
          <w:color w:val="000000"/>
          <w:sz w:val="20"/>
          <w:szCs w:val="20"/>
        </w:rPr>
        <w:t>other things, our results of operations, financial condition or dispositions and acquisitions. These ratings are subject to ongoing evaluation by credit rating agencies, and there can be no assurance that such ratings will not be lowered, suspended or with</w:t>
      </w:r>
      <w:r>
        <w:rPr>
          <w:rFonts w:ascii="Arial" w:eastAsia="宋体" w:hAnsi="Arial" w:cs="Arial"/>
          <w:color w:val="000000"/>
          <w:sz w:val="20"/>
          <w:szCs w:val="20"/>
        </w:rPr>
        <w:t>drawn entirely by a rating agency or placed on a so-called “watch list” for a possible downgrade or assigned a negative ratings outlook if, in any rating agency’s judgment, circumstances so warrant. Actual or anticipated changes or downgrades in our credit</w:t>
      </w:r>
      <w:r>
        <w:rPr>
          <w:rFonts w:ascii="Arial" w:eastAsia="宋体" w:hAnsi="Arial" w:cs="Arial"/>
          <w:color w:val="000000"/>
          <w:sz w:val="20"/>
          <w:szCs w:val="20"/>
        </w:rPr>
        <w:t xml:space="preserve"> ratings, including any announcement that our ratings are under review for a downgrade or have been assigned a negative outlook, would likely increase our borrowing costs, which could in turn have a material adverse effect on our financial condition, resul</w:t>
      </w:r>
      <w:r>
        <w:rPr>
          <w:rFonts w:ascii="Arial" w:eastAsia="宋体" w:hAnsi="Arial" w:cs="Arial"/>
          <w:color w:val="000000"/>
          <w:sz w:val="20"/>
          <w:szCs w:val="20"/>
        </w:rPr>
        <w:t xml:space="preserve">ts of operations, cash flows and could harm our business. </w:t>
      </w:r>
    </w:p>
    <w:p w14:paraId="64A8B718" w14:textId="77777777" w:rsidR="008D6614" w:rsidRDefault="008D6614">
      <w:pPr>
        <w:ind w:firstLine="540"/>
        <w:jc w:val="both"/>
      </w:pPr>
    </w:p>
    <w:p w14:paraId="64A8B719" w14:textId="77777777" w:rsidR="008D6614" w:rsidRDefault="00866AF2">
      <w:pPr>
        <w:spacing w:after="240"/>
        <w:ind w:firstLine="450"/>
        <w:jc w:val="both"/>
      </w:pPr>
      <w:r>
        <w:rPr>
          <w:rFonts w:ascii="Arial" w:eastAsia="宋体" w:hAnsi="Arial" w:cs="Arial"/>
          <w:i/>
          <w:iCs/>
          <w:color w:val="000000"/>
          <w:sz w:val="20"/>
          <w:szCs w:val="20"/>
        </w:rPr>
        <w:t>Our business may be subject to sales and other taxes.</w:t>
      </w:r>
    </w:p>
    <w:p w14:paraId="64A8B71A" w14:textId="77777777" w:rsidR="008D6614" w:rsidRDefault="00866AF2">
      <w:pPr>
        <w:ind w:firstLine="450"/>
        <w:jc w:val="both"/>
      </w:pPr>
      <w:r>
        <w:rPr>
          <w:rFonts w:ascii="Arial" w:eastAsia="宋体" w:hAnsi="Arial" w:cs="Arial"/>
          <w:color w:val="000000"/>
          <w:sz w:val="20"/>
          <w:szCs w:val="20"/>
        </w:rPr>
        <w:t xml:space="preserve">The application of indirect taxes such as sales and use tax, value-added tax (“VAT”), goods and services tax (including the “digital services </w:t>
      </w:r>
      <w:r>
        <w:rPr>
          <w:rFonts w:ascii="Arial" w:eastAsia="宋体" w:hAnsi="Arial" w:cs="Arial"/>
          <w:color w:val="000000"/>
          <w:sz w:val="20"/>
          <w:szCs w:val="20"/>
        </w:rPr>
        <w:t>tax”), business tax and gross receipt tax to ecommerce businesses is a complex and evolving issue. Many of the fundamental statutes and regulations that impose these taxes were established before the adoption and growth of the Internet and ecommerce. In ma</w:t>
      </w:r>
      <w:r>
        <w:rPr>
          <w:rFonts w:ascii="Arial" w:eastAsia="宋体" w:hAnsi="Arial" w:cs="Arial"/>
          <w:color w:val="000000"/>
          <w:sz w:val="20"/>
          <w:szCs w:val="20"/>
        </w:rPr>
        <w:t>ny cases, it is not clear how existing statutes apply to ecommerce services. In addition, many state and foreign governments are looking for ways to increase revenues, which has resulted in legislative action, including new taxes on services and gross reve</w:t>
      </w:r>
      <w:r>
        <w:rPr>
          <w:rFonts w:ascii="Arial" w:eastAsia="宋体" w:hAnsi="Arial" w:cs="Arial"/>
          <w:color w:val="000000"/>
          <w:sz w:val="20"/>
          <w:szCs w:val="20"/>
        </w:rPr>
        <w:t>nues and through other indirect taxes. There are many transactions that occur during the ordinary course of business for which the ultimate tax determination is uncertain.</w:t>
      </w:r>
    </w:p>
    <w:p w14:paraId="64A8B71B" w14:textId="77777777" w:rsidR="008D6614" w:rsidRDefault="008D6614">
      <w:pPr>
        <w:ind w:firstLine="630"/>
        <w:jc w:val="both"/>
      </w:pPr>
    </w:p>
    <w:p w14:paraId="64A8B71C" w14:textId="77777777" w:rsidR="008D6614" w:rsidRDefault="00866AF2">
      <w:pPr>
        <w:ind w:firstLine="450"/>
        <w:jc w:val="both"/>
      </w:pPr>
      <w:r>
        <w:rPr>
          <w:rFonts w:ascii="Arial" w:eastAsia="宋体" w:hAnsi="Arial" w:cs="Arial"/>
          <w:color w:val="000000"/>
          <w:sz w:val="20"/>
          <w:szCs w:val="20"/>
        </w:rPr>
        <w:t>From time to time, some taxing authorities in the United States have notified us th</w:t>
      </w:r>
      <w:r>
        <w:rPr>
          <w:rFonts w:ascii="Arial" w:eastAsia="宋体" w:hAnsi="Arial" w:cs="Arial"/>
          <w:color w:val="000000"/>
          <w:sz w:val="20"/>
          <w:szCs w:val="20"/>
        </w:rPr>
        <w:t>at they believe we owe them certain taxes imposed on our services. These notifications have not resulted in any significant tax liabilities to date, but there is a risk that some jurisdiction may be successful in the future, which would harm our business.</w:t>
      </w:r>
    </w:p>
    <w:p w14:paraId="64A8B71D" w14:textId="77777777" w:rsidR="008D6614" w:rsidRDefault="008D6614">
      <w:pPr>
        <w:ind w:firstLine="630"/>
        <w:jc w:val="both"/>
      </w:pPr>
    </w:p>
    <w:p w14:paraId="64A8B71E" w14:textId="77777777" w:rsidR="008D6614" w:rsidRDefault="00866AF2">
      <w:pPr>
        <w:ind w:firstLine="450"/>
        <w:jc w:val="both"/>
      </w:pPr>
      <w:r>
        <w:rPr>
          <w:rFonts w:ascii="Arial" w:eastAsia="宋体" w:hAnsi="Arial" w:cs="Arial"/>
          <w:color w:val="000000"/>
          <w:sz w:val="20"/>
          <w:szCs w:val="20"/>
        </w:rPr>
        <w:t>Similar issues exist outside of the United States, where the application of VAT or other indirect taxes on ecommerce providers is complex and evolving. While we attempt to comply in those jurisdictions where it is clear that a tax is due, some of our subs</w:t>
      </w:r>
      <w:r>
        <w:rPr>
          <w:rFonts w:ascii="Arial" w:eastAsia="宋体" w:hAnsi="Arial" w:cs="Arial"/>
          <w:color w:val="000000"/>
          <w:sz w:val="20"/>
          <w:szCs w:val="20"/>
        </w:rPr>
        <w:t>idiaries have, from time to time, received claims relating to the applicability of indirect taxes to our fees. Additionally, we pay input VAT on applicable taxable purchases within the various countries in which we operate. In most cases, we are entitled t</w:t>
      </w:r>
      <w:r>
        <w:rPr>
          <w:rFonts w:ascii="Arial" w:eastAsia="宋体" w:hAnsi="Arial" w:cs="Arial"/>
          <w:color w:val="000000"/>
          <w:sz w:val="20"/>
          <w:szCs w:val="20"/>
        </w:rPr>
        <w:t>o reclaim this input VAT from the various countries. However, because of our unique business model, the application of the laws and rules that allow such reclamation is sometimes uncertain. A successful assertion by one or more countries that we are not en</w:t>
      </w:r>
      <w:r>
        <w:rPr>
          <w:rFonts w:ascii="Arial" w:eastAsia="宋体" w:hAnsi="Arial" w:cs="Arial"/>
          <w:color w:val="000000"/>
          <w:sz w:val="20"/>
          <w:szCs w:val="20"/>
        </w:rPr>
        <w:t>titled to reclaim VAT could harm our business.</w:t>
      </w:r>
    </w:p>
    <w:p w14:paraId="64A8B71F" w14:textId="77777777" w:rsidR="008D6614" w:rsidRDefault="008D6614">
      <w:pPr>
        <w:ind w:firstLine="630"/>
        <w:jc w:val="both"/>
      </w:pPr>
    </w:p>
    <w:p w14:paraId="64A8B720" w14:textId="77777777" w:rsidR="008D6614" w:rsidRDefault="00866AF2">
      <w:pPr>
        <w:ind w:firstLine="450"/>
        <w:jc w:val="both"/>
      </w:pPr>
      <w:r>
        <w:rPr>
          <w:rFonts w:ascii="Arial" w:eastAsia="宋体" w:hAnsi="Arial" w:cs="Arial"/>
          <w:color w:val="000000"/>
          <w:sz w:val="20"/>
          <w:szCs w:val="20"/>
        </w:rPr>
        <w:t xml:space="preserve">In certain jurisdictions, we collect and remit indirect taxes on our fees and pay taxes on our purchases of goods and services. However, tax authorities may raise questions about our calculation, </w:t>
      </w:r>
      <w:r>
        <w:rPr>
          <w:rFonts w:ascii="Arial" w:eastAsia="宋体" w:hAnsi="Arial" w:cs="Arial"/>
          <w:color w:val="000000"/>
          <w:sz w:val="20"/>
          <w:szCs w:val="20"/>
        </w:rPr>
        <w:t>reporting and collection of these taxes and may ask us to remit additional taxes. Should any new taxes become applicable to our services or if the taxes we pay are found to be deficient, our business could be harmed.</w:t>
      </w:r>
    </w:p>
    <w:p w14:paraId="64A8B721" w14:textId="77777777" w:rsidR="008D6614" w:rsidRDefault="008D6614">
      <w:pPr>
        <w:jc w:val="center"/>
      </w:pPr>
    </w:p>
    <w:p w14:paraId="64A8B722" w14:textId="77777777" w:rsidR="008D6614" w:rsidRDefault="00866AF2">
      <w:pPr>
        <w:jc w:val="center"/>
      </w:pPr>
      <w:r>
        <w:rPr>
          <w:rFonts w:ascii="Arial" w:eastAsia="宋体" w:hAnsi="Arial" w:cs="Arial"/>
          <w:color w:val="000000"/>
          <w:sz w:val="20"/>
          <w:szCs w:val="20"/>
        </w:rPr>
        <w:t>63</w:t>
      </w:r>
    </w:p>
    <w:p w14:paraId="64A8B723" w14:textId="77777777" w:rsidR="008D6614" w:rsidRDefault="00866AF2">
      <w:r>
        <w:pict w14:anchorId="64A8BA1C">
          <v:rect id="_x0000_i1087" style="width:415.3pt;height:1.5pt" o:hralign="center" o:hrstd="t" o:hr="t" fillcolor="#a0a0a0" stroked="f"/>
        </w:pict>
      </w:r>
    </w:p>
    <w:p w14:paraId="64A8B724" w14:textId="77777777" w:rsidR="008D6614" w:rsidRDefault="008D6614"/>
    <w:p w14:paraId="64A8B725" w14:textId="77777777" w:rsidR="008D6614" w:rsidRDefault="008D6614">
      <w:pPr>
        <w:ind w:firstLine="450"/>
        <w:jc w:val="both"/>
      </w:pPr>
    </w:p>
    <w:p w14:paraId="64A8B726" w14:textId="77777777" w:rsidR="008D6614" w:rsidRDefault="00866AF2">
      <w:pPr>
        <w:ind w:firstLine="450"/>
        <w:jc w:val="both"/>
      </w:pPr>
      <w:r>
        <w:rPr>
          <w:rFonts w:ascii="Arial" w:eastAsia="宋体" w:hAnsi="Arial" w:cs="Arial"/>
          <w:i/>
          <w:iCs/>
          <w:color w:val="000000"/>
          <w:sz w:val="20"/>
          <w:szCs w:val="20"/>
        </w:rPr>
        <w:t>We may have exposure to greater</w:t>
      </w:r>
      <w:r>
        <w:rPr>
          <w:rFonts w:ascii="Arial" w:eastAsia="宋体" w:hAnsi="Arial" w:cs="Arial"/>
          <w:i/>
          <w:iCs/>
          <w:color w:val="000000"/>
          <w:sz w:val="20"/>
          <w:szCs w:val="20"/>
        </w:rPr>
        <w:t xml:space="preserve"> than anticipated tax liabilities.</w:t>
      </w:r>
    </w:p>
    <w:p w14:paraId="64A8B727" w14:textId="77777777" w:rsidR="008D6614" w:rsidRDefault="008D6614">
      <w:pPr>
        <w:ind w:firstLine="450"/>
        <w:jc w:val="both"/>
      </w:pPr>
    </w:p>
    <w:p w14:paraId="64A8B728" w14:textId="77777777" w:rsidR="008D6614" w:rsidRDefault="00866AF2">
      <w:pPr>
        <w:ind w:firstLine="450"/>
        <w:jc w:val="both"/>
      </w:pPr>
      <w:r>
        <w:rPr>
          <w:rFonts w:ascii="Arial" w:eastAsia="宋体" w:hAnsi="Arial" w:cs="Arial"/>
          <w:color w:val="000000"/>
          <w:sz w:val="20"/>
          <w:szCs w:val="20"/>
        </w:rPr>
        <w:t xml:space="preserve">The determination of our worldwide provision for income taxes and other tax liabilities requires estimation and significant judgment, and there are many transactions and calculations where the ultimate tax determination </w:t>
      </w:r>
      <w:r>
        <w:rPr>
          <w:rFonts w:ascii="Arial" w:eastAsia="宋体" w:hAnsi="Arial" w:cs="Arial"/>
          <w:color w:val="000000"/>
          <w:sz w:val="20"/>
          <w:szCs w:val="20"/>
        </w:rPr>
        <w:t>is uncertain. Like many other multinational corporations, we are subject to tax in multiple U.S. and foreign jurisdictions and have structured our operations to reduce our effective tax rate. Our determination of our tax liability is always subject to audi</w:t>
      </w:r>
      <w:r>
        <w:rPr>
          <w:rFonts w:ascii="Arial" w:eastAsia="宋体" w:hAnsi="Arial" w:cs="Arial"/>
          <w:color w:val="000000"/>
          <w:sz w:val="20"/>
          <w:szCs w:val="20"/>
        </w:rPr>
        <w:t>t and review by applicable domestic and foreign tax authorities, and we are currently undergoing a number of investigations, audits and reviews by taxing authorities throughout the world, including with respect to our business structure. Any adverse outcom</w:t>
      </w:r>
      <w:r>
        <w:rPr>
          <w:rFonts w:ascii="Arial" w:eastAsia="宋体" w:hAnsi="Arial" w:cs="Arial"/>
          <w:color w:val="000000"/>
          <w:sz w:val="20"/>
          <w:szCs w:val="20"/>
        </w:rPr>
        <w:t>e of any such audit or review could harm our business, and the ultimate tax outcome may differ from the amounts recorded in our financial statements and may materially affect our financial results in the period or periods for which such determination is ma</w:t>
      </w:r>
      <w:r>
        <w:rPr>
          <w:rFonts w:ascii="Arial" w:eastAsia="宋体" w:hAnsi="Arial" w:cs="Arial"/>
          <w:color w:val="000000"/>
          <w:sz w:val="20"/>
          <w:szCs w:val="20"/>
        </w:rPr>
        <w:t>de. While we have established reserves based on assumptions and estimates that we believe are reasonable to cover such eventualities, these reserves may prove to be insufficient.</w:t>
      </w:r>
    </w:p>
    <w:p w14:paraId="64A8B729" w14:textId="77777777" w:rsidR="008D6614" w:rsidRDefault="008D6614">
      <w:pPr>
        <w:ind w:firstLine="450"/>
        <w:jc w:val="both"/>
      </w:pPr>
    </w:p>
    <w:p w14:paraId="64A8B72A" w14:textId="77777777" w:rsidR="008D6614" w:rsidRDefault="00866AF2">
      <w:pPr>
        <w:ind w:firstLine="450"/>
        <w:jc w:val="both"/>
      </w:pPr>
      <w:r>
        <w:rPr>
          <w:rFonts w:ascii="Arial" w:eastAsia="宋体" w:hAnsi="Arial" w:cs="Arial"/>
          <w:color w:val="000000"/>
          <w:sz w:val="20"/>
          <w:szCs w:val="20"/>
        </w:rPr>
        <w:t xml:space="preserve">In addition, our future income taxes could be adversely affected by a shift </w:t>
      </w:r>
      <w:r>
        <w:rPr>
          <w:rFonts w:ascii="Arial" w:eastAsia="宋体" w:hAnsi="Arial" w:cs="Arial"/>
          <w:color w:val="000000"/>
          <w:sz w:val="20"/>
          <w:szCs w:val="20"/>
        </w:rPr>
        <w:t>in our jurisdictional earning mix, by changes in the valuation of our deferred tax assets and liabilities, as a result of gains on our foreign exchange risk management program, or changes in tax laws, regulations, or accounting principles, as well as certa</w:t>
      </w:r>
      <w:r>
        <w:rPr>
          <w:rFonts w:ascii="Arial" w:eastAsia="宋体" w:hAnsi="Arial" w:cs="Arial"/>
          <w:color w:val="000000"/>
          <w:sz w:val="20"/>
          <w:szCs w:val="20"/>
        </w:rPr>
        <w:t xml:space="preserve">in discrete items. </w:t>
      </w:r>
    </w:p>
    <w:p w14:paraId="64A8B72B" w14:textId="77777777" w:rsidR="008D6614" w:rsidRDefault="008D6614">
      <w:pPr>
        <w:ind w:firstLine="450"/>
        <w:jc w:val="both"/>
      </w:pPr>
    </w:p>
    <w:p w14:paraId="64A8B72C" w14:textId="77777777" w:rsidR="008D6614" w:rsidRDefault="00866AF2">
      <w:pPr>
        <w:ind w:firstLine="450"/>
        <w:jc w:val="both"/>
      </w:pPr>
      <w:r>
        <w:rPr>
          <w:rFonts w:ascii="Arial" w:eastAsia="宋体" w:hAnsi="Arial" w:cs="Arial"/>
          <w:color w:val="000000"/>
          <w:sz w:val="20"/>
          <w:szCs w:val="20"/>
        </w:rPr>
        <w:t>In light of continuing fiscal challenges in certain U.S. states and in many countries in Europe, various levels of government are increasingly focused on tax reform and other legislative action to increase tax revenue, including corpor</w:t>
      </w:r>
      <w:r>
        <w:rPr>
          <w:rFonts w:ascii="Arial" w:eastAsia="宋体" w:hAnsi="Arial" w:cs="Arial"/>
          <w:color w:val="000000"/>
          <w:sz w:val="20"/>
          <w:szCs w:val="20"/>
        </w:rPr>
        <w:t>ate income taxes. A number of U.S. states have attempted to increase corporate tax revenues by taking an expansive view of corporate presence to attempt to impose corporate income taxes and other direct business taxes on companies that have no physical pre</w:t>
      </w:r>
      <w:r>
        <w:rPr>
          <w:rFonts w:ascii="Arial" w:eastAsia="宋体" w:hAnsi="Arial" w:cs="Arial"/>
          <w:color w:val="000000"/>
          <w:sz w:val="20"/>
          <w:szCs w:val="20"/>
        </w:rPr>
        <w:t>sence in their state, and taxing authorities in foreign jurisdictions may take similar actions. Many U.S. states are also altering their apportionment formulas to increase the amount of taxable income or loss attributable to their state from certain out-of</w:t>
      </w:r>
      <w:r>
        <w:rPr>
          <w:rFonts w:ascii="Arial" w:eastAsia="宋体" w:hAnsi="Arial" w:cs="Arial"/>
          <w:color w:val="000000"/>
          <w:sz w:val="20"/>
          <w:szCs w:val="20"/>
        </w:rPr>
        <w:t>-state businesses. Similarly, in Europe, and elsewhere in the world, there are various tax reform efforts underway designed to ensure that corporate entities are taxed on a larger percentage of their earnings. Companies that operate over the Internet, such</w:t>
      </w:r>
      <w:r>
        <w:rPr>
          <w:rFonts w:ascii="Arial" w:eastAsia="宋体" w:hAnsi="Arial" w:cs="Arial"/>
          <w:color w:val="000000"/>
          <w:sz w:val="20"/>
          <w:szCs w:val="20"/>
        </w:rPr>
        <w:t xml:space="preserve"> as eBay, are a target of some of these efforts. If more taxing authorities are successful in applying direct taxes to Internet companies that do not have a physical presence in their respective jurisdictions, this could increase our effective tax rate.</w:t>
      </w:r>
    </w:p>
    <w:p w14:paraId="64A8B72D" w14:textId="77777777" w:rsidR="008D6614" w:rsidRDefault="008D6614">
      <w:pPr>
        <w:jc w:val="both"/>
      </w:pPr>
    </w:p>
    <w:p w14:paraId="64A8B72E" w14:textId="77777777" w:rsidR="008D6614" w:rsidRDefault="00866AF2">
      <w:pPr>
        <w:ind w:firstLine="450"/>
        <w:jc w:val="both"/>
      </w:pPr>
      <w:r>
        <w:rPr>
          <w:rFonts w:ascii="Arial" w:eastAsia="宋体" w:hAnsi="Arial" w:cs="Arial"/>
          <w:i/>
          <w:iCs/>
          <w:color w:val="000000"/>
          <w:sz w:val="20"/>
          <w:szCs w:val="20"/>
        </w:rPr>
        <w:t>O</w:t>
      </w:r>
      <w:r>
        <w:rPr>
          <w:rFonts w:ascii="Arial" w:eastAsia="宋体" w:hAnsi="Arial" w:cs="Arial"/>
          <w:i/>
          <w:iCs/>
          <w:color w:val="000000"/>
          <w:sz w:val="20"/>
          <w:szCs w:val="20"/>
        </w:rPr>
        <w:t>ur business and its users are subject to Internet sales tax and sales reporting and record-keeping obligations.</w:t>
      </w:r>
    </w:p>
    <w:p w14:paraId="64A8B72F" w14:textId="77777777" w:rsidR="008D6614" w:rsidRDefault="008D6614">
      <w:pPr>
        <w:jc w:val="both"/>
      </w:pPr>
    </w:p>
    <w:p w14:paraId="64A8B730" w14:textId="77777777" w:rsidR="008D6614" w:rsidRDefault="00866AF2">
      <w:pPr>
        <w:ind w:firstLine="450"/>
        <w:jc w:val="both"/>
      </w:pPr>
      <w:r>
        <w:rPr>
          <w:rFonts w:ascii="Arial" w:eastAsia="宋体" w:hAnsi="Arial" w:cs="Arial"/>
          <w:color w:val="000000"/>
          <w:sz w:val="20"/>
          <w:szCs w:val="20"/>
        </w:rPr>
        <w:t>The application of sales tax and other indirect taxes on cross border sales by remote sellers is continuing to change and evolve. On June 21, 2</w:t>
      </w:r>
      <w:r>
        <w:rPr>
          <w:rFonts w:ascii="Arial" w:eastAsia="宋体" w:hAnsi="Arial" w:cs="Arial"/>
          <w:color w:val="000000"/>
          <w:sz w:val="20"/>
          <w:szCs w:val="20"/>
        </w:rPr>
        <w:t xml:space="preserve">018, the U.S. Supreme Court decided </w:t>
      </w:r>
      <w:r>
        <w:rPr>
          <w:rFonts w:ascii="Arial" w:eastAsia="宋体" w:hAnsi="Arial" w:cs="Arial"/>
          <w:i/>
          <w:iCs/>
          <w:color w:val="000000"/>
          <w:sz w:val="20"/>
          <w:szCs w:val="20"/>
        </w:rPr>
        <w:t>South Dakota v. Wayfair, Inc. et al</w:t>
      </w:r>
      <w:r>
        <w:rPr>
          <w:rFonts w:ascii="Arial" w:eastAsia="宋体" w:hAnsi="Arial" w:cs="Arial"/>
          <w:color w:val="000000"/>
          <w:sz w:val="20"/>
          <w:szCs w:val="20"/>
        </w:rPr>
        <w:t xml:space="preserve">, a case challenging the current law under which online retailers are not required to collect sales and use tax unless they have a physical presence in the buyer’s state. This decision </w:t>
      </w:r>
      <w:r>
        <w:rPr>
          <w:rFonts w:ascii="Arial" w:eastAsia="宋体" w:hAnsi="Arial" w:cs="Arial"/>
          <w:color w:val="000000"/>
          <w:sz w:val="20"/>
          <w:szCs w:val="20"/>
        </w:rPr>
        <w:t>allows states to adopt new or enforce existing laws requiring sellers to collect and remit sales and use tax, even in states in which the seller has no presence. The adoption or enforcement of any such legislation could result in a sales and use tax collec</w:t>
      </w:r>
      <w:r>
        <w:rPr>
          <w:rFonts w:ascii="Arial" w:eastAsia="宋体" w:hAnsi="Arial" w:cs="Arial"/>
          <w:color w:val="000000"/>
          <w:sz w:val="20"/>
          <w:szCs w:val="20"/>
        </w:rPr>
        <w:t>tion responsibility for certain of our sellers. This collection responsibility and the additional costs associated with complex sales and use tax collection, remittance and audit requirements could create additional burdens for buyers and sellers on our we</w:t>
      </w:r>
      <w:r>
        <w:rPr>
          <w:rFonts w:ascii="Arial" w:eastAsia="宋体" w:hAnsi="Arial" w:cs="Arial"/>
          <w:color w:val="000000"/>
          <w:sz w:val="20"/>
          <w:szCs w:val="20"/>
        </w:rPr>
        <w:t>bsites and mobile platforms and could harm our business. Moreover, the application of such taxes on our commerce platforms could cause a marketplace to be less attractive to current and prospective buyers, which could adversely impact our business, financi</w:t>
      </w:r>
      <w:r>
        <w:rPr>
          <w:rFonts w:ascii="Arial" w:eastAsia="宋体" w:hAnsi="Arial" w:cs="Arial"/>
          <w:color w:val="000000"/>
          <w:sz w:val="20"/>
          <w:szCs w:val="20"/>
        </w:rPr>
        <w:t>al performance, and growth. The majority of U.S. states have enacted laws or have pending legislation that require marketplace facilitators to collect and remit sales tax for some or all sellers using these marketplaces.</w:t>
      </w:r>
    </w:p>
    <w:p w14:paraId="64A8B731" w14:textId="77777777" w:rsidR="008D6614" w:rsidRDefault="008D6614">
      <w:pPr>
        <w:ind w:firstLine="450"/>
        <w:jc w:val="both"/>
      </w:pPr>
    </w:p>
    <w:p w14:paraId="64A8B732" w14:textId="77777777" w:rsidR="008D6614" w:rsidRDefault="00866AF2">
      <w:pPr>
        <w:ind w:firstLine="450"/>
        <w:jc w:val="both"/>
      </w:pPr>
      <w:r>
        <w:rPr>
          <w:rFonts w:ascii="Arial" w:eastAsia="宋体" w:hAnsi="Arial" w:cs="Arial"/>
          <w:color w:val="000000"/>
          <w:sz w:val="20"/>
          <w:szCs w:val="20"/>
        </w:rPr>
        <w:t>Similar laws imposing tax collecti</w:t>
      </w:r>
      <w:r>
        <w:rPr>
          <w:rFonts w:ascii="Arial" w:eastAsia="宋体" w:hAnsi="Arial" w:cs="Arial"/>
          <w:color w:val="000000"/>
          <w:sz w:val="20"/>
          <w:szCs w:val="20"/>
        </w:rPr>
        <w:t>on responsibility on foreign sellers are being considered in other countries as well. We are now jointly liable for U.K. VAT and German VAT for certain sellers who fail to fulfill their VAT obligations unless we suspend their eBay activity until the seller</w:t>
      </w:r>
      <w:r>
        <w:rPr>
          <w:rFonts w:ascii="Arial" w:eastAsia="宋体" w:hAnsi="Arial" w:cs="Arial"/>
          <w:color w:val="000000"/>
          <w:sz w:val="20"/>
          <w:szCs w:val="20"/>
        </w:rPr>
        <w:t xml:space="preserve"> resolves the matter with the corresponding VAT authority. Other jurisdictions are considering similar legislation.</w:t>
      </w:r>
    </w:p>
    <w:p w14:paraId="64A8B733" w14:textId="77777777" w:rsidR="008D6614" w:rsidRDefault="008D6614">
      <w:pPr>
        <w:ind w:firstLine="450"/>
        <w:jc w:val="both"/>
      </w:pPr>
    </w:p>
    <w:p w14:paraId="64A8B734" w14:textId="77777777" w:rsidR="008D6614" w:rsidRDefault="00866AF2">
      <w:pPr>
        <w:ind w:firstLine="450"/>
        <w:jc w:val="both"/>
      </w:pPr>
      <w:r>
        <w:rPr>
          <w:rFonts w:ascii="Arial" w:eastAsia="宋体" w:hAnsi="Arial" w:cs="Arial"/>
          <w:color w:val="000000"/>
          <w:sz w:val="20"/>
          <w:szCs w:val="20"/>
        </w:rPr>
        <w:t>Multiple jurisdictions have enacted laws which require marketplaces to report user activity or collect and remit taxes on certain items sol</w:t>
      </w:r>
      <w:r>
        <w:rPr>
          <w:rFonts w:ascii="Arial" w:eastAsia="宋体" w:hAnsi="Arial" w:cs="Arial"/>
          <w:color w:val="000000"/>
          <w:sz w:val="20"/>
          <w:szCs w:val="20"/>
        </w:rPr>
        <w:t xml:space="preserve">d on the marketplace. For example, we are collecting Australian GST on certain imports into Australia and remitting the GST to the Australian Tax Office. The European Union has also adopted a VAT reform package which starting in 2021 requires marketplaces </w:t>
      </w:r>
      <w:r>
        <w:rPr>
          <w:rFonts w:ascii="Arial" w:eastAsia="宋体" w:hAnsi="Arial" w:cs="Arial"/>
          <w:color w:val="000000"/>
          <w:sz w:val="20"/>
          <w:szCs w:val="20"/>
        </w:rPr>
        <w:t>such as eBay to collect and remit VAT on most imports from outside the European Union.</w:t>
      </w:r>
    </w:p>
    <w:p w14:paraId="64A8B735" w14:textId="77777777" w:rsidR="008D6614" w:rsidRDefault="008D6614">
      <w:pPr>
        <w:jc w:val="center"/>
      </w:pPr>
    </w:p>
    <w:p w14:paraId="64A8B736" w14:textId="77777777" w:rsidR="008D6614" w:rsidRDefault="00866AF2">
      <w:pPr>
        <w:jc w:val="center"/>
      </w:pPr>
      <w:r>
        <w:rPr>
          <w:rFonts w:ascii="Arial" w:eastAsia="宋体" w:hAnsi="Arial" w:cs="Arial"/>
          <w:color w:val="000000"/>
          <w:sz w:val="20"/>
          <w:szCs w:val="20"/>
        </w:rPr>
        <w:t>64</w:t>
      </w:r>
    </w:p>
    <w:p w14:paraId="64A8B737" w14:textId="77777777" w:rsidR="008D6614" w:rsidRDefault="00866AF2">
      <w:r>
        <w:pict w14:anchorId="64A8BA1D">
          <v:rect id="_x0000_i1088" style="width:415.3pt;height:1.5pt" o:hralign="center" o:hrstd="t" o:hr="t" fillcolor="#a0a0a0" stroked="f"/>
        </w:pict>
      </w:r>
    </w:p>
    <w:p w14:paraId="64A8B738" w14:textId="77777777" w:rsidR="008D6614" w:rsidRDefault="008D6614"/>
    <w:p w14:paraId="64A8B739" w14:textId="77777777" w:rsidR="008D6614" w:rsidRDefault="008D6614">
      <w:pPr>
        <w:ind w:firstLine="450"/>
        <w:jc w:val="both"/>
      </w:pPr>
    </w:p>
    <w:p w14:paraId="64A8B73A" w14:textId="77777777" w:rsidR="008D6614" w:rsidRDefault="00866AF2">
      <w:pPr>
        <w:ind w:firstLine="450"/>
        <w:jc w:val="both"/>
      </w:pPr>
      <w:r>
        <w:rPr>
          <w:rFonts w:ascii="Arial" w:eastAsia="宋体" w:hAnsi="Arial" w:cs="Arial"/>
          <w:color w:val="000000"/>
          <w:sz w:val="20"/>
          <w:szCs w:val="20"/>
        </w:rPr>
        <w:t xml:space="preserve">One or more states, the U.S. federal government or foreign countries may seek to impose reporting or record-keeping obligations on companies that engage in or </w:t>
      </w:r>
      <w:r>
        <w:rPr>
          <w:rFonts w:ascii="Arial" w:eastAsia="宋体" w:hAnsi="Arial" w:cs="Arial"/>
          <w:color w:val="000000"/>
          <w:sz w:val="20"/>
          <w:szCs w:val="20"/>
        </w:rPr>
        <w:t>facilitate ecommerce. Such an obligation could be imposed by legislation intended to improve tax compliance or if one of our companies was ever deemed to be the legal agent of the users of our services by a jurisdiction in which it operates. Certain of our</w:t>
      </w:r>
      <w:r>
        <w:rPr>
          <w:rFonts w:ascii="Arial" w:eastAsia="宋体" w:hAnsi="Arial" w:cs="Arial"/>
          <w:color w:val="000000"/>
          <w:sz w:val="20"/>
          <w:szCs w:val="20"/>
        </w:rPr>
        <w:t xml:space="preserve"> companies are required to report to the Internal Revenue Service (the “IRS”) and most states on customers subject to U.S. income tax if they reach certain payment thresholds. As a result, we are required to request tax identification numbers from certain </w:t>
      </w:r>
      <w:r>
        <w:rPr>
          <w:rFonts w:ascii="Arial" w:eastAsia="宋体" w:hAnsi="Arial" w:cs="Arial"/>
          <w:color w:val="000000"/>
          <w:sz w:val="20"/>
          <w:szCs w:val="20"/>
        </w:rPr>
        <w:t>payees, track payments by tax identification number and, under certain conditions, withhold a portion of payments and forward such withholding to the IRS. These obligations can increase operational costs and change our user experience. Any failure by us to</w:t>
      </w:r>
      <w:r>
        <w:rPr>
          <w:rFonts w:ascii="Arial" w:eastAsia="宋体" w:hAnsi="Arial" w:cs="Arial"/>
          <w:color w:val="000000"/>
          <w:sz w:val="20"/>
          <w:szCs w:val="20"/>
        </w:rPr>
        <w:t xml:space="preserve"> meet these requirements could result in substantial monetary penalties and other sanctions and could harm our business. Imposition of an information reporting requirement could decrease seller or buyer activity on our sites and would harm our business.</w:t>
      </w:r>
    </w:p>
    <w:p w14:paraId="64A8B73B" w14:textId="77777777" w:rsidR="008D6614" w:rsidRDefault="008D6614">
      <w:pPr>
        <w:ind w:firstLine="450"/>
        <w:jc w:val="both"/>
      </w:pPr>
    </w:p>
    <w:p w14:paraId="64A8B73C" w14:textId="77777777" w:rsidR="008D6614" w:rsidRDefault="00866AF2">
      <w:pPr>
        <w:ind w:firstLine="450"/>
        <w:jc w:val="both"/>
      </w:pPr>
      <w:r>
        <w:rPr>
          <w:rFonts w:ascii="Arial" w:eastAsia="宋体" w:hAnsi="Arial" w:cs="Arial"/>
          <w:color w:val="000000"/>
          <w:sz w:val="20"/>
          <w:szCs w:val="20"/>
        </w:rPr>
        <w:t>W</w:t>
      </w:r>
      <w:r>
        <w:rPr>
          <w:rFonts w:ascii="Arial" w:eastAsia="宋体" w:hAnsi="Arial" w:cs="Arial"/>
          <w:color w:val="000000"/>
          <w:sz w:val="20"/>
          <w:szCs w:val="20"/>
        </w:rPr>
        <w:t xml:space="preserve">e have periodically received requests from tax authorities for information regarding the transactions of large classes of sellers on our sites, and in some cases we have been legally obligated to provide this data. The imposition of any requirements on us </w:t>
      </w:r>
      <w:r>
        <w:rPr>
          <w:rFonts w:ascii="Arial" w:eastAsia="宋体" w:hAnsi="Arial" w:cs="Arial"/>
          <w:color w:val="000000"/>
          <w:sz w:val="20"/>
          <w:szCs w:val="20"/>
        </w:rPr>
        <w:t>to disclose transaction records for all or a class of sellers to tax or other regulatory authorities or to file tax forms on behalf of any sellers, especially requirements that are imposed on us but not on alternative means of ecommerce, and any use of tho</w:t>
      </w:r>
      <w:r>
        <w:rPr>
          <w:rFonts w:ascii="Arial" w:eastAsia="宋体" w:hAnsi="Arial" w:cs="Arial"/>
          <w:color w:val="000000"/>
          <w:sz w:val="20"/>
          <w:szCs w:val="20"/>
        </w:rPr>
        <w:t>se records to investigate, collect taxes from or prosecute sellers or buyers, could decrease activity on our sites and harm our business.</w:t>
      </w:r>
    </w:p>
    <w:p w14:paraId="64A8B73D" w14:textId="77777777" w:rsidR="008D6614" w:rsidRDefault="008D6614">
      <w:pPr>
        <w:ind w:firstLine="450"/>
        <w:jc w:val="both"/>
      </w:pPr>
    </w:p>
    <w:p w14:paraId="64A8B73E" w14:textId="77777777" w:rsidR="008D6614" w:rsidRDefault="00866AF2">
      <w:pPr>
        <w:ind w:firstLine="450"/>
        <w:jc w:val="both"/>
      </w:pPr>
      <w:r>
        <w:rPr>
          <w:rFonts w:ascii="Arial" w:eastAsia="宋体" w:hAnsi="Arial" w:cs="Arial"/>
          <w:i/>
          <w:iCs/>
          <w:color w:val="000000"/>
          <w:sz w:val="20"/>
          <w:szCs w:val="20"/>
        </w:rPr>
        <w:t>Our business is subject to online security risks, including security breaches and cyberattacks.</w:t>
      </w:r>
    </w:p>
    <w:p w14:paraId="64A8B73F" w14:textId="77777777" w:rsidR="008D6614" w:rsidRDefault="008D6614">
      <w:pPr>
        <w:ind w:firstLine="450"/>
        <w:jc w:val="both"/>
      </w:pPr>
    </w:p>
    <w:p w14:paraId="64A8B740" w14:textId="77777777" w:rsidR="008D6614" w:rsidRDefault="00866AF2">
      <w:pPr>
        <w:ind w:firstLine="450"/>
        <w:jc w:val="both"/>
      </w:pPr>
      <w:r>
        <w:rPr>
          <w:rFonts w:ascii="Arial" w:eastAsia="宋体" w:hAnsi="Arial" w:cs="Arial"/>
          <w:color w:val="000000"/>
          <w:sz w:val="20"/>
          <w:szCs w:val="20"/>
        </w:rPr>
        <w:t xml:space="preserve">Our </w:t>
      </w:r>
      <w:r>
        <w:rPr>
          <w:rFonts w:ascii="Arial" w:eastAsia="宋体" w:hAnsi="Arial" w:cs="Arial"/>
          <w:color w:val="000000"/>
          <w:sz w:val="20"/>
          <w:szCs w:val="20"/>
        </w:rPr>
        <w:t>businesses involve the storage and transmission of users’ personal financial information. In addition, a significant number of our users authorize us to bill their payment card accounts directly for all transaction and other fees charged by us or, in certa</w:t>
      </w:r>
      <w:r>
        <w:rPr>
          <w:rFonts w:ascii="Arial" w:eastAsia="宋体" w:hAnsi="Arial" w:cs="Arial"/>
          <w:color w:val="000000"/>
          <w:sz w:val="20"/>
          <w:szCs w:val="20"/>
        </w:rPr>
        <w:t xml:space="preserve">in cases, third-party service providers utilized in our payment services. An increasing number of websites, including those owned by several other large Internet and offline companies, have disclosed breaches of their security, some of which have involved </w:t>
      </w:r>
      <w:r>
        <w:rPr>
          <w:rFonts w:ascii="Arial" w:eastAsia="宋体" w:hAnsi="Arial" w:cs="Arial"/>
          <w:color w:val="000000"/>
          <w:sz w:val="20"/>
          <w:szCs w:val="20"/>
        </w:rPr>
        <w:t>sophisticated and highly targeted attacks on portions of their websites or infrastructure. The techniques used to obtain unauthorized access, disable, or degrade service, or sabotage systems, change frequently, may be difficult to detect for a long time, a</w:t>
      </w:r>
      <w:r>
        <w:rPr>
          <w:rFonts w:ascii="Arial" w:eastAsia="宋体" w:hAnsi="Arial" w:cs="Arial"/>
          <w:color w:val="000000"/>
          <w:sz w:val="20"/>
          <w:szCs w:val="20"/>
        </w:rPr>
        <w:t>nd often are not recognized until launched against a target. Certain efforts may be state sponsored and supported by significant financial and technological resources and therefore may be even more difficult to detect. As a result, we may be unable to anti</w:t>
      </w:r>
      <w:r>
        <w:rPr>
          <w:rFonts w:ascii="Arial" w:eastAsia="宋体" w:hAnsi="Arial" w:cs="Arial"/>
          <w:color w:val="000000"/>
          <w:sz w:val="20"/>
          <w:szCs w:val="20"/>
        </w:rPr>
        <w:t>cipate these techniques or to implement adequate preventative measures. Unauthorized parties may also attempt to gain access to our systems or facilities through various means, including hacking into our systems or facilities, fraud, trickery or other mean</w:t>
      </w:r>
      <w:r>
        <w:rPr>
          <w:rFonts w:ascii="Arial" w:eastAsia="宋体" w:hAnsi="Arial" w:cs="Arial"/>
          <w:color w:val="000000"/>
          <w:sz w:val="20"/>
          <w:szCs w:val="20"/>
        </w:rPr>
        <w:t>s of deceiving our employees, contractors and temporary staff. A party that is able to circumvent our security measures, or those of our third-party service providers, could misappropriate our or our users’ personal information, cause interruption or degra</w:t>
      </w:r>
      <w:r>
        <w:rPr>
          <w:rFonts w:ascii="Arial" w:eastAsia="宋体" w:hAnsi="Arial" w:cs="Arial"/>
          <w:color w:val="000000"/>
          <w:sz w:val="20"/>
          <w:szCs w:val="20"/>
        </w:rPr>
        <w:t xml:space="preserve">dations in our operations, damage our computers or those of our users, or otherwise damage our reputation. In addition, our users have been and likely will continue to be targeted by parties using fraudulent “spoof” and “phishing” emails to misappropriate </w:t>
      </w:r>
      <w:r>
        <w:rPr>
          <w:rFonts w:ascii="Arial" w:eastAsia="宋体" w:hAnsi="Arial" w:cs="Arial"/>
          <w:color w:val="000000"/>
          <w:sz w:val="20"/>
          <w:szCs w:val="20"/>
        </w:rPr>
        <w:t xml:space="preserve">user names, passwords, payment card numbers, or other personal information or to introduce viruses or other malware through “trojan horse” programs to our users’ computers. Our information technology and infrastructure may be vulnerable to cyberattacks or </w:t>
      </w:r>
      <w:r>
        <w:rPr>
          <w:rFonts w:ascii="Arial" w:eastAsia="宋体" w:hAnsi="Arial" w:cs="Arial"/>
          <w:color w:val="000000"/>
          <w:sz w:val="20"/>
          <w:szCs w:val="20"/>
        </w:rPr>
        <w:t>security incidents and third parties may be able to access our users’ proprietary information and payment card data that are stored on or accessible through our systems. Any security breach at a company providing services to us or our users could have simi</w:t>
      </w:r>
      <w:r>
        <w:rPr>
          <w:rFonts w:ascii="Arial" w:eastAsia="宋体" w:hAnsi="Arial" w:cs="Arial"/>
          <w:color w:val="000000"/>
          <w:sz w:val="20"/>
          <w:szCs w:val="20"/>
        </w:rPr>
        <w:t>lar effects.</w:t>
      </w:r>
    </w:p>
    <w:p w14:paraId="64A8B741" w14:textId="77777777" w:rsidR="008D6614" w:rsidRDefault="008D6614">
      <w:pPr>
        <w:ind w:firstLine="450"/>
        <w:jc w:val="both"/>
      </w:pPr>
    </w:p>
    <w:p w14:paraId="64A8B742" w14:textId="77777777" w:rsidR="008D6614" w:rsidRDefault="00866AF2">
      <w:pPr>
        <w:ind w:firstLine="450"/>
        <w:jc w:val="both"/>
      </w:pPr>
      <w:r>
        <w:rPr>
          <w:rFonts w:ascii="Arial" w:eastAsia="宋体" w:hAnsi="Arial" w:cs="Arial"/>
          <w:color w:val="000000"/>
          <w:sz w:val="20"/>
          <w:szCs w:val="20"/>
        </w:rPr>
        <w:t>In May 2014, we publicly announced that criminals were able to penetrate and steal certain data, including usernames, encrypted user passwords and other non-financial user data. Upon making this announcement, we required all buyers and seller</w:t>
      </w:r>
      <w:r>
        <w:rPr>
          <w:rFonts w:ascii="Arial" w:eastAsia="宋体" w:hAnsi="Arial" w:cs="Arial"/>
          <w:color w:val="000000"/>
          <w:sz w:val="20"/>
          <w:szCs w:val="20"/>
        </w:rPr>
        <w:t>s on our platform to reset their passwords in order to log into their account. The breach and subsequent password reset have negatively impacted the business. In July 2014, a putative class action lawsuit was filed against us for alleged violations and har</w:t>
      </w:r>
      <w:r>
        <w:rPr>
          <w:rFonts w:ascii="Arial" w:eastAsia="宋体" w:hAnsi="Arial" w:cs="Arial"/>
          <w:color w:val="000000"/>
          <w:sz w:val="20"/>
          <w:szCs w:val="20"/>
        </w:rPr>
        <w:t>m resulting from the breach. The lawsuit was dismissed with leave to amend. In addition, we have received requests for information and became subject to investigations regarding this incident from numerous regulatory and other government agencies across th</w:t>
      </w:r>
      <w:r>
        <w:rPr>
          <w:rFonts w:ascii="Arial" w:eastAsia="宋体" w:hAnsi="Arial" w:cs="Arial"/>
          <w:color w:val="000000"/>
          <w:sz w:val="20"/>
          <w:szCs w:val="20"/>
        </w:rPr>
        <w:t>e world.</w:t>
      </w:r>
    </w:p>
    <w:p w14:paraId="64A8B743" w14:textId="77777777" w:rsidR="008D6614" w:rsidRDefault="008D6614">
      <w:pPr>
        <w:ind w:firstLine="450"/>
        <w:jc w:val="both"/>
      </w:pPr>
    </w:p>
    <w:p w14:paraId="64A8B744" w14:textId="77777777" w:rsidR="008D6614" w:rsidRDefault="00866AF2">
      <w:pPr>
        <w:ind w:firstLine="450"/>
        <w:jc w:val="both"/>
      </w:pPr>
      <w:r>
        <w:rPr>
          <w:rFonts w:ascii="Arial" w:eastAsia="宋体" w:hAnsi="Arial" w:cs="Arial"/>
          <w:color w:val="000000"/>
          <w:sz w:val="20"/>
          <w:szCs w:val="20"/>
        </w:rPr>
        <w:t>We may also need to expend significant additional resources to protect against security breaches or to redress problems caused by breaches. These issues are likely to become more difficult and costly as we expand the number of markets where we op</w:t>
      </w:r>
      <w:r>
        <w:rPr>
          <w:rFonts w:ascii="Arial" w:eastAsia="宋体" w:hAnsi="Arial" w:cs="Arial"/>
          <w:color w:val="000000"/>
          <w:sz w:val="20"/>
          <w:szCs w:val="20"/>
        </w:rPr>
        <w:t>erate. Additionally, our insurance policies carry low coverage limits, which may not be adequate to reimburse us for losses caused by security breaches and we may not be able to fully collect, if at all, under these insurance policies.</w:t>
      </w:r>
    </w:p>
    <w:p w14:paraId="64A8B745" w14:textId="77777777" w:rsidR="008D6614" w:rsidRDefault="008D6614">
      <w:pPr>
        <w:ind w:firstLine="450"/>
        <w:jc w:val="both"/>
      </w:pPr>
    </w:p>
    <w:p w14:paraId="64A8B746" w14:textId="77777777" w:rsidR="008D6614" w:rsidRDefault="008D6614">
      <w:pPr>
        <w:jc w:val="center"/>
      </w:pPr>
    </w:p>
    <w:p w14:paraId="64A8B747" w14:textId="77777777" w:rsidR="008D6614" w:rsidRDefault="00866AF2">
      <w:pPr>
        <w:jc w:val="center"/>
      </w:pPr>
      <w:r>
        <w:rPr>
          <w:rFonts w:ascii="Arial" w:eastAsia="宋体" w:hAnsi="Arial" w:cs="Arial"/>
          <w:color w:val="000000"/>
          <w:sz w:val="20"/>
          <w:szCs w:val="20"/>
        </w:rPr>
        <w:t>65</w:t>
      </w:r>
    </w:p>
    <w:p w14:paraId="64A8B748" w14:textId="77777777" w:rsidR="008D6614" w:rsidRDefault="00866AF2">
      <w:r>
        <w:pict w14:anchorId="64A8BA1E">
          <v:rect id="_x0000_i1089" style="width:415.3pt;height:1.5pt" o:hralign="center" o:hrstd="t" o:hr="t" fillcolor="#a0a0a0" stroked="f"/>
        </w:pict>
      </w:r>
    </w:p>
    <w:p w14:paraId="64A8B749" w14:textId="77777777" w:rsidR="008D6614" w:rsidRDefault="008D6614"/>
    <w:p w14:paraId="64A8B74A" w14:textId="77777777" w:rsidR="008D6614" w:rsidRDefault="00866AF2">
      <w:pPr>
        <w:ind w:firstLine="450"/>
        <w:jc w:val="both"/>
      </w:pPr>
      <w:r>
        <w:rPr>
          <w:rFonts w:ascii="Arial" w:eastAsia="宋体" w:hAnsi="Arial" w:cs="Arial"/>
          <w:i/>
          <w:iCs/>
          <w:color w:val="000000"/>
          <w:sz w:val="20"/>
          <w:szCs w:val="20"/>
        </w:rPr>
        <w:t>Systems fail</w:t>
      </w:r>
      <w:r>
        <w:rPr>
          <w:rFonts w:ascii="Arial" w:eastAsia="宋体" w:hAnsi="Arial" w:cs="Arial"/>
          <w:i/>
          <w:iCs/>
          <w:color w:val="000000"/>
          <w:sz w:val="20"/>
          <w:szCs w:val="20"/>
        </w:rPr>
        <w:t xml:space="preserve">ures or cyberattacks and resulting interruptions in the availability of or degradation in the performance of our websites, applications, products or services could harm our business. </w:t>
      </w:r>
    </w:p>
    <w:p w14:paraId="64A8B74B" w14:textId="77777777" w:rsidR="008D6614" w:rsidRDefault="008D6614">
      <w:pPr>
        <w:ind w:firstLine="450"/>
        <w:jc w:val="both"/>
      </w:pPr>
    </w:p>
    <w:p w14:paraId="64A8B74C" w14:textId="77777777" w:rsidR="008D6614" w:rsidRDefault="00866AF2">
      <w:pPr>
        <w:ind w:firstLine="450"/>
        <w:jc w:val="both"/>
      </w:pPr>
      <w:r>
        <w:rPr>
          <w:rFonts w:ascii="Arial" w:eastAsia="宋体" w:hAnsi="Arial" w:cs="Arial"/>
          <w:color w:val="000000"/>
          <w:sz w:val="20"/>
          <w:szCs w:val="20"/>
        </w:rPr>
        <w:t xml:space="preserve">Our systems may experience service interruptions or degradation due to </w:t>
      </w:r>
      <w:r>
        <w:rPr>
          <w:rFonts w:ascii="Arial" w:eastAsia="宋体" w:hAnsi="Arial" w:cs="Arial"/>
          <w:color w:val="000000"/>
          <w:sz w:val="20"/>
          <w:szCs w:val="20"/>
        </w:rPr>
        <w:t>of hardware and software defects or malfunctions, computer denial-of-service and other cyberattacks, human error, earthquakes, hurricanes, floods, fires, natural disasters, power losses, disruptions in telecommunications services, fraud, military or politi</w:t>
      </w:r>
      <w:r>
        <w:rPr>
          <w:rFonts w:ascii="Arial" w:eastAsia="宋体" w:hAnsi="Arial" w:cs="Arial"/>
          <w:color w:val="000000"/>
          <w:sz w:val="20"/>
          <w:szCs w:val="20"/>
        </w:rPr>
        <w:t>cal conflicts, terrorist attacks, computer viruses, or other events. Our systems are also subject to break-ins, sabotage and intentional acts of vandalism. Some of our systems are not fully redundant and our disaster recovery planning is not sufficient for</w:t>
      </w:r>
      <w:r>
        <w:rPr>
          <w:rFonts w:ascii="Arial" w:eastAsia="宋体" w:hAnsi="Arial" w:cs="Arial"/>
          <w:color w:val="000000"/>
          <w:sz w:val="20"/>
          <w:szCs w:val="20"/>
        </w:rPr>
        <w:t xml:space="preserve"> all eventualities. </w:t>
      </w:r>
    </w:p>
    <w:p w14:paraId="64A8B74D" w14:textId="77777777" w:rsidR="008D6614" w:rsidRDefault="008D6614">
      <w:pPr>
        <w:ind w:firstLine="450"/>
        <w:jc w:val="both"/>
      </w:pPr>
    </w:p>
    <w:p w14:paraId="64A8B74E" w14:textId="77777777" w:rsidR="008D6614" w:rsidRDefault="00866AF2">
      <w:pPr>
        <w:ind w:firstLine="450"/>
        <w:jc w:val="both"/>
      </w:pPr>
      <w:r>
        <w:rPr>
          <w:rFonts w:ascii="Arial" w:eastAsia="宋体" w:hAnsi="Arial" w:cs="Arial"/>
          <w:color w:val="000000"/>
          <w:sz w:val="20"/>
          <w:szCs w:val="20"/>
        </w:rPr>
        <w:t>We have experienced and will likely continue to experience system failures, denial-of-service attacks and other events or conditions from time to time that interrupt the availability or reduce the speed or functionality of our website</w:t>
      </w:r>
      <w:r>
        <w:rPr>
          <w:rFonts w:ascii="Arial" w:eastAsia="宋体" w:hAnsi="Arial" w:cs="Arial"/>
          <w:color w:val="000000"/>
          <w:sz w:val="20"/>
          <w:szCs w:val="20"/>
        </w:rPr>
        <w:t>s and mobile applications, including our payments services. These events have resulted and likely will result in loss of revenue. A prolonged interruption in the availability or reduction in the speed or other functionality of our websites and mobile appli</w:t>
      </w:r>
      <w:r>
        <w:rPr>
          <w:rFonts w:ascii="Arial" w:eastAsia="宋体" w:hAnsi="Arial" w:cs="Arial"/>
          <w:color w:val="000000"/>
          <w:sz w:val="20"/>
          <w:szCs w:val="20"/>
        </w:rPr>
        <w:t>cations or payments services could materially harm our business. Frequent or persistent interruptions in our services could cause current or potential users to believe that our systems are unreliable, leading them to switch to our competitors or to avoid o</w:t>
      </w:r>
      <w:r>
        <w:rPr>
          <w:rFonts w:ascii="Arial" w:eastAsia="宋体" w:hAnsi="Arial" w:cs="Arial"/>
          <w:color w:val="000000"/>
          <w:sz w:val="20"/>
          <w:szCs w:val="20"/>
        </w:rPr>
        <w:t xml:space="preserve">ur sites, and could permanently harm our reputation and brands. Moreover, to the extent that any system failure or similar event results in damages to our customers or their businesses, these customers could seek significant compensation from us for their </w:t>
      </w:r>
      <w:r>
        <w:rPr>
          <w:rFonts w:ascii="Arial" w:eastAsia="宋体" w:hAnsi="Arial" w:cs="Arial"/>
          <w:color w:val="000000"/>
          <w:sz w:val="20"/>
          <w:szCs w:val="20"/>
        </w:rPr>
        <w:t>losses and those claims, even if unsuccessful, would likely be time-consuming and costly for us to address. We also rely on facilities, components and services supplied by third parties and our business may be materially adversely affected to the extent th</w:t>
      </w:r>
      <w:r>
        <w:rPr>
          <w:rFonts w:ascii="Arial" w:eastAsia="宋体" w:hAnsi="Arial" w:cs="Arial"/>
          <w:color w:val="000000"/>
          <w:sz w:val="20"/>
          <w:szCs w:val="20"/>
        </w:rPr>
        <w:t>ese components or services do not meet our expectations or these third parties cease to provide the services or facilities. In particular, a decision by any of our third party hosting providers to close a facility that we use could cause system interruptio</w:t>
      </w:r>
      <w:r>
        <w:rPr>
          <w:rFonts w:ascii="Arial" w:eastAsia="宋体" w:hAnsi="Arial" w:cs="Arial"/>
          <w:color w:val="000000"/>
          <w:sz w:val="20"/>
          <w:szCs w:val="20"/>
        </w:rPr>
        <w:t xml:space="preserve">ns and delays, result in loss of critical data and cause lengthy interruptions in our services. We do not carry business interruption insurance sufficient to compensate us for losses that may result from interruptions in our service as a result of systems </w:t>
      </w:r>
      <w:r>
        <w:rPr>
          <w:rFonts w:ascii="Arial" w:eastAsia="宋体" w:hAnsi="Arial" w:cs="Arial"/>
          <w:color w:val="000000"/>
          <w:sz w:val="20"/>
          <w:szCs w:val="20"/>
        </w:rPr>
        <w:t>failures and similar events.</w:t>
      </w:r>
    </w:p>
    <w:p w14:paraId="64A8B74F" w14:textId="77777777" w:rsidR="008D6614" w:rsidRDefault="008D6614">
      <w:pPr>
        <w:ind w:firstLine="440"/>
        <w:jc w:val="both"/>
      </w:pPr>
    </w:p>
    <w:p w14:paraId="64A8B750" w14:textId="77777777" w:rsidR="008D6614" w:rsidRDefault="00866AF2">
      <w:pPr>
        <w:ind w:firstLine="450"/>
        <w:jc w:val="both"/>
      </w:pPr>
      <w:r>
        <w:rPr>
          <w:rFonts w:ascii="Arial" w:eastAsia="宋体" w:hAnsi="Arial" w:cs="Arial"/>
          <w:i/>
          <w:iCs/>
          <w:color w:val="000000"/>
          <w:sz w:val="20"/>
          <w:szCs w:val="20"/>
        </w:rPr>
        <w:t xml:space="preserve">Acquisitions, dispositions, joint ventures, strategic partnerships and strategic investments could result in operating difficulties and could harm our business or impact our financial results. </w:t>
      </w:r>
    </w:p>
    <w:p w14:paraId="64A8B751" w14:textId="77777777" w:rsidR="008D6614" w:rsidRDefault="008D6614">
      <w:pPr>
        <w:ind w:firstLine="450"/>
        <w:jc w:val="both"/>
      </w:pPr>
    </w:p>
    <w:p w14:paraId="64A8B752" w14:textId="77777777" w:rsidR="008D6614" w:rsidRDefault="00866AF2">
      <w:pPr>
        <w:ind w:firstLine="450"/>
        <w:jc w:val="both"/>
      </w:pPr>
      <w:r>
        <w:rPr>
          <w:rFonts w:ascii="Arial" w:eastAsia="宋体" w:hAnsi="Arial" w:cs="Arial"/>
          <w:color w:val="000000"/>
          <w:sz w:val="20"/>
          <w:szCs w:val="20"/>
        </w:rPr>
        <w:t xml:space="preserve">We have acquired a significant </w:t>
      </w:r>
      <w:r>
        <w:rPr>
          <w:rFonts w:ascii="Arial" w:eastAsia="宋体" w:hAnsi="Arial" w:cs="Arial"/>
          <w:color w:val="000000"/>
          <w:sz w:val="20"/>
          <w:szCs w:val="20"/>
        </w:rPr>
        <w:t>number of businesses of varying size and scope, technologies, services, and products. We have also disposed of significant businesses (including PayPal and our Enterprise business in 2015), and in February 2020 we sold our StubHub business to viagogo. We e</w:t>
      </w:r>
      <w:r>
        <w:rPr>
          <w:rFonts w:ascii="Arial" w:eastAsia="宋体" w:hAnsi="Arial" w:cs="Arial"/>
          <w:color w:val="000000"/>
          <w:sz w:val="20"/>
          <w:szCs w:val="20"/>
        </w:rPr>
        <w:t>xpect to continue to evaluate and consider a wide array of potential strategic transactions as part of our overall business strategy, including business combinations, acquisitions, and dispositions of businesses, technologies, services, products, and other</w:t>
      </w:r>
      <w:r>
        <w:rPr>
          <w:rFonts w:ascii="Arial" w:eastAsia="宋体" w:hAnsi="Arial" w:cs="Arial"/>
          <w:color w:val="000000"/>
          <w:sz w:val="20"/>
          <w:szCs w:val="20"/>
        </w:rPr>
        <w:t xml:space="preserve"> assets, as well as strategic investments and joint ventures.</w:t>
      </w:r>
    </w:p>
    <w:p w14:paraId="64A8B753" w14:textId="77777777" w:rsidR="008D6614" w:rsidRDefault="008D6614">
      <w:pPr>
        <w:ind w:firstLine="450"/>
        <w:jc w:val="both"/>
      </w:pPr>
    </w:p>
    <w:p w14:paraId="64A8B754" w14:textId="77777777" w:rsidR="008D6614" w:rsidRDefault="00866AF2">
      <w:pPr>
        <w:ind w:firstLine="450"/>
        <w:jc w:val="both"/>
      </w:pPr>
      <w:r>
        <w:rPr>
          <w:rFonts w:ascii="Arial" w:eastAsia="宋体" w:hAnsi="Arial" w:cs="Arial"/>
          <w:color w:val="000000"/>
          <w:sz w:val="20"/>
          <w:szCs w:val="20"/>
        </w:rPr>
        <w:t>These transactions may involve significant challenges and risks, including:</w:t>
      </w:r>
    </w:p>
    <w:p w14:paraId="64A8B755" w14:textId="77777777" w:rsidR="008D6614" w:rsidRDefault="008D6614">
      <w:pPr>
        <w:ind w:firstLine="450"/>
        <w:jc w:val="both"/>
      </w:pPr>
    </w:p>
    <w:p w14:paraId="64A8B756" w14:textId="77777777" w:rsidR="008D6614" w:rsidRDefault="00866AF2">
      <w:pPr>
        <w:ind w:hanging="360"/>
        <w:jc w:val="both"/>
      </w:pPr>
      <w:r>
        <w:rPr>
          <w:rFonts w:ascii="Arial" w:eastAsia="宋体" w:hAnsi="Arial" w:cs="Arial"/>
          <w:color w:val="000000"/>
          <w:sz w:val="20"/>
          <w:szCs w:val="20"/>
        </w:rPr>
        <w:t xml:space="preserve">•the potential loss of key customers, merchants, vendors and other key business partners of the companies we </w:t>
      </w:r>
      <w:r>
        <w:rPr>
          <w:rFonts w:ascii="Arial" w:eastAsia="宋体" w:hAnsi="Arial" w:cs="Arial"/>
          <w:color w:val="000000"/>
          <w:sz w:val="20"/>
          <w:szCs w:val="20"/>
        </w:rPr>
        <w:t>acquire, or dispose of, following and continuing after announcement of our transaction plans;</w:t>
      </w:r>
    </w:p>
    <w:p w14:paraId="64A8B757" w14:textId="77777777" w:rsidR="008D6614" w:rsidRDefault="00866AF2">
      <w:pPr>
        <w:ind w:hanging="360"/>
        <w:jc w:val="both"/>
      </w:pPr>
      <w:r>
        <w:rPr>
          <w:rFonts w:ascii="Arial" w:eastAsia="宋体" w:hAnsi="Arial" w:cs="Arial"/>
          <w:color w:val="000000"/>
          <w:sz w:val="20"/>
          <w:szCs w:val="20"/>
        </w:rPr>
        <w:t xml:space="preserve">•declining employee morale and retention issues affecting employees of companies that we acquire or dispose of, which may result from changes in compensation, or </w:t>
      </w:r>
      <w:r>
        <w:rPr>
          <w:rFonts w:ascii="Arial" w:eastAsia="宋体" w:hAnsi="Arial" w:cs="Arial"/>
          <w:color w:val="000000"/>
          <w:sz w:val="20"/>
          <w:szCs w:val="20"/>
        </w:rPr>
        <w:t>changes in management, reporting relationships, future prospects or the direction of the acquired or disposed business;</w:t>
      </w:r>
    </w:p>
    <w:p w14:paraId="64A8B758" w14:textId="77777777" w:rsidR="008D6614" w:rsidRDefault="00866AF2">
      <w:pPr>
        <w:ind w:hanging="360"/>
        <w:jc w:val="both"/>
      </w:pPr>
      <w:r>
        <w:rPr>
          <w:rFonts w:ascii="Arial" w:eastAsia="宋体" w:hAnsi="Arial" w:cs="Arial"/>
          <w:color w:val="000000"/>
          <w:sz w:val="20"/>
          <w:szCs w:val="20"/>
        </w:rPr>
        <w:t>•difficulty making new and strategic hires of new employees;</w:t>
      </w:r>
    </w:p>
    <w:p w14:paraId="64A8B759" w14:textId="77777777" w:rsidR="008D6614" w:rsidRDefault="00866AF2">
      <w:pPr>
        <w:ind w:hanging="360"/>
        <w:jc w:val="both"/>
      </w:pPr>
      <w:r>
        <w:rPr>
          <w:rFonts w:ascii="Arial" w:eastAsia="宋体" w:hAnsi="Arial" w:cs="Arial"/>
          <w:color w:val="000000"/>
          <w:sz w:val="20"/>
          <w:szCs w:val="20"/>
        </w:rPr>
        <w:t>•diversion of management time and a shift of focus from operating the busin</w:t>
      </w:r>
      <w:r>
        <w:rPr>
          <w:rFonts w:ascii="Arial" w:eastAsia="宋体" w:hAnsi="Arial" w:cs="Arial"/>
          <w:color w:val="000000"/>
          <w:sz w:val="20"/>
          <w:szCs w:val="20"/>
        </w:rPr>
        <w:t>esses to the transaction, and in the case of an acquisition, integration and administration;</w:t>
      </w:r>
    </w:p>
    <w:p w14:paraId="64A8B75A" w14:textId="77777777" w:rsidR="008D6614" w:rsidRDefault="00866AF2">
      <w:pPr>
        <w:ind w:hanging="360"/>
        <w:jc w:val="both"/>
      </w:pPr>
      <w:r>
        <w:rPr>
          <w:rFonts w:ascii="Arial" w:eastAsia="宋体" w:hAnsi="Arial" w:cs="Arial"/>
          <w:color w:val="000000"/>
          <w:sz w:val="20"/>
          <w:szCs w:val="20"/>
        </w:rPr>
        <w:t>•the need to provide transition services to a disposed of company, which may result in the diversion of resources and focus;</w:t>
      </w:r>
    </w:p>
    <w:p w14:paraId="64A8B75B" w14:textId="77777777" w:rsidR="008D6614" w:rsidRDefault="00866AF2">
      <w:pPr>
        <w:ind w:hanging="360"/>
        <w:jc w:val="both"/>
      </w:pPr>
      <w:r>
        <w:rPr>
          <w:rFonts w:ascii="Arial" w:eastAsia="宋体" w:hAnsi="Arial" w:cs="Arial"/>
          <w:color w:val="000000"/>
          <w:sz w:val="20"/>
          <w:szCs w:val="20"/>
        </w:rPr>
        <w:t>•the need to integrate the operations,</w:t>
      </w:r>
      <w:r>
        <w:rPr>
          <w:rFonts w:ascii="Arial" w:eastAsia="宋体" w:hAnsi="Arial" w:cs="Arial"/>
          <w:color w:val="000000"/>
          <w:sz w:val="20"/>
          <w:szCs w:val="20"/>
        </w:rPr>
        <w:t xml:space="preserve"> systems (including accounting, management, information, human resource and other administrative systems), technologies, products and personnel of each acquired company, which is an inherently risky and potentially lengthy and costly process; </w:t>
      </w:r>
    </w:p>
    <w:p w14:paraId="64A8B75C" w14:textId="77777777" w:rsidR="008D6614" w:rsidRDefault="00866AF2">
      <w:pPr>
        <w:ind w:hanging="360"/>
        <w:jc w:val="both"/>
      </w:pPr>
      <w:r>
        <w:rPr>
          <w:rFonts w:ascii="Arial" w:eastAsia="宋体" w:hAnsi="Arial" w:cs="Arial"/>
          <w:color w:val="000000"/>
          <w:sz w:val="20"/>
          <w:szCs w:val="20"/>
        </w:rPr>
        <w:t>•the ineffic</w:t>
      </w:r>
      <w:r>
        <w:rPr>
          <w:rFonts w:ascii="Arial" w:eastAsia="宋体" w:hAnsi="Arial" w:cs="Arial"/>
          <w:color w:val="000000"/>
          <w:sz w:val="20"/>
          <w:szCs w:val="20"/>
        </w:rPr>
        <w:t>iencies and lack of control that may result if such integration is delayed or not implemented, and unforeseen difficulties and expenditures that may arise as a result;</w:t>
      </w:r>
    </w:p>
    <w:p w14:paraId="64A8B75D" w14:textId="77777777" w:rsidR="008D6614" w:rsidRDefault="00866AF2">
      <w:pPr>
        <w:ind w:hanging="360"/>
        <w:jc w:val="both"/>
      </w:pPr>
      <w:r>
        <w:rPr>
          <w:rFonts w:ascii="Arial" w:eastAsia="宋体" w:hAnsi="Arial" w:cs="Arial"/>
          <w:color w:val="000000"/>
          <w:sz w:val="20"/>
          <w:szCs w:val="20"/>
        </w:rPr>
        <w:t>•the need to implement or improve controls, procedures and policies appropriate for a la</w:t>
      </w:r>
      <w:r>
        <w:rPr>
          <w:rFonts w:ascii="Arial" w:eastAsia="宋体" w:hAnsi="Arial" w:cs="Arial"/>
          <w:color w:val="000000"/>
          <w:sz w:val="20"/>
          <w:szCs w:val="20"/>
        </w:rPr>
        <w:t>rger public company at companies that prior to acquisition may have lacked such controls, procedures and policies or whose controls, procedures and policies did not meet applicable legal and other standards;</w:t>
      </w:r>
    </w:p>
    <w:p w14:paraId="64A8B75E" w14:textId="77777777" w:rsidR="008D6614" w:rsidRDefault="008D6614">
      <w:pPr>
        <w:jc w:val="center"/>
      </w:pPr>
    </w:p>
    <w:p w14:paraId="64A8B75F" w14:textId="77777777" w:rsidR="008D6614" w:rsidRDefault="00866AF2">
      <w:pPr>
        <w:jc w:val="center"/>
      </w:pPr>
      <w:r>
        <w:rPr>
          <w:rFonts w:ascii="Arial" w:eastAsia="宋体" w:hAnsi="Arial" w:cs="Arial"/>
          <w:color w:val="000000"/>
          <w:sz w:val="20"/>
          <w:szCs w:val="20"/>
        </w:rPr>
        <w:t>66</w:t>
      </w:r>
    </w:p>
    <w:p w14:paraId="64A8B760" w14:textId="77777777" w:rsidR="008D6614" w:rsidRDefault="00866AF2">
      <w:r>
        <w:pict w14:anchorId="64A8BA1F">
          <v:rect id="_x0000_i1090" style="width:415.3pt;height:1.5pt" o:hralign="center" o:hrstd="t" o:hr="t" fillcolor="#a0a0a0" stroked="f"/>
        </w:pict>
      </w:r>
    </w:p>
    <w:p w14:paraId="64A8B761" w14:textId="77777777" w:rsidR="008D6614" w:rsidRDefault="008D6614"/>
    <w:p w14:paraId="64A8B762" w14:textId="77777777" w:rsidR="008D6614" w:rsidRDefault="00866AF2">
      <w:pPr>
        <w:ind w:hanging="360"/>
        <w:jc w:val="both"/>
      </w:pPr>
      <w:r>
        <w:rPr>
          <w:rFonts w:ascii="Arial" w:eastAsia="宋体" w:hAnsi="Arial" w:cs="Arial"/>
          <w:color w:val="000000"/>
          <w:sz w:val="20"/>
          <w:szCs w:val="20"/>
        </w:rPr>
        <w:t>•risks associated with our expansion into</w:t>
      </w:r>
      <w:r>
        <w:rPr>
          <w:rFonts w:ascii="Arial" w:eastAsia="宋体" w:hAnsi="Arial" w:cs="Arial"/>
          <w:color w:val="000000"/>
          <w:sz w:val="20"/>
          <w:szCs w:val="20"/>
        </w:rPr>
        <w:t xml:space="preserve"> new international markets;</w:t>
      </w:r>
    </w:p>
    <w:p w14:paraId="64A8B763" w14:textId="77777777" w:rsidR="008D6614" w:rsidRDefault="00866AF2">
      <w:pPr>
        <w:ind w:hanging="360"/>
        <w:jc w:val="both"/>
      </w:pPr>
      <w:r>
        <w:rPr>
          <w:rFonts w:ascii="Arial" w:eastAsia="宋体" w:hAnsi="Arial" w:cs="Arial"/>
          <w:color w:val="000000"/>
          <w:sz w:val="20"/>
          <w:szCs w:val="20"/>
        </w:rPr>
        <w:t>•derivative lawsuits resulting from the acquisition or disposition;</w:t>
      </w:r>
    </w:p>
    <w:p w14:paraId="64A8B764" w14:textId="77777777" w:rsidR="008D6614" w:rsidRDefault="00866AF2">
      <w:pPr>
        <w:ind w:hanging="360"/>
        <w:jc w:val="both"/>
      </w:pPr>
      <w:r>
        <w:rPr>
          <w:rFonts w:ascii="Arial" w:eastAsia="宋体" w:hAnsi="Arial" w:cs="Arial"/>
          <w:color w:val="000000"/>
          <w:sz w:val="20"/>
          <w:szCs w:val="20"/>
        </w:rPr>
        <w:t>•liability for activities of the acquired or disposed of company before the transaction, including intellectual property and other litigation claims or disputes</w:t>
      </w:r>
      <w:r>
        <w:rPr>
          <w:rFonts w:ascii="Arial" w:eastAsia="宋体" w:hAnsi="Arial" w:cs="Arial"/>
          <w:color w:val="000000"/>
          <w:sz w:val="20"/>
          <w:szCs w:val="20"/>
        </w:rPr>
        <w:t>, violations of laws, rules and regulations, commercial disputes, tax liabilities and other known and unknown liabilities and, in the case of dispositions, liabilities to the acquirors of those businesses under contractual provisions such as representation</w:t>
      </w:r>
      <w:r>
        <w:rPr>
          <w:rFonts w:ascii="Arial" w:eastAsia="宋体" w:hAnsi="Arial" w:cs="Arial"/>
          <w:color w:val="000000"/>
          <w:sz w:val="20"/>
          <w:szCs w:val="20"/>
        </w:rPr>
        <w:t>s, warranties and indemnities;</w:t>
      </w:r>
    </w:p>
    <w:p w14:paraId="64A8B765" w14:textId="77777777" w:rsidR="008D6614" w:rsidRDefault="00866AF2">
      <w:pPr>
        <w:ind w:hanging="360"/>
        <w:jc w:val="both"/>
      </w:pPr>
      <w:r>
        <w:rPr>
          <w:rFonts w:ascii="Arial" w:eastAsia="宋体" w:hAnsi="Arial" w:cs="Arial"/>
          <w:color w:val="000000"/>
          <w:sz w:val="20"/>
          <w:szCs w:val="20"/>
        </w:rPr>
        <w:t>•the potential loss of key employees following the transaction;</w:t>
      </w:r>
    </w:p>
    <w:p w14:paraId="64A8B766" w14:textId="77777777" w:rsidR="008D6614" w:rsidRDefault="00866AF2">
      <w:pPr>
        <w:ind w:hanging="360"/>
        <w:jc w:val="both"/>
      </w:pPr>
      <w:r>
        <w:rPr>
          <w:rFonts w:ascii="Arial" w:eastAsia="宋体" w:hAnsi="Arial" w:cs="Arial"/>
          <w:color w:val="000000"/>
          <w:sz w:val="20"/>
          <w:szCs w:val="20"/>
        </w:rPr>
        <w:t>•the acquisition of new customer and employee personal information by us or a third party acquiring assets or businesses from us, which in and of itself may requ</w:t>
      </w:r>
      <w:r>
        <w:rPr>
          <w:rFonts w:ascii="Arial" w:eastAsia="宋体" w:hAnsi="Arial" w:cs="Arial"/>
          <w:color w:val="000000"/>
          <w:sz w:val="20"/>
          <w:szCs w:val="20"/>
        </w:rPr>
        <w:t>ire regulatory approval and or additional controls, policies and procedures and subject us to additional exposure; and</w:t>
      </w:r>
    </w:p>
    <w:p w14:paraId="64A8B767" w14:textId="77777777" w:rsidR="008D6614" w:rsidRDefault="00866AF2">
      <w:pPr>
        <w:ind w:hanging="360"/>
        <w:jc w:val="both"/>
      </w:pPr>
      <w:r>
        <w:rPr>
          <w:rFonts w:ascii="Arial" w:eastAsia="宋体" w:hAnsi="Arial" w:cs="Arial"/>
          <w:color w:val="000000"/>
          <w:sz w:val="20"/>
          <w:szCs w:val="20"/>
        </w:rPr>
        <w:t xml:space="preserve">•our dependence on the acquired business’ accounting, financial reporting, operating metrics and similar systems, controls and processes </w:t>
      </w:r>
      <w:r>
        <w:rPr>
          <w:rFonts w:ascii="Arial" w:eastAsia="宋体" w:hAnsi="Arial" w:cs="Arial"/>
          <w:color w:val="000000"/>
          <w:sz w:val="20"/>
          <w:szCs w:val="20"/>
        </w:rPr>
        <w:t>and the risk that errors or irregularities in those systems, controls and processes will lead to errors in our condensed consolidated financial statements or make it more difficult to manage the acquired business.</w:t>
      </w:r>
    </w:p>
    <w:p w14:paraId="64A8B768" w14:textId="77777777" w:rsidR="008D6614" w:rsidRDefault="008D6614">
      <w:pPr>
        <w:ind w:firstLine="450"/>
        <w:jc w:val="both"/>
      </w:pPr>
    </w:p>
    <w:p w14:paraId="64A8B769" w14:textId="77777777" w:rsidR="008D6614" w:rsidRDefault="00866AF2">
      <w:pPr>
        <w:ind w:firstLine="450"/>
        <w:jc w:val="both"/>
      </w:pPr>
      <w:r>
        <w:rPr>
          <w:rFonts w:ascii="Arial" w:eastAsia="宋体" w:hAnsi="Arial" w:cs="Arial"/>
          <w:color w:val="000000"/>
          <w:sz w:val="20"/>
          <w:szCs w:val="20"/>
        </w:rPr>
        <w:t>At any given time, we may be engaged in d</w:t>
      </w:r>
      <w:r>
        <w:rPr>
          <w:rFonts w:ascii="Arial" w:eastAsia="宋体" w:hAnsi="Arial" w:cs="Arial"/>
          <w:color w:val="000000"/>
          <w:sz w:val="20"/>
          <w:szCs w:val="20"/>
        </w:rPr>
        <w:t>iscussions or negotiations with respect to one or more of these types of transactions and any of these transactions could be material to our financial condition and results of operations. In addition, it may take us longer than expected to fully realize th</w:t>
      </w:r>
      <w:r>
        <w:rPr>
          <w:rFonts w:ascii="Arial" w:eastAsia="宋体" w:hAnsi="Arial" w:cs="Arial"/>
          <w:color w:val="000000"/>
          <w:sz w:val="20"/>
          <w:szCs w:val="20"/>
        </w:rPr>
        <w:t>e anticipated benefits of these transactions, and those benefits may ultimately be smaller than anticipated or may not be realized at all, which could adversely affect our business and operating results. Any acquisitions or dispositions may also require us</w:t>
      </w:r>
      <w:r>
        <w:rPr>
          <w:rFonts w:ascii="Arial" w:eastAsia="宋体" w:hAnsi="Arial" w:cs="Arial"/>
          <w:color w:val="000000"/>
          <w:sz w:val="20"/>
          <w:szCs w:val="20"/>
        </w:rPr>
        <w:t xml:space="preserve"> to issue additional equity securities, spend our cash, or incur debt (and increased interest expense), liabilities, and amortization expenses related to intangible assets or write-offs of goodwill, which could adversely affect our results of operations an</w:t>
      </w:r>
      <w:r>
        <w:rPr>
          <w:rFonts w:ascii="Arial" w:eastAsia="宋体" w:hAnsi="Arial" w:cs="Arial"/>
          <w:color w:val="000000"/>
          <w:sz w:val="20"/>
          <w:szCs w:val="20"/>
        </w:rPr>
        <w:t>d dilute the economic and voting rights of our stockholders.</w:t>
      </w:r>
    </w:p>
    <w:p w14:paraId="64A8B76A" w14:textId="77777777" w:rsidR="008D6614" w:rsidRDefault="00866AF2">
      <w:pPr>
        <w:ind w:firstLine="450"/>
        <w:jc w:val="both"/>
      </w:pPr>
      <w:r>
        <w:rPr>
          <w:rFonts w:ascii="Arial" w:eastAsia="宋体" w:hAnsi="Arial" w:cs="Arial"/>
          <w:color w:val="000000"/>
          <w:sz w:val="20"/>
          <w:szCs w:val="20"/>
        </w:rPr>
        <w:t>        </w:t>
      </w:r>
    </w:p>
    <w:p w14:paraId="64A8B76B" w14:textId="77777777" w:rsidR="008D6614" w:rsidRDefault="00866AF2">
      <w:pPr>
        <w:ind w:firstLine="450"/>
        <w:jc w:val="both"/>
      </w:pPr>
      <w:r>
        <w:rPr>
          <w:rFonts w:ascii="Arial" w:eastAsia="宋体" w:hAnsi="Arial" w:cs="Arial"/>
          <w:color w:val="000000"/>
          <w:sz w:val="20"/>
          <w:szCs w:val="20"/>
        </w:rPr>
        <w:t>We have made certain investments, including through joint ventures, in which we have a minority equity interest and/or lack management and operational control. The controlling joint vent</w:t>
      </w:r>
      <w:r>
        <w:rPr>
          <w:rFonts w:ascii="Arial" w:eastAsia="宋体" w:hAnsi="Arial" w:cs="Arial"/>
          <w:color w:val="000000"/>
          <w:sz w:val="20"/>
          <w:szCs w:val="20"/>
        </w:rPr>
        <w:t xml:space="preserve">ure partner in a joint venture may have business interests, strategies, or goals that are inconsistent with ours, and business decisions or other actions or omissions of the controlling joint venture partner or the joint venture company may result in harm </w:t>
      </w:r>
      <w:r>
        <w:rPr>
          <w:rFonts w:ascii="Arial" w:eastAsia="宋体" w:hAnsi="Arial" w:cs="Arial"/>
          <w:color w:val="000000"/>
          <w:sz w:val="20"/>
          <w:szCs w:val="20"/>
        </w:rPr>
        <w:t>to our reputation or adversely affect the value of our investment in the joint venture. Our strategic investments may also expose us to additional risks. Any circumstances, which may be out of our control, that adversely affect the value of our investments</w:t>
      </w:r>
      <w:r>
        <w:rPr>
          <w:rFonts w:ascii="Arial" w:eastAsia="宋体" w:hAnsi="Arial" w:cs="Arial"/>
          <w:color w:val="000000"/>
          <w:sz w:val="20"/>
          <w:szCs w:val="20"/>
        </w:rPr>
        <w:t>, or cost resulting from regulatory action or lawsuits in connection with our investments, could harm our business or negatively impact our financial results.</w:t>
      </w:r>
    </w:p>
    <w:p w14:paraId="64A8B76C" w14:textId="77777777" w:rsidR="008D6614" w:rsidRDefault="008D6614">
      <w:pPr>
        <w:ind w:firstLine="450"/>
        <w:jc w:val="both"/>
      </w:pPr>
    </w:p>
    <w:p w14:paraId="64A8B76D" w14:textId="77777777" w:rsidR="008D6614" w:rsidRDefault="00866AF2">
      <w:pPr>
        <w:ind w:firstLine="450"/>
        <w:jc w:val="both"/>
      </w:pPr>
      <w:r>
        <w:rPr>
          <w:rFonts w:ascii="Arial" w:eastAsia="宋体" w:hAnsi="Arial" w:cs="Arial"/>
          <w:color w:val="000000"/>
          <w:sz w:val="20"/>
          <w:szCs w:val="20"/>
        </w:rPr>
        <w:t>We entered into a warrant agreement in conjunction with a commercial agreement with Adyen that entitles us to acquire a fixed number of shares of Adyen’s common stock subject to certain milestones being met. This warrant is accounted for as a derivative in</w:t>
      </w:r>
      <w:r>
        <w:rPr>
          <w:rFonts w:ascii="Arial" w:eastAsia="宋体" w:hAnsi="Arial" w:cs="Arial"/>
          <w:color w:val="000000"/>
          <w:sz w:val="20"/>
          <w:szCs w:val="20"/>
        </w:rPr>
        <w:t xml:space="preserve">strument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Changes in Adyen’s common stock price and equity volatility may have a significant impact on the value of this warrant. We report this warrant on a quarterly basis at fair value in our condensed consol</w:t>
      </w:r>
      <w:r>
        <w:rPr>
          <w:rFonts w:ascii="Arial" w:eastAsia="宋体" w:hAnsi="Arial" w:cs="Arial"/>
          <w:color w:val="000000"/>
          <w:sz w:val="20"/>
          <w:szCs w:val="20"/>
        </w:rPr>
        <w:t>idated balance sheets, and changes in the fair value of this warrant are recognized in our condensed consolidated statement of income. Fluctuations in Adyen’s common stock or other changes in assumptions could result in material changes in the fair value t</w:t>
      </w:r>
      <w:r>
        <w:rPr>
          <w:rFonts w:ascii="Arial" w:eastAsia="宋体" w:hAnsi="Arial" w:cs="Arial"/>
          <w:color w:val="000000"/>
          <w:sz w:val="20"/>
          <w:szCs w:val="20"/>
        </w:rPr>
        <w:t>hat we report in our condensed consolidated balance sheets and our condensed consolidated statement of income, which could have a material impact on our financial results.</w:t>
      </w:r>
    </w:p>
    <w:p w14:paraId="64A8B76E" w14:textId="77777777" w:rsidR="008D6614" w:rsidRDefault="008D6614">
      <w:pPr>
        <w:ind w:firstLine="450"/>
        <w:jc w:val="both"/>
      </w:pPr>
    </w:p>
    <w:p w14:paraId="64A8B76F" w14:textId="77777777" w:rsidR="008D6614" w:rsidRDefault="008D6614">
      <w:pPr>
        <w:jc w:val="center"/>
      </w:pPr>
    </w:p>
    <w:p w14:paraId="64A8B770" w14:textId="77777777" w:rsidR="008D6614" w:rsidRDefault="00866AF2">
      <w:pPr>
        <w:jc w:val="center"/>
      </w:pPr>
      <w:r>
        <w:rPr>
          <w:rFonts w:ascii="Arial" w:eastAsia="宋体" w:hAnsi="Arial" w:cs="Arial"/>
          <w:color w:val="000000"/>
          <w:sz w:val="20"/>
          <w:szCs w:val="20"/>
        </w:rPr>
        <w:t>67</w:t>
      </w:r>
    </w:p>
    <w:p w14:paraId="64A8B771" w14:textId="77777777" w:rsidR="008D6614" w:rsidRDefault="00866AF2">
      <w:r>
        <w:pict w14:anchorId="64A8BA20">
          <v:rect id="_x0000_i1091" style="width:415.3pt;height:1.5pt" o:hralign="center" o:hrstd="t" o:hr="t" fillcolor="#a0a0a0" stroked="f"/>
        </w:pict>
      </w:r>
    </w:p>
    <w:p w14:paraId="64A8B772" w14:textId="77777777" w:rsidR="008D6614" w:rsidRDefault="008D6614"/>
    <w:p w14:paraId="64A8B773" w14:textId="77777777" w:rsidR="008D6614" w:rsidRDefault="00866AF2">
      <w:pPr>
        <w:ind w:firstLine="450"/>
        <w:jc w:val="both"/>
      </w:pPr>
      <w:r>
        <w:rPr>
          <w:rFonts w:ascii="Arial" w:eastAsia="宋体" w:hAnsi="Arial" w:cs="Arial"/>
          <w:i/>
          <w:iCs/>
          <w:color w:val="000000"/>
          <w:sz w:val="20"/>
          <w:szCs w:val="20"/>
        </w:rPr>
        <w:t>We are subject to risks and uncertainties related to the strategic review of</w:t>
      </w:r>
      <w:r>
        <w:rPr>
          <w:rFonts w:ascii="Arial" w:eastAsia="宋体" w:hAnsi="Arial" w:cs="Arial"/>
          <w:i/>
          <w:iCs/>
          <w:color w:val="000000"/>
          <w:sz w:val="20"/>
          <w:szCs w:val="20"/>
        </w:rPr>
        <w:t xml:space="preserve"> our asset portfolio, as well as the execution of our plan for operating efficiency.</w:t>
      </w:r>
    </w:p>
    <w:p w14:paraId="64A8B774" w14:textId="77777777" w:rsidR="008D6614" w:rsidRDefault="008D6614">
      <w:pPr>
        <w:ind w:firstLine="450"/>
        <w:jc w:val="both"/>
      </w:pPr>
    </w:p>
    <w:p w14:paraId="64A8B775" w14:textId="77777777" w:rsidR="008D6614" w:rsidRDefault="00866AF2">
      <w:pPr>
        <w:ind w:firstLine="450"/>
        <w:jc w:val="both"/>
      </w:pPr>
      <w:r>
        <w:rPr>
          <w:rFonts w:ascii="Arial" w:eastAsia="宋体" w:hAnsi="Arial" w:cs="Arial"/>
          <w:color w:val="000000"/>
          <w:sz w:val="20"/>
          <w:szCs w:val="20"/>
        </w:rPr>
        <w:t>In March 2019, we announced that we initiated, with the assistance of external financial advisors, a strategic review of our asset portfolio, including but not limited to</w:t>
      </w:r>
      <w:r>
        <w:rPr>
          <w:rFonts w:ascii="Arial" w:eastAsia="宋体" w:hAnsi="Arial" w:cs="Arial"/>
          <w:color w:val="000000"/>
          <w:sz w:val="20"/>
          <w:szCs w:val="20"/>
        </w:rPr>
        <w:t xml:space="preserve"> StubHub and eBay Classifieds Group. In November 2019, as an outcome of our strategic review, we entered into an agreement to sell our StubHub business to viagogo, which closed in February 2020. Our strategic review efforts continue, however, there can be </w:t>
      </w:r>
      <w:r>
        <w:rPr>
          <w:rFonts w:ascii="Arial" w:eastAsia="宋体" w:hAnsi="Arial" w:cs="Arial"/>
          <w:color w:val="000000"/>
          <w:sz w:val="20"/>
          <w:szCs w:val="20"/>
        </w:rPr>
        <w:t xml:space="preserve">no assurance that the strategic review will result in any further sale, spin-off or other business combination involving our assets. We will incur expenses in connection with the review and our future results may be affected by the pursuit or consummation </w:t>
      </w:r>
      <w:r>
        <w:rPr>
          <w:rFonts w:ascii="Arial" w:eastAsia="宋体" w:hAnsi="Arial" w:cs="Arial"/>
          <w:color w:val="000000"/>
          <w:sz w:val="20"/>
          <w:szCs w:val="20"/>
        </w:rPr>
        <w:t>of any specific transaction or other strategic alternative resulting from the strategic review. While this review is ongoing, we are exposed to certain risks and uncertainties, including retaining and attracting employees during the review process; the div</w:t>
      </w:r>
      <w:r>
        <w:rPr>
          <w:rFonts w:ascii="Arial" w:eastAsia="宋体" w:hAnsi="Arial" w:cs="Arial"/>
          <w:color w:val="000000"/>
          <w:sz w:val="20"/>
          <w:szCs w:val="20"/>
        </w:rPr>
        <w:t>ersion of management’s time to the review; and exposure to potential litigation in connection with the review process or any specific transaction or other strategic alternative resulting therefrom, all of which could disrupt and negatively affect our busin</w:t>
      </w:r>
      <w:r>
        <w:rPr>
          <w:rFonts w:ascii="Arial" w:eastAsia="宋体" w:hAnsi="Arial" w:cs="Arial"/>
          <w:color w:val="000000"/>
          <w:sz w:val="20"/>
          <w:szCs w:val="20"/>
        </w:rPr>
        <w:t>ess. Speculation regarding any developments related to the review of strategic alternatives and perceived uncertainties related to the future of the Company could cause our stock price to fluctuate significantly. There is no finite timetable for completion</w:t>
      </w:r>
      <w:r>
        <w:rPr>
          <w:rFonts w:ascii="Arial" w:eastAsia="宋体" w:hAnsi="Arial" w:cs="Arial"/>
          <w:color w:val="000000"/>
          <w:sz w:val="20"/>
          <w:szCs w:val="20"/>
        </w:rPr>
        <w:t xml:space="preserve"> of the strategic review, and we can provide no assurance that any transaction or other strategic alternative we pursue will have a positive impact on our results of operations or financial condition. </w:t>
      </w:r>
    </w:p>
    <w:p w14:paraId="64A8B776" w14:textId="77777777" w:rsidR="008D6614" w:rsidRDefault="008D6614">
      <w:pPr>
        <w:ind w:firstLine="450"/>
        <w:jc w:val="both"/>
      </w:pPr>
    </w:p>
    <w:p w14:paraId="64A8B777" w14:textId="77777777" w:rsidR="008D6614" w:rsidRDefault="00866AF2">
      <w:pPr>
        <w:ind w:firstLine="450"/>
        <w:jc w:val="both"/>
      </w:pPr>
      <w:r>
        <w:rPr>
          <w:rFonts w:ascii="Arial" w:eastAsia="宋体" w:hAnsi="Arial" w:cs="Arial"/>
          <w:color w:val="000000"/>
          <w:sz w:val="20"/>
          <w:szCs w:val="20"/>
        </w:rPr>
        <w:t>In addition, in October 2019 we announced that our op</w:t>
      </w:r>
      <w:r>
        <w:rPr>
          <w:rFonts w:ascii="Arial" w:eastAsia="宋体" w:hAnsi="Arial" w:cs="Arial"/>
          <w:color w:val="000000"/>
          <w:sz w:val="20"/>
          <w:szCs w:val="20"/>
        </w:rPr>
        <w:t>erating review has resulted in a three-year plan for operating efficiency, which is expected to enhance our operating margins and create capacity for reinvestment initiatives. The execution of this plan is subject to various risks and uncertainties, and th</w:t>
      </w:r>
      <w:r>
        <w:rPr>
          <w:rFonts w:ascii="Arial" w:eastAsia="宋体" w:hAnsi="Arial" w:cs="Arial"/>
          <w:color w:val="000000"/>
          <w:sz w:val="20"/>
          <w:szCs w:val="20"/>
        </w:rPr>
        <w:t>ere can be no assurance that we will be able to achieve the anticipated results of this plan.</w:t>
      </w:r>
    </w:p>
    <w:p w14:paraId="64A8B778" w14:textId="77777777" w:rsidR="008D6614" w:rsidRDefault="008D6614">
      <w:pPr>
        <w:ind w:firstLine="450"/>
        <w:jc w:val="both"/>
      </w:pPr>
    </w:p>
    <w:p w14:paraId="64A8B779" w14:textId="77777777" w:rsidR="008D6614" w:rsidRDefault="00866AF2">
      <w:pPr>
        <w:ind w:firstLine="450"/>
        <w:jc w:val="both"/>
      </w:pPr>
      <w:r>
        <w:rPr>
          <w:rFonts w:ascii="Arial" w:eastAsia="宋体" w:hAnsi="Arial" w:cs="Arial"/>
          <w:i/>
          <w:iCs/>
          <w:color w:val="000000"/>
          <w:sz w:val="20"/>
          <w:szCs w:val="20"/>
        </w:rPr>
        <w:t>Our success largely depends on key personnel. Because competition for our key employees is intense, we may not be able to attract, retain, and develop the highly</w:t>
      </w:r>
      <w:r>
        <w:rPr>
          <w:rFonts w:ascii="Arial" w:eastAsia="宋体" w:hAnsi="Arial" w:cs="Arial"/>
          <w:i/>
          <w:iCs/>
          <w:color w:val="000000"/>
          <w:sz w:val="20"/>
          <w:szCs w:val="20"/>
        </w:rPr>
        <w:t xml:space="preserve"> skilled employees we need to support our business. The loss of senior management or other key personnel could harm our business.</w:t>
      </w:r>
    </w:p>
    <w:p w14:paraId="64A8B77A" w14:textId="77777777" w:rsidR="008D6614" w:rsidRDefault="008D6614">
      <w:pPr>
        <w:ind w:firstLine="450"/>
        <w:jc w:val="both"/>
      </w:pPr>
    </w:p>
    <w:p w14:paraId="64A8B77B" w14:textId="77777777" w:rsidR="008D6614" w:rsidRDefault="00866AF2">
      <w:pPr>
        <w:ind w:firstLine="450"/>
        <w:jc w:val="both"/>
      </w:pPr>
      <w:r>
        <w:rPr>
          <w:rFonts w:ascii="Arial" w:eastAsia="宋体" w:hAnsi="Arial" w:cs="Arial"/>
          <w:color w:val="000000"/>
          <w:sz w:val="20"/>
          <w:szCs w:val="20"/>
        </w:rPr>
        <w:t>Our future performance depends substantially on the continued services of our senior management and other key personnel, incl</w:t>
      </w:r>
      <w:r>
        <w:rPr>
          <w:rFonts w:ascii="Arial" w:eastAsia="宋体" w:hAnsi="Arial" w:cs="Arial"/>
          <w:color w:val="000000"/>
          <w:sz w:val="20"/>
          <w:szCs w:val="20"/>
        </w:rPr>
        <w:t xml:space="preserve">uding key engineering and product development personnel, and our ability to attract, retain, and motivate key personnel. Competition for key personnel is intense, especially in the Silicon Valley where our corporate headquarters are located, and we may be </w:t>
      </w:r>
      <w:r>
        <w:rPr>
          <w:rFonts w:ascii="Arial" w:eastAsia="宋体" w:hAnsi="Arial" w:cs="Arial"/>
          <w:color w:val="000000"/>
          <w:sz w:val="20"/>
          <w:szCs w:val="20"/>
        </w:rPr>
        <w:t xml:space="preserve">unable to successfully attract, integrate, or retain sufficiently qualified key personnel. In making employment decisions, particularly in the Internet and high-technology industries, job candidates often consider the value of the equity awards they would </w:t>
      </w:r>
      <w:r>
        <w:rPr>
          <w:rFonts w:ascii="Arial" w:eastAsia="宋体" w:hAnsi="Arial" w:cs="Arial"/>
          <w:color w:val="000000"/>
          <w:sz w:val="20"/>
          <w:szCs w:val="20"/>
        </w:rPr>
        <w:t>receive in connection with their employment and fluctuations in our stock price may make it more difficult to attract, retain, and motivate employees. In addition, we do not have long-term employment agreements with any of our key personnel and do not main</w:t>
      </w:r>
      <w:r>
        <w:rPr>
          <w:rFonts w:ascii="Arial" w:eastAsia="宋体" w:hAnsi="Arial" w:cs="Arial"/>
          <w:color w:val="000000"/>
          <w:sz w:val="20"/>
          <w:szCs w:val="20"/>
        </w:rPr>
        <w:t>tain any “key person” life insurance policies. The loss of the services of any of our senior management or other key personnel, or our inability to attract highly qualified senior management and other key personnel, could harm our business.</w:t>
      </w:r>
    </w:p>
    <w:p w14:paraId="64A8B77C" w14:textId="77777777" w:rsidR="008D6614" w:rsidRDefault="008D6614">
      <w:pPr>
        <w:ind w:firstLine="450"/>
        <w:jc w:val="both"/>
      </w:pPr>
    </w:p>
    <w:p w14:paraId="64A8B77D" w14:textId="77777777" w:rsidR="008D6614" w:rsidRDefault="00866AF2">
      <w:pPr>
        <w:ind w:firstLine="450"/>
        <w:jc w:val="both"/>
      </w:pPr>
      <w:r>
        <w:rPr>
          <w:rFonts w:ascii="Arial" w:eastAsia="宋体" w:hAnsi="Arial" w:cs="Arial"/>
          <w:i/>
          <w:iCs/>
          <w:color w:val="000000"/>
          <w:sz w:val="20"/>
          <w:szCs w:val="20"/>
        </w:rPr>
        <w:t xml:space="preserve">Problems </w:t>
      </w:r>
      <w:r>
        <w:rPr>
          <w:rFonts w:ascii="Arial" w:eastAsia="宋体" w:hAnsi="Arial" w:cs="Arial"/>
          <w:i/>
          <w:iCs/>
          <w:color w:val="000000"/>
          <w:sz w:val="20"/>
          <w:szCs w:val="20"/>
        </w:rPr>
        <w:t>with or price increases by third parties who provide services to us or to our sellers could harm our business.</w:t>
      </w:r>
    </w:p>
    <w:p w14:paraId="64A8B77E" w14:textId="77777777" w:rsidR="008D6614" w:rsidRDefault="008D6614">
      <w:pPr>
        <w:ind w:firstLine="450"/>
        <w:jc w:val="both"/>
      </w:pPr>
    </w:p>
    <w:p w14:paraId="64A8B77F" w14:textId="77777777" w:rsidR="008D6614" w:rsidRDefault="00866AF2">
      <w:pPr>
        <w:ind w:firstLine="450"/>
        <w:jc w:val="both"/>
      </w:pPr>
      <w:r>
        <w:rPr>
          <w:rFonts w:ascii="Arial" w:eastAsia="宋体" w:hAnsi="Arial" w:cs="Arial"/>
          <w:color w:val="000000"/>
          <w:sz w:val="20"/>
          <w:szCs w:val="20"/>
        </w:rPr>
        <w:t>A number of third parties provide services to us or to our sellers. Such services include seller tools that automate and manage listings, mercha</w:t>
      </w:r>
      <w:r>
        <w:rPr>
          <w:rFonts w:ascii="Arial" w:eastAsia="宋体" w:hAnsi="Arial" w:cs="Arial"/>
          <w:color w:val="000000"/>
          <w:sz w:val="20"/>
          <w:szCs w:val="20"/>
        </w:rPr>
        <w:t>nt tools that manage listings and interface with inventory management software, storefronts that help our sellers list items and shipping providers that deliver goods sold on our platform, among others. Financial or regulatory issues, labor issues (e.g., s</w:t>
      </w:r>
      <w:r>
        <w:rPr>
          <w:rFonts w:ascii="Arial" w:eastAsia="宋体" w:hAnsi="Arial" w:cs="Arial"/>
          <w:color w:val="000000"/>
          <w:sz w:val="20"/>
          <w:szCs w:val="20"/>
        </w:rPr>
        <w:t>trikes, lockouts, or work stoppages), or other problems that prevent these companies from providing services to us or our sellers could harm our business.</w:t>
      </w:r>
    </w:p>
    <w:p w14:paraId="64A8B780" w14:textId="77777777" w:rsidR="008D6614" w:rsidRDefault="008D6614">
      <w:pPr>
        <w:ind w:firstLine="450"/>
        <w:jc w:val="both"/>
      </w:pPr>
    </w:p>
    <w:p w14:paraId="64A8B781" w14:textId="77777777" w:rsidR="008D6614" w:rsidRDefault="00866AF2">
      <w:pPr>
        <w:ind w:firstLine="450"/>
        <w:jc w:val="both"/>
      </w:pPr>
      <w:r>
        <w:rPr>
          <w:rFonts w:ascii="Arial" w:eastAsia="宋体" w:hAnsi="Arial" w:cs="Arial"/>
          <w:color w:val="000000"/>
          <w:sz w:val="20"/>
          <w:szCs w:val="20"/>
        </w:rPr>
        <w:t>Price increases by, or service terminations, disruptions or interruptions at, companies that provide</w:t>
      </w:r>
      <w:r>
        <w:rPr>
          <w:rFonts w:ascii="Arial" w:eastAsia="宋体" w:hAnsi="Arial" w:cs="Arial"/>
          <w:color w:val="000000"/>
          <w:sz w:val="20"/>
          <w:szCs w:val="20"/>
        </w:rPr>
        <w:t xml:space="preserve"> services to us and our sellers and clients could also reduce the number of listings on our platforms or make it more difficult for our sellers to complete transactions, thereby harming our business. Some third parties who provide services to us or our sel</w:t>
      </w:r>
      <w:r>
        <w:rPr>
          <w:rFonts w:ascii="Arial" w:eastAsia="宋体" w:hAnsi="Arial" w:cs="Arial"/>
          <w:color w:val="000000"/>
          <w:sz w:val="20"/>
          <w:szCs w:val="20"/>
        </w:rPr>
        <w:t>lers may have or gain market power and be able to increase their prices to us without competitive constraint. While we continue to work with global carriers to offer our sellers a variety of shipping options and to enhance their shipping experience, postal</w:t>
      </w:r>
      <w:r>
        <w:rPr>
          <w:rFonts w:ascii="Arial" w:eastAsia="宋体" w:hAnsi="Arial" w:cs="Arial"/>
          <w:color w:val="000000"/>
          <w:sz w:val="20"/>
          <w:szCs w:val="20"/>
        </w:rPr>
        <w:t xml:space="preserve"> rate increases may reduce the competitiveness of certain sellers’ offerings, and postal service changes could require certain sellers to utilize alternatives which could be more expensive or inconvenient, which could in turn decrease the number of transac</w:t>
      </w:r>
      <w:r>
        <w:rPr>
          <w:rFonts w:ascii="Arial" w:eastAsia="宋体" w:hAnsi="Arial" w:cs="Arial"/>
          <w:color w:val="000000"/>
          <w:sz w:val="20"/>
          <w:szCs w:val="20"/>
        </w:rPr>
        <w:t xml:space="preserve">tions on our sites, thereby harming our business. </w:t>
      </w:r>
    </w:p>
    <w:p w14:paraId="64A8B782" w14:textId="77777777" w:rsidR="008D6614" w:rsidRDefault="008D6614">
      <w:pPr>
        <w:ind w:firstLine="450"/>
        <w:jc w:val="both"/>
      </w:pPr>
    </w:p>
    <w:p w14:paraId="64A8B783" w14:textId="77777777" w:rsidR="008D6614" w:rsidRDefault="008D6614">
      <w:pPr>
        <w:jc w:val="center"/>
      </w:pPr>
    </w:p>
    <w:p w14:paraId="64A8B784" w14:textId="77777777" w:rsidR="008D6614" w:rsidRDefault="00866AF2">
      <w:pPr>
        <w:jc w:val="center"/>
      </w:pPr>
      <w:r>
        <w:rPr>
          <w:rFonts w:ascii="Arial" w:eastAsia="宋体" w:hAnsi="Arial" w:cs="Arial"/>
          <w:color w:val="000000"/>
          <w:sz w:val="20"/>
          <w:szCs w:val="20"/>
        </w:rPr>
        <w:t>68</w:t>
      </w:r>
    </w:p>
    <w:p w14:paraId="64A8B785" w14:textId="77777777" w:rsidR="008D6614" w:rsidRDefault="00866AF2">
      <w:r>
        <w:pict w14:anchorId="64A8BA21">
          <v:rect id="_x0000_i1092" style="width:415.3pt;height:1.5pt" o:hralign="center" o:hrstd="t" o:hr="t" fillcolor="#a0a0a0" stroked="f"/>
        </w:pict>
      </w:r>
    </w:p>
    <w:p w14:paraId="64A8B786" w14:textId="77777777" w:rsidR="008D6614" w:rsidRDefault="008D6614"/>
    <w:p w14:paraId="64A8B787" w14:textId="77777777" w:rsidR="008D6614" w:rsidRDefault="00866AF2">
      <w:pPr>
        <w:ind w:firstLine="450"/>
        <w:jc w:val="both"/>
      </w:pPr>
      <w:r>
        <w:rPr>
          <w:rFonts w:ascii="Arial" w:eastAsia="宋体" w:hAnsi="Arial" w:cs="Arial"/>
          <w:color w:val="000000"/>
          <w:sz w:val="20"/>
          <w:szCs w:val="20"/>
        </w:rPr>
        <w:t>We have outsourced certain functions to third-party providers, including some customer support and product development functions, which are critical to our operations. If our service providers do n</w:t>
      </w:r>
      <w:r>
        <w:rPr>
          <w:rFonts w:ascii="Arial" w:eastAsia="宋体" w:hAnsi="Arial" w:cs="Arial"/>
          <w:color w:val="000000"/>
          <w:sz w:val="20"/>
          <w:szCs w:val="20"/>
        </w:rPr>
        <w:t>ot perform satisfactorily, our operations could be disrupted, which could result in user dissatisfaction and could harm our business.</w:t>
      </w:r>
    </w:p>
    <w:p w14:paraId="64A8B788" w14:textId="77777777" w:rsidR="008D6614" w:rsidRDefault="008D6614">
      <w:pPr>
        <w:ind w:firstLine="450"/>
        <w:jc w:val="both"/>
      </w:pPr>
    </w:p>
    <w:p w14:paraId="64A8B789" w14:textId="77777777" w:rsidR="008D6614" w:rsidRDefault="00866AF2">
      <w:pPr>
        <w:ind w:firstLine="450"/>
        <w:jc w:val="both"/>
      </w:pPr>
      <w:r>
        <w:rPr>
          <w:rFonts w:ascii="Arial" w:eastAsia="宋体" w:hAnsi="Arial" w:cs="Arial"/>
          <w:color w:val="000000"/>
          <w:sz w:val="20"/>
          <w:szCs w:val="20"/>
        </w:rPr>
        <w:t xml:space="preserve">There can be no assurance that third parties who provide services directly to us or our sellers will continue to do so on acceptable terms, or at all. If any third parties were to stop providing services to us or our sellers on acceptable terms, including </w:t>
      </w:r>
      <w:r>
        <w:rPr>
          <w:rFonts w:ascii="Arial" w:eastAsia="宋体" w:hAnsi="Arial" w:cs="Arial"/>
          <w:color w:val="000000"/>
          <w:sz w:val="20"/>
          <w:szCs w:val="20"/>
        </w:rPr>
        <w:t xml:space="preserve">as a result of bankruptcy, we may be unable to procure alternatives from other third parties in a timely and efficient manner and on acceptable terms, or at all. </w:t>
      </w:r>
    </w:p>
    <w:p w14:paraId="64A8B78A" w14:textId="77777777" w:rsidR="008D6614" w:rsidRDefault="008D6614">
      <w:pPr>
        <w:ind w:firstLine="450"/>
        <w:jc w:val="both"/>
      </w:pPr>
    </w:p>
    <w:p w14:paraId="64A8B78B" w14:textId="77777777" w:rsidR="008D6614" w:rsidRDefault="00866AF2">
      <w:pPr>
        <w:ind w:firstLine="450"/>
        <w:jc w:val="both"/>
      </w:pPr>
      <w:r>
        <w:rPr>
          <w:rFonts w:ascii="Arial" w:eastAsia="宋体" w:hAnsi="Arial" w:cs="Arial"/>
          <w:i/>
          <w:iCs/>
          <w:color w:val="000000"/>
          <w:sz w:val="20"/>
          <w:szCs w:val="20"/>
        </w:rPr>
        <w:t xml:space="preserve">Our developer platforms, which are open to merchants and third-party developers, subject us </w:t>
      </w:r>
      <w:r>
        <w:rPr>
          <w:rFonts w:ascii="Arial" w:eastAsia="宋体" w:hAnsi="Arial" w:cs="Arial"/>
          <w:i/>
          <w:iCs/>
          <w:color w:val="000000"/>
          <w:sz w:val="20"/>
          <w:szCs w:val="20"/>
        </w:rPr>
        <w:t>to additional risks.</w:t>
      </w:r>
    </w:p>
    <w:p w14:paraId="64A8B78C" w14:textId="77777777" w:rsidR="008D6614" w:rsidRDefault="008D6614">
      <w:pPr>
        <w:ind w:firstLine="450"/>
        <w:jc w:val="both"/>
      </w:pPr>
    </w:p>
    <w:p w14:paraId="64A8B78D" w14:textId="77777777" w:rsidR="008D6614" w:rsidRDefault="00866AF2">
      <w:pPr>
        <w:ind w:firstLine="450"/>
        <w:jc w:val="both"/>
      </w:pPr>
      <w:r>
        <w:rPr>
          <w:rFonts w:ascii="Arial" w:eastAsia="宋体" w:hAnsi="Arial" w:cs="Arial"/>
          <w:color w:val="000000"/>
          <w:sz w:val="20"/>
          <w:szCs w:val="20"/>
        </w:rPr>
        <w:t>We provide third-party developers with access to application programming interfaces, software development kits and other tools designed to allow them to produce applications for use, with a particular focus on mobile applications. The</w:t>
      </w:r>
      <w:r>
        <w:rPr>
          <w:rFonts w:ascii="Arial" w:eastAsia="宋体" w:hAnsi="Arial" w:cs="Arial"/>
          <w:color w:val="000000"/>
          <w:sz w:val="20"/>
          <w:szCs w:val="20"/>
        </w:rPr>
        <w:t>re can be no assurance that merchants or third-party developers will develop and maintain applications and services on our open platforms on a timely basis or at all, and a number of factors could cause such third-party developers to curtail or stop develo</w:t>
      </w:r>
      <w:r>
        <w:rPr>
          <w:rFonts w:ascii="Arial" w:eastAsia="宋体" w:hAnsi="Arial" w:cs="Arial"/>
          <w:color w:val="000000"/>
          <w:sz w:val="20"/>
          <w:szCs w:val="20"/>
        </w:rPr>
        <w:t>pment for our platforms. In addition, our business is subject to many regulatory restrictions. It is possible that merchants and third-party developers who utilize our development platforms or tools could violate these regulatory restrictions and we may be</w:t>
      </w:r>
      <w:r>
        <w:rPr>
          <w:rFonts w:ascii="Arial" w:eastAsia="宋体" w:hAnsi="Arial" w:cs="Arial"/>
          <w:color w:val="000000"/>
          <w:sz w:val="20"/>
          <w:szCs w:val="20"/>
        </w:rPr>
        <w:t xml:space="preserve"> held responsible for such violations, which could harm our business.</w:t>
      </w:r>
    </w:p>
    <w:p w14:paraId="64A8B78E" w14:textId="77777777" w:rsidR="008D6614" w:rsidRDefault="008D6614">
      <w:pPr>
        <w:jc w:val="both"/>
      </w:pPr>
    </w:p>
    <w:p w14:paraId="64A8B78F" w14:textId="77777777" w:rsidR="008D6614" w:rsidRDefault="00866AF2">
      <w:pPr>
        <w:ind w:firstLine="450"/>
        <w:jc w:val="both"/>
      </w:pPr>
      <w:r>
        <w:rPr>
          <w:rFonts w:ascii="Arial" w:eastAsia="宋体" w:hAnsi="Arial" w:cs="Arial"/>
          <w:i/>
          <w:iCs/>
          <w:color w:val="000000"/>
          <w:sz w:val="20"/>
          <w:szCs w:val="20"/>
        </w:rPr>
        <w:t>We cannot provide assurance that we will continue to pay dividends on our common stock.</w:t>
      </w:r>
    </w:p>
    <w:p w14:paraId="64A8B790" w14:textId="77777777" w:rsidR="008D6614" w:rsidRDefault="008D6614">
      <w:pPr>
        <w:ind w:firstLine="450"/>
        <w:jc w:val="both"/>
      </w:pPr>
    </w:p>
    <w:p w14:paraId="64A8B791" w14:textId="77777777" w:rsidR="008D6614" w:rsidRDefault="00866AF2">
      <w:pPr>
        <w:ind w:firstLine="450"/>
        <w:jc w:val="both"/>
      </w:pPr>
      <w:r>
        <w:rPr>
          <w:rFonts w:ascii="Arial" w:eastAsia="宋体" w:hAnsi="Arial" w:cs="Arial"/>
          <w:color w:val="000000"/>
          <w:sz w:val="20"/>
          <w:szCs w:val="20"/>
        </w:rPr>
        <w:t>In January 2019, we initiated a quarterly cash dividend on our common stock. The timing, declara</w:t>
      </w:r>
      <w:r>
        <w:rPr>
          <w:rFonts w:ascii="Arial" w:eastAsia="宋体" w:hAnsi="Arial" w:cs="Arial"/>
          <w:color w:val="000000"/>
          <w:sz w:val="20"/>
          <w:szCs w:val="20"/>
        </w:rPr>
        <w:t>tion, amount and payment of any future dividends fall within the discretion of our Board of Directors and will depend on many factors, including our available cash, working capital, financial condition, results of operations, capital requirements, covenant</w:t>
      </w:r>
      <w:r>
        <w:rPr>
          <w:rFonts w:ascii="Arial" w:eastAsia="宋体" w:hAnsi="Arial" w:cs="Arial"/>
          <w:color w:val="000000"/>
          <w:sz w:val="20"/>
          <w:szCs w:val="20"/>
        </w:rPr>
        <w:t>s in our debt instruments, applicable law and other considerations that our Board of Directors considers relevant. A reduction in the amount of cash dividends on our common stock, the suspension of those dividends or a failure to meet market expectations r</w:t>
      </w:r>
      <w:r>
        <w:rPr>
          <w:rFonts w:ascii="Arial" w:eastAsia="宋体" w:hAnsi="Arial" w:cs="Arial"/>
          <w:color w:val="000000"/>
          <w:sz w:val="20"/>
          <w:szCs w:val="20"/>
        </w:rPr>
        <w:t>egarding potential dividend increases could have a material adverse effect on the market price of our common stock. If we do not pay cash dividends on our common stock in the future, realization of a gain on an investment in our common stock will depend en</w:t>
      </w:r>
      <w:r>
        <w:rPr>
          <w:rFonts w:ascii="Arial" w:eastAsia="宋体" w:hAnsi="Arial" w:cs="Arial"/>
          <w:color w:val="000000"/>
          <w:sz w:val="20"/>
          <w:szCs w:val="20"/>
        </w:rPr>
        <w:t>tirely on the appreciation of the price of our common stock, which may not occur.</w:t>
      </w:r>
    </w:p>
    <w:p w14:paraId="64A8B792" w14:textId="77777777" w:rsidR="008D6614" w:rsidRDefault="008D6614">
      <w:pPr>
        <w:ind w:firstLine="450"/>
        <w:jc w:val="both"/>
      </w:pPr>
    </w:p>
    <w:p w14:paraId="64A8B793" w14:textId="77777777" w:rsidR="008D6614" w:rsidRDefault="00866AF2">
      <w:pPr>
        <w:ind w:firstLine="450"/>
        <w:jc w:val="both"/>
      </w:pPr>
      <w:r>
        <w:rPr>
          <w:rFonts w:ascii="Arial" w:eastAsia="宋体" w:hAnsi="Arial" w:cs="Arial"/>
          <w:i/>
          <w:iCs/>
          <w:color w:val="000000"/>
          <w:sz w:val="20"/>
          <w:szCs w:val="20"/>
        </w:rPr>
        <w:t>We could incur significant liability if the Distribution is determined to be a taxable transaction.</w:t>
      </w:r>
    </w:p>
    <w:p w14:paraId="64A8B794" w14:textId="77777777" w:rsidR="008D6614" w:rsidRDefault="008D6614">
      <w:pPr>
        <w:jc w:val="both"/>
      </w:pPr>
    </w:p>
    <w:p w14:paraId="64A8B795" w14:textId="77777777" w:rsidR="008D6614" w:rsidRDefault="00866AF2">
      <w:pPr>
        <w:ind w:firstLine="450"/>
        <w:jc w:val="both"/>
      </w:pPr>
      <w:r>
        <w:rPr>
          <w:rFonts w:ascii="Arial" w:eastAsia="宋体" w:hAnsi="Arial" w:cs="Arial"/>
          <w:color w:val="000000"/>
          <w:sz w:val="20"/>
          <w:szCs w:val="20"/>
        </w:rPr>
        <w:t xml:space="preserve">We have received an opinion from outside tax counsel to the effect that </w:t>
      </w:r>
      <w:r>
        <w:rPr>
          <w:rFonts w:ascii="Arial" w:eastAsia="宋体" w:hAnsi="Arial" w:cs="Arial"/>
          <w:color w:val="000000"/>
          <w:sz w:val="20"/>
          <w:szCs w:val="20"/>
        </w:rPr>
        <w:t>our distribution of 100% of the outstanding common stock of PayPal to our stockholders on July 17, 2015 (the “Distribution”) qualifies as a transaction that is described in Sections 355 and 368(a)(1)(D) of the Internal Revenue Code. The opinion relies on c</w:t>
      </w:r>
      <w:r>
        <w:rPr>
          <w:rFonts w:ascii="Arial" w:eastAsia="宋体" w:hAnsi="Arial" w:cs="Arial"/>
          <w:color w:val="000000"/>
          <w:sz w:val="20"/>
          <w:szCs w:val="20"/>
        </w:rPr>
        <w:t>ertain facts, assumptions, representations and undertakings from PayPal and us regarding the past and future conduct of the companies’ respective businesses and other matters. If any of these facts, assumptions, representations or undertakings are incorrec</w:t>
      </w:r>
      <w:r>
        <w:rPr>
          <w:rFonts w:ascii="Arial" w:eastAsia="宋体" w:hAnsi="Arial" w:cs="Arial"/>
          <w:color w:val="000000"/>
          <w:sz w:val="20"/>
          <w:szCs w:val="20"/>
        </w:rPr>
        <w:t>t or not satisfied, our stockholders and we may not be able to rely on the opinion of tax counsel and could be subject to significant tax liabilities. Notwithstanding the opinion of tax counsel we have received, the IRS could determine on audit that the Di</w:t>
      </w:r>
      <w:r>
        <w:rPr>
          <w:rFonts w:ascii="Arial" w:eastAsia="宋体" w:hAnsi="Arial" w:cs="Arial"/>
          <w:color w:val="000000"/>
          <w:sz w:val="20"/>
          <w:szCs w:val="20"/>
        </w:rPr>
        <w:t>stribution is taxable if it determines that any of these facts, assumptions, representations or undertakings are not correct or have been violated or if it disagrees with the conclusions in the opinion. If the Distribution is determined to be taxable for U</w:t>
      </w:r>
      <w:r>
        <w:rPr>
          <w:rFonts w:ascii="Arial" w:eastAsia="宋体" w:hAnsi="Arial" w:cs="Arial"/>
          <w:color w:val="000000"/>
          <w:sz w:val="20"/>
          <w:szCs w:val="20"/>
        </w:rPr>
        <w:t>.S. federal income tax purposes, our stockholders that are subject to U.S. federal income tax and we could incur significant U.S. federal income tax liabilities.</w:t>
      </w:r>
    </w:p>
    <w:p w14:paraId="64A8B796" w14:textId="77777777" w:rsidR="008D6614" w:rsidRDefault="008D6614">
      <w:pPr>
        <w:ind w:firstLine="495"/>
        <w:jc w:val="both"/>
      </w:pPr>
    </w:p>
    <w:p w14:paraId="64A8B797" w14:textId="77777777" w:rsidR="008D6614" w:rsidRDefault="00866AF2">
      <w:pPr>
        <w:ind w:firstLine="450"/>
        <w:jc w:val="both"/>
      </w:pPr>
      <w:r>
        <w:rPr>
          <w:rFonts w:ascii="Arial" w:eastAsia="宋体" w:hAnsi="Arial" w:cs="Arial"/>
          <w:i/>
          <w:iCs/>
          <w:color w:val="000000"/>
          <w:sz w:val="20"/>
          <w:szCs w:val="20"/>
        </w:rPr>
        <w:t>We may be exposed to claims and liabilities as a result of the Distribution.</w:t>
      </w:r>
    </w:p>
    <w:p w14:paraId="64A8B798" w14:textId="77777777" w:rsidR="008D6614" w:rsidRDefault="008D6614">
      <w:pPr>
        <w:jc w:val="both"/>
      </w:pPr>
    </w:p>
    <w:p w14:paraId="64A8B799" w14:textId="77777777" w:rsidR="008D6614" w:rsidRDefault="00866AF2">
      <w:pPr>
        <w:ind w:firstLine="450"/>
        <w:jc w:val="both"/>
      </w:pPr>
      <w:r>
        <w:rPr>
          <w:rFonts w:ascii="Arial" w:eastAsia="宋体" w:hAnsi="Arial" w:cs="Arial"/>
          <w:color w:val="000000"/>
          <w:sz w:val="20"/>
          <w:szCs w:val="20"/>
        </w:rPr>
        <w:t>We entered into</w:t>
      </w:r>
      <w:r>
        <w:rPr>
          <w:rFonts w:ascii="Arial" w:eastAsia="宋体" w:hAnsi="Arial" w:cs="Arial"/>
          <w:color w:val="000000"/>
          <w:sz w:val="20"/>
          <w:szCs w:val="20"/>
        </w:rPr>
        <w:t xml:space="preserve"> a separation and distribution agreement and various other agreements with PayPal to govern the Distribution and the relationship of the two companies. These agreements provide for specific indemnity and liability obligations and could lead to disputes bet</w:t>
      </w:r>
      <w:r>
        <w:rPr>
          <w:rFonts w:ascii="Arial" w:eastAsia="宋体" w:hAnsi="Arial" w:cs="Arial"/>
          <w:color w:val="000000"/>
          <w:sz w:val="20"/>
          <w:szCs w:val="20"/>
        </w:rPr>
        <w:t xml:space="preserve">ween us and PayPal. The indemnity rights we have against PayPal under the agreements may not be sufficient to protect us. In addition, our indemnity obligations to PayPal may be significant and these risks could negatively affect our results of operations </w:t>
      </w:r>
      <w:r>
        <w:rPr>
          <w:rFonts w:ascii="Arial" w:eastAsia="宋体" w:hAnsi="Arial" w:cs="Arial"/>
          <w:color w:val="000000"/>
          <w:sz w:val="20"/>
          <w:szCs w:val="20"/>
        </w:rPr>
        <w:t>and financial condition.</w:t>
      </w:r>
    </w:p>
    <w:p w14:paraId="64A8B79A" w14:textId="77777777" w:rsidR="008D6614" w:rsidRDefault="008D6614">
      <w:pPr>
        <w:ind w:firstLine="450"/>
        <w:jc w:val="both"/>
      </w:pPr>
    </w:p>
    <w:p w14:paraId="64A8B79B" w14:textId="77777777" w:rsidR="008D6614" w:rsidRDefault="008D6614">
      <w:pPr>
        <w:jc w:val="center"/>
      </w:pPr>
    </w:p>
    <w:p w14:paraId="64A8B79C" w14:textId="77777777" w:rsidR="008D6614" w:rsidRDefault="00866AF2">
      <w:pPr>
        <w:jc w:val="center"/>
      </w:pPr>
      <w:r>
        <w:rPr>
          <w:rFonts w:ascii="Arial" w:eastAsia="宋体" w:hAnsi="Arial" w:cs="Arial"/>
          <w:color w:val="000000"/>
          <w:sz w:val="20"/>
          <w:szCs w:val="20"/>
        </w:rPr>
        <w:t>69</w:t>
      </w:r>
    </w:p>
    <w:p w14:paraId="64A8B79D" w14:textId="77777777" w:rsidR="008D6614" w:rsidRDefault="00866AF2">
      <w:r>
        <w:pict w14:anchorId="64A8BA22">
          <v:rect id="_x0000_i1093" style="width:415.3pt;height:1.5pt" o:hralign="center" o:hrstd="t" o:hr="t" fillcolor="#a0a0a0" stroked="f"/>
        </w:pict>
      </w:r>
    </w:p>
    <w:p w14:paraId="64A8B79E" w14:textId="77777777" w:rsidR="008D6614" w:rsidRDefault="008D6614"/>
    <w:p w14:paraId="64A8B79F" w14:textId="77777777" w:rsidR="008D6614" w:rsidRDefault="00866AF2">
      <w:pPr>
        <w:ind w:hanging="1080"/>
      </w:pPr>
      <w:r>
        <w:rPr>
          <w:rFonts w:ascii="Arial" w:eastAsia="宋体" w:hAnsi="Arial" w:cs="Arial"/>
          <w:b/>
          <w:bCs/>
          <w:color w:val="000000"/>
          <w:sz w:val="20"/>
          <w:szCs w:val="20"/>
        </w:rPr>
        <w:t>Item 2:</w:t>
      </w:r>
      <w:r>
        <w:rPr>
          <w:rFonts w:ascii="Arial" w:eastAsia="宋体" w:hAnsi="Arial" w:cs="Arial"/>
          <w:color w:val="000000"/>
          <w:sz w:val="20"/>
          <w:szCs w:val="20"/>
        </w:rPr>
        <w:t> </w:t>
      </w:r>
      <w:r>
        <w:rPr>
          <w:rFonts w:ascii="Arial" w:eastAsia="宋体" w:hAnsi="Arial" w:cs="Arial"/>
          <w:b/>
          <w:bCs/>
          <w:color w:val="000000"/>
          <w:sz w:val="20"/>
          <w:szCs w:val="20"/>
        </w:rPr>
        <w:t>Unregistered Sales of Equity Securities and Use of Proceeds</w:t>
      </w:r>
    </w:p>
    <w:p w14:paraId="64A8B7A0" w14:textId="77777777" w:rsidR="008D6614" w:rsidRDefault="008D6614">
      <w:pPr>
        <w:ind w:hanging="1080"/>
      </w:pPr>
    </w:p>
    <w:p w14:paraId="64A8B7A1" w14:textId="77777777" w:rsidR="008D6614" w:rsidRDefault="00866AF2">
      <w:pPr>
        <w:ind w:firstLine="450"/>
      </w:pPr>
      <w:r>
        <w:rPr>
          <w:rFonts w:ascii="Arial" w:eastAsia="宋体" w:hAnsi="Arial" w:cs="Arial"/>
          <w:color w:val="000000"/>
          <w:sz w:val="20"/>
          <w:szCs w:val="20"/>
        </w:rPr>
        <w:t>Stock repurchase activity during the three months ended March 31, 2020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2693"/>
        <w:gridCol w:w="52"/>
        <w:gridCol w:w="36"/>
        <w:gridCol w:w="36"/>
        <w:gridCol w:w="36"/>
        <w:gridCol w:w="70"/>
        <w:gridCol w:w="950"/>
        <w:gridCol w:w="83"/>
        <w:gridCol w:w="37"/>
        <w:gridCol w:w="182"/>
        <w:gridCol w:w="36"/>
        <w:gridCol w:w="130"/>
        <w:gridCol w:w="986"/>
        <w:gridCol w:w="83"/>
        <w:gridCol w:w="58"/>
        <w:gridCol w:w="60"/>
        <w:gridCol w:w="57"/>
        <w:gridCol w:w="36"/>
        <w:gridCol w:w="36"/>
        <w:gridCol w:w="36"/>
        <w:gridCol w:w="69"/>
        <w:gridCol w:w="969"/>
        <w:gridCol w:w="83"/>
        <w:gridCol w:w="36"/>
        <w:gridCol w:w="36"/>
        <w:gridCol w:w="36"/>
        <w:gridCol w:w="130"/>
        <w:gridCol w:w="1150"/>
        <w:gridCol w:w="83"/>
      </w:tblGrid>
      <w:tr w:rsidR="008D6614" w14:paraId="64A8B7C0" w14:textId="77777777">
        <w:trPr>
          <w:jc w:val="center"/>
        </w:trPr>
        <w:tc>
          <w:tcPr>
            <w:tcW w:w="50" w:type="pct"/>
            <w:shd w:val="clear" w:color="auto" w:fill="auto"/>
            <w:vAlign w:val="center"/>
          </w:tcPr>
          <w:p w14:paraId="64A8B7A2" w14:textId="77777777" w:rsidR="008D6614" w:rsidRDefault="008D6614">
            <w:pPr>
              <w:rPr>
                <w:rFonts w:ascii="宋体"/>
              </w:rPr>
            </w:pPr>
          </w:p>
        </w:tc>
        <w:tc>
          <w:tcPr>
            <w:tcW w:w="1632" w:type="pct"/>
            <w:shd w:val="clear" w:color="auto" w:fill="auto"/>
            <w:vAlign w:val="center"/>
          </w:tcPr>
          <w:p w14:paraId="64A8B7A3" w14:textId="77777777" w:rsidR="008D6614" w:rsidRDefault="008D6614">
            <w:pPr>
              <w:rPr>
                <w:rFonts w:ascii="宋体"/>
              </w:rPr>
            </w:pPr>
          </w:p>
        </w:tc>
        <w:tc>
          <w:tcPr>
            <w:tcW w:w="50" w:type="pct"/>
            <w:shd w:val="clear" w:color="auto" w:fill="auto"/>
            <w:vAlign w:val="center"/>
          </w:tcPr>
          <w:p w14:paraId="64A8B7A4" w14:textId="77777777" w:rsidR="008D6614" w:rsidRDefault="008D6614">
            <w:pPr>
              <w:rPr>
                <w:rFonts w:ascii="宋体"/>
              </w:rPr>
            </w:pPr>
          </w:p>
        </w:tc>
        <w:tc>
          <w:tcPr>
            <w:tcW w:w="5" w:type="pct"/>
            <w:shd w:val="clear" w:color="auto" w:fill="auto"/>
            <w:vAlign w:val="center"/>
          </w:tcPr>
          <w:p w14:paraId="64A8B7A5" w14:textId="77777777" w:rsidR="008D6614" w:rsidRDefault="008D6614">
            <w:pPr>
              <w:rPr>
                <w:rFonts w:ascii="宋体"/>
              </w:rPr>
            </w:pPr>
          </w:p>
        </w:tc>
        <w:tc>
          <w:tcPr>
            <w:tcW w:w="26" w:type="pct"/>
            <w:shd w:val="clear" w:color="auto" w:fill="auto"/>
            <w:vAlign w:val="center"/>
          </w:tcPr>
          <w:p w14:paraId="64A8B7A6" w14:textId="77777777" w:rsidR="008D6614" w:rsidRDefault="008D6614">
            <w:pPr>
              <w:rPr>
                <w:rFonts w:ascii="宋体"/>
              </w:rPr>
            </w:pPr>
          </w:p>
        </w:tc>
        <w:tc>
          <w:tcPr>
            <w:tcW w:w="5" w:type="pct"/>
            <w:shd w:val="clear" w:color="auto" w:fill="auto"/>
            <w:vAlign w:val="center"/>
          </w:tcPr>
          <w:p w14:paraId="64A8B7A7" w14:textId="77777777" w:rsidR="008D6614" w:rsidRDefault="008D6614">
            <w:pPr>
              <w:rPr>
                <w:rFonts w:ascii="宋体"/>
              </w:rPr>
            </w:pPr>
          </w:p>
        </w:tc>
        <w:tc>
          <w:tcPr>
            <w:tcW w:w="50" w:type="pct"/>
            <w:shd w:val="clear" w:color="auto" w:fill="auto"/>
            <w:vAlign w:val="center"/>
          </w:tcPr>
          <w:p w14:paraId="64A8B7A8" w14:textId="77777777" w:rsidR="008D6614" w:rsidRDefault="008D6614">
            <w:pPr>
              <w:rPr>
                <w:rFonts w:ascii="宋体"/>
              </w:rPr>
            </w:pPr>
          </w:p>
        </w:tc>
        <w:tc>
          <w:tcPr>
            <w:tcW w:w="609" w:type="pct"/>
            <w:shd w:val="clear" w:color="auto" w:fill="auto"/>
            <w:vAlign w:val="center"/>
          </w:tcPr>
          <w:p w14:paraId="64A8B7A9" w14:textId="77777777" w:rsidR="008D6614" w:rsidRDefault="008D6614">
            <w:pPr>
              <w:rPr>
                <w:rFonts w:ascii="宋体"/>
              </w:rPr>
            </w:pPr>
          </w:p>
        </w:tc>
        <w:tc>
          <w:tcPr>
            <w:tcW w:w="50" w:type="pct"/>
            <w:shd w:val="clear" w:color="auto" w:fill="auto"/>
            <w:vAlign w:val="center"/>
          </w:tcPr>
          <w:p w14:paraId="64A8B7AA" w14:textId="77777777" w:rsidR="008D6614" w:rsidRDefault="008D6614">
            <w:pPr>
              <w:rPr>
                <w:rFonts w:ascii="宋体"/>
              </w:rPr>
            </w:pPr>
          </w:p>
        </w:tc>
        <w:tc>
          <w:tcPr>
            <w:tcW w:w="5" w:type="pct"/>
            <w:shd w:val="clear" w:color="auto" w:fill="auto"/>
            <w:vAlign w:val="center"/>
          </w:tcPr>
          <w:p w14:paraId="64A8B7AB" w14:textId="77777777" w:rsidR="008D6614" w:rsidRDefault="008D6614">
            <w:pPr>
              <w:rPr>
                <w:rFonts w:ascii="宋体"/>
              </w:rPr>
            </w:pPr>
          </w:p>
        </w:tc>
        <w:tc>
          <w:tcPr>
            <w:tcW w:w="128" w:type="pct"/>
            <w:shd w:val="clear" w:color="auto" w:fill="auto"/>
            <w:vAlign w:val="center"/>
          </w:tcPr>
          <w:p w14:paraId="64A8B7AC" w14:textId="77777777" w:rsidR="008D6614" w:rsidRDefault="008D6614">
            <w:pPr>
              <w:rPr>
                <w:rFonts w:ascii="宋体"/>
              </w:rPr>
            </w:pPr>
          </w:p>
        </w:tc>
        <w:tc>
          <w:tcPr>
            <w:tcW w:w="5" w:type="pct"/>
            <w:shd w:val="clear" w:color="auto" w:fill="auto"/>
            <w:vAlign w:val="center"/>
          </w:tcPr>
          <w:p w14:paraId="64A8B7AD" w14:textId="77777777" w:rsidR="008D6614" w:rsidRDefault="008D6614">
            <w:pPr>
              <w:rPr>
                <w:rFonts w:ascii="宋体"/>
              </w:rPr>
            </w:pPr>
          </w:p>
        </w:tc>
        <w:tc>
          <w:tcPr>
            <w:tcW w:w="50" w:type="pct"/>
            <w:shd w:val="clear" w:color="auto" w:fill="auto"/>
            <w:vAlign w:val="center"/>
          </w:tcPr>
          <w:p w14:paraId="64A8B7AE" w14:textId="77777777" w:rsidR="008D6614" w:rsidRDefault="008D6614">
            <w:pPr>
              <w:rPr>
                <w:rFonts w:ascii="宋体"/>
              </w:rPr>
            </w:pPr>
          </w:p>
        </w:tc>
        <w:tc>
          <w:tcPr>
            <w:tcW w:w="609" w:type="pct"/>
            <w:shd w:val="clear" w:color="auto" w:fill="auto"/>
            <w:vAlign w:val="center"/>
          </w:tcPr>
          <w:p w14:paraId="64A8B7AF" w14:textId="77777777" w:rsidR="008D6614" w:rsidRDefault="008D6614">
            <w:pPr>
              <w:rPr>
                <w:rFonts w:ascii="宋体"/>
              </w:rPr>
            </w:pPr>
          </w:p>
        </w:tc>
        <w:tc>
          <w:tcPr>
            <w:tcW w:w="50" w:type="pct"/>
            <w:shd w:val="clear" w:color="auto" w:fill="auto"/>
            <w:vAlign w:val="center"/>
          </w:tcPr>
          <w:p w14:paraId="64A8B7B0" w14:textId="77777777" w:rsidR="008D6614" w:rsidRDefault="008D6614">
            <w:pPr>
              <w:rPr>
                <w:rFonts w:ascii="宋体"/>
              </w:rPr>
            </w:pPr>
          </w:p>
        </w:tc>
        <w:tc>
          <w:tcPr>
            <w:tcW w:w="50" w:type="pct"/>
            <w:shd w:val="clear" w:color="auto" w:fill="auto"/>
            <w:vAlign w:val="center"/>
          </w:tcPr>
          <w:p w14:paraId="64A8B7B1" w14:textId="77777777" w:rsidR="008D6614" w:rsidRDefault="008D6614">
            <w:pPr>
              <w:rPr>
                <w:rFonts w:ascii="宋体"/>
              </w:rPr>
            </w:pPr>
          </w:p>
        </w:tc>
        <w:tc>
          <w:tcPr>
            <w:tcW w:w="53" w:type="pct"/>
            <w:shd w:val="clear" w:color="auto" w:fill="auto"/>
            <w:vAlign w:val="center"/>
          </w:tcPr>
          <w:p w14:paraId="64A8B7B2" w14:textId="77777777" w:rsidR="008D6614" w:rsidRDefault="008D6614">
            <w:pPr>
              <w:rPr>
                <w:rFonts w:ascii="宋体"/>
              </w:rPr>
            </w:pPr>
          </w:p>
        </w:tc>
        <w:tc>
          <w:tcPr>
            <w:tcW w:w="50" w:type="pct"/>
            <w:shd w:val="clear" w:color="auto" w:fill="auto"/>
            <w:vAlign w:val="center"/>
          </w:tcPr>
          <w:p w14:paraId="64A8B7B3" w14:textId="77777777" w:rsidR="008D6614" w:rsidRDefault="008D6614">
            <w:pPr>
              <w:rPr>
                <w:rFonts w:ascii="宋体"/>
              </w:rPr>
            </w:pPr>
          </w:p>
        </w:tc>
        <w:tc>
          <w:tcPr>
            <w:tcW w:w="5" w:type="pct"/>
            <w:shd w:val="clear" w:color="auto" w:fill="auto"/>
            <w:vAlign w:val="center"/>
          </w:tcPr>
          <w:p w14:paraId="64A8B7B4" w14:textId="77777777" w:rsidR="008D6614" w:rsidRDefault="008D6614">
            <w:pPr>
              <w:rPr>
                <w:rFonts w:ascii="宋体"/>
              </w:rPr>
            </w:pPr>
          </w:p>
        </w:tc>
        <w:tc>
          <w:tcPr>
            <w:tcW w:w="26" w:type="pct"/>
            <w:shd w:val="clear" w:color="auto" w:fill="auto"/>
            <w:vAlign w:val="center"/>
          </w:tcPr>
          <w:p w14:paraId="64A8B7B5" w14:textId="77777777" w:rsidR="008D6614" w:rsidRDefault="008D6614">
            <w:pPr>
              <w:rPr>
                <w:rFonts w:ascii="宋体"/>
              </w:rPr>
            </w:pPr>
          </w:p>
        </w:tc>
        <w:tc>
          <w:tcPr>
            <w:tcW w:w="5" w:type="pct"/>
            <w:shd w:val="clear" w:color="auto" w:fill="auto"/>
            <w:vAlign w:val="center"/>
          </w:tcPr>
          <w:p w14:paraId="64A8B7B6" w14:textId="77777777" w:rsidR="008D6614" w:rsidRDefault="008D6614">
            <w:pPr>
              <w:rPr>
                <w:rFonts w:ascii="宋体"/>
              </w:rPr>
            </w:pPr>
          </w:p>
        </w:tc>
        <w:tc>
          <w:tcPr>
            <w:tcW w:w="50" w:type="pct"/>
            <w:shd w:val="clear" w:color="auto" w:fill="auto"/>
            <w:vAlign w:val="center"/>
          </w:tcPr>
          <w:p w14:paraId="64A8B7B7" w14:textId="77777777" w:rsidR="008D6614" w:rsidRDefault="008D6614">
            <w:pPr>
              <w:rPr>
                <w:rFonts w:ascii="宋体"/>
              </w:rPr>
            </w:pPr>
          </w:p>
        </w:tc>
        <w:tc>
          <w:tcPr>
            <w:tcW w:w="623" w:type="pct"/>
            <w:shd w:val="clear" w:color="auto" w:fill="auto"/>
            <w:vAlign w:val="center"/>
          </w:tcPr>
          <w:p w14:paraId="64A8B7B8" w14:textId="77777777" w:rsidR="008D6614" w:rsidRDefault="008D6614">
            <w:pPr>
              <w:rPr>
                <w:rFonts w:ascii="宋体"/>
              </w:rPr>
            </w:pPr>
          </w:p>
        </w:tc>
        <w:tc>
          <w:tcPr>
            <w:tcW w:w="50" w:type="pct"/>
            <w:shd w:val="clear" w:color="auto" w:fill="auto"/>
            <w:vAlign w:val="center"/>
          </w:tcPr>
          <w:p w14:paraId="64A8B7B9" w14:textId="77777777" w:rsidR="008D6614" w:rsidRDefault="008D6614">
            <w:pPr>
              <w:rPr>
                <w:rFonts w:ascii="宋体"/>
              </w:rPr>
            </w:pPr>
          </w:p>
        </w:tc>
        <w:tc>
          <w:tcPr>
            <w:tcW w:w="5" w:type="pct"/>
            <w:shd w:val="clear" w:color="auto" w:fill="auto"/>
            <w:vAlign w:val="center"/>
          </w:tcPr>
          <w:p w14:paraId="64A8B7BA" w14:textId="77777777" w:rsidR="008D6614" w:rsidRDefault="008D6614">
            <w:pPr>
              <w:rPr>
                <w:rFonts w:ascii="宋体"/>
              </w:rPr>
            </w:pPr>
          </w:p>
        </w:tc>
        <w:tc>
          <w:tcPr>
            <w:tcW w:w="26" w:type="pct"/>
            <w:shd w:val="clear" w:color="auto" w:fill="auto"/>
            <w:vAlign w:val="center"/>
          </w:tcPr>
          <w:p w14:paraId="64A8B7BB" w14:textId="77777777" w:rsidR="008D6614" w:rsidRDefault="008D6614">
            <w:pPr>
              <w:rPr>
                <w:rFonts w:ascii="宋体"/>
              </w:rPr>
            </w:pPr>
          </w:p>
        </w:tc>
        <w:tc>
          <w:tcPr>
            <w:tcW w:w="5" w:type="pct"/>
            <w:shd w:val="clear" w:color="auto" w:fill="auto"/>
            <w:vAlign w:val="center"/>
          </w:tcPr>
          <w:p w14:paraId="64A8B7BC" w14:textId="77777777" w:rsidR="008D6614" w:rsidRDefault="008D6614">
            <w:pPr>
              <w:rPr>
                <w:rFonts w:ascii="宋体"/>
              </w:rPr>
            </w:pPr>
          </w:p>
        </w:tc>
        <w:tc>
          <w:tcPr>
            <w:tcW w:w="50" w:type="pct"/>
            <w:shd w:val="clear" w:color="auto" w:fill="auto"/>
            <w:vAlign w:val="center"/>
          </w:tcPr>
          <w:p w14:paraId="64A8B7BD" w14:textId="77777777" w:rsidR="008D6614" w:rsidRDefault="008D6614">
            <w:pPr>
              <w:rPr>
                <w:rFonts w:ascii="宋体"/>
              </w:rPr>
            </w:pPr>
          </w:p>
        </w:tc>
        <w:tc>
          <w:tcPr>
            <w:tcW w:w="623" w:type="pct"/>
            <w:shd w:val="clear" w:color="auto" w:fill="auto"/>
            <w:vAlign w:val="center"/>
          </w:tcPr>
          <w:p w14:paraId="64A8B7BE" w14:textId="77777777" w:rsidR="008D6614" w:rsidRDefault="008D6614">
            <w:pPr>
              <w:rPr>
                <w:rFonts w:ascii="宋体"/>
              </w:rPr>
            </w:pPr>
          </w:p>
        </w:tc>
        <w:tc>
          <w:tcPr>
            <w:tcW w:w="50" w:type="pct"/>
            <w:shd w:val="clear" w:color="auto" w:fill="auto"/>
            <w:vAlign w:val="center"/>
          </w:tcPr>
          <w:p w14:paraId="64A8B7BF" w14:textId="77777777" w:rsidR="008D6614" w:rsidRDefault="008D6614">
            <w:pPr>
              <w:rPr>
                <w:rFonts w:ascii="宋体"/>
              </w:rPr>
            </w:pPr>
          </w:p>
        </w:tc>
      </w:tr>
      <w:tr w:rsidR="008D6614" w14:paraId="64A8B7D5" w14:textId="77777777">
        <w:trPr>
          <w:jc w:val="center"/>
        </w:trPr>
        <w:tc>
          <w:tcPr>
            <w:tcW w:w="0" w:type="auto"/>
            <w:gridSpan w:val="3"/>
            <w:shd w:val="clear" w:color="auto" w:fill="auto"/>
            <w:tcMar>
              <w:top w:w="40" w:type="dxa"/>
              <w:left w:w="20" w:type="dxa"/>
              <w:bottom w:w="40" w:type="dxa"/>
              <w:right w:w="20" w:type="dxa"/>
            </w:tcMar>
            <w:vAlign w:val="bottom"/>
          </w:tcPr>
          <w:p w14:paraId="64A8B7C1" w14:textId="77777777" w:rsidR="008D6614" w:rsidRDefault="00866AF2">
            <w:pPr>
              <w:textAlignment w:val="bottom"/>
            </w:pPr>
            <w:r>
              <w:rPr>
                <w:rFonts w:ascii="Arial" w:eastAsia="宋体" w:hAnsi="Arial" w:cs="Arial"/>
                <w:b/>
                <w:bCs/>
                <w:color w:val="000000"/>
                <w:sz w:val="14"/>
                <w:szCs w:val="14"/>
              </w:rPr>
              <w:t>Period Ended</w:t>
            </w:r>
          </w:p>
        </w:tc>
        <w:tc>
          <w:tcPr>
            <w:tcW w:w="0" w:type="auto"/>
            <w:gridSpan w:val="3"/>
            <w:shd w:val="clear" w:color="auto" w:fill="auto"/>
            <w:tcMar>
              <w:left w:w="20" w:type="dxa"/>
              <w:right w:w="20" w:type="dxa"/>
            </w:tcMar>
            <w:vAlign w:val="bottom"/>
          </w:tcPr>
          <w:p w14:paraId="64A8B7C2"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B7C3" w14:textId="77777777" w:rsidR="008D6614" w:rsidRDefault="00866AF2">
            <w:pPr>
              <w:jc w:val="center"/>
              <w:textAlignment w:val="bottom"/>
            </w:pPr>
            <w:r>
              <w:rPr>
                <w:rFonts w:ascii="Arial" w:eastAsia="宋体" w:hAnsi="Arial" w:cs="Arial"/>
                <w:b/>
                <w:bCs/>
                <w:color w:val="000000"/>
                <w:sz w:val="14"/>
                <w:szCs w:val="14"/>
              </w:rPr>
              <w:t>Total Number of</w:t>
            </w:r>
          </w:p>
          <w:p w14:paraId="64A8B7C4" w14:textId="77777777" w:rsidR="008D6614" w:rsidRDefault="00866AF2">
            <w:pPr>
              <w:jc w:val="center"/>
              <w:textAlignment w:val="bottom"/>
            </w:pPr>
            <w:r>
              <w:rPr>
                <w:rFonts w:ascii="Arial" w:eastAsia="宋体" w:hAnsi="Arial" w:cs="Arial"/>
                <w:b/>
                <w:bCs/>
                <w:color w:val="000000"/>
                <w:sz w:val="14"/>
                <w:szCs w:val="14"/>
              </w:rPr>
              <w:t>Shares</w:t>
            </w:r>
          </w:p>
          <w:p w14:paraId="64A8B7C5" w14:textId="77777777" w:rsidR="008D6614" w:rsidRDefault="00866AF2">
            <w:pPr>
              <w:jc w:val="center"/>
              <w:textAlignment w:val="bottom"/>
            </w:pPr>
            <w:r>
              <w:rPr>
                <w:rFonts w:ascii="Arial" w:eastAsia="宋体" w:hAnsi="Arial" w:cs="Arial"/>
                <w:b/>
                <w:bCs/>
                <w:color w:val="000000"/>
                <w:sz w:val="14"/>
                <w:szCs w:val="14"/>
              </w:rPr>
              <w:t>Purchased</w:t>
            </w:r>
          </w:p>
        </w:tc>
        <w:tc>
          <w:tcPr>
            <w:tcW w:w="0" w:type="auto"/>
            <w:gridSpan w:val="3"/>
            <w:shd w:val="clear" w:color="auto" w:fill="auto"/>
            <w:tcMar>
              <w:left w:w="20" w:type="dxa"/>
              <w:right w:w="20" w:type="dxa"/>
            </w:tcMar>
            <w:vAlign w:val="bottom"/>
          </w:tcPr>
          <w:p w14:paraId="64A8B7C6"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B7C7" w14:textId="77777777" w:rsidR="008D6614" w:rsidRDefault="00866AF2">
            <w:pPr>
              <w:jc w:val="center"/>
              <w:textAlignment w:val="bottom"/>
            </w:pPr>
            <w:r>
              <w:rPr>
                <w:rFonts w:ascii="Arial" w:eastAsia="宋体" w:hAnsi="Arial" w:cs="Arial"/>
                <w:b/>
                <w:bCs/>
                <w:color w:val="000000"/>
                <w:sz w:val="14"/>
                <w:szCs w:val="14"/>
              </w:rPr>
              <w:t>Average Price Paid</w:t>
            </w:r>
          </w:p>
          <w:p w14:paraId="64A8B7C8" w14:textId="77777777" w:rsidR="008D6614" w:rsidRDefault="00866AF2">
            <w:pPr>
              <w:jc w:val="center"/>
              <w:textAlignment w:val="bottom"/>
            </w:pPr>
            <w:r>
              <w:rPr>
                <w:rFonts w:ascii="Arial" w:eastAsia="宋体" w:hAnsi="Arial" w:cs="Arial"/>
                <w:b/>
                <w:bCs/>
                <w:color w:val="000000"/>
                <w:sz w:val="14"/>
                <w:szCs w:val="14"/>
              </w:rPr>
              <w:t xml:space="preserve">per Share </w:t>
            </w:r>
            <w:r>
              <w:rPr>
                <w:rFonts w:ascii="Arial" w:eastAsia="宋体" w:hAnsi="Arial" w:cs="Arial"/>
                <w:b/>
                <w:bCs/>
                <w:color w:val="000000"/>
                <w:sz w:val="10"/>
                <w:szCs w:val="10"/>
              </w:rPr>
              <w:t>(3)</w:t>
            </w:r>
          </w:p>
        </w:tc>
        <w:tc>
          <w:tcPr>
            <w:tcW w:w="0" w:type="auto"/>
            <w:gridSpan w:val="3"/>
            <w:shd w:val="clear" w:color="auto" w:fill="auto"/>
            <w:tcMar>
              <w:left w:w="20" w:type="dxa"/>
              <w:right w:w="20" w:type="dxa"/>
            </w:tcMar>
            <w:vAlign w:val="bottom"/>
          </w:tcPr>
          <w:p w14:paraId="64A8B7C9"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7CA"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B7CB" w14:textId="77777777" w:rsidR="008D6614" w:rsidRDefault="00866AF2">
            <w:pPr>
              <w:jc w:val="center"/>
              <w:textAlignment w:val="bottom"/>
            </w:pPr>
            <w:r>
              <w:rPr>
                <w:rFonts w:ascii="Arial" w:eastAsia="宋体" w:hAnsi="Arial" w:cs="Arial"/>
                <w:b/>
                <w:bCs/>
                <w:color w:val="000000"/>
                <w:sz w:val="14"/>
                <w:szCs w:val="14"/>
              </w:rPr>
              <w:t>Total Number of</w:t>
            </w:r>
          </w:p>
          <w:p w14:paraId="64A8B7CC" w14:textId="77777777" w:rsidR="008D6614" w:rsidRDefault="00866AF2">
            <w:pPr>
              <w:jc w:val="center"/>
              <w:textAlignment w:val="bottom"/>
            </w:pPr>
            <w:r>
              <w:rPr>
                <w:rFonts w:ascii="Arial" w:eastAsia="宋体" w:hAnsi="Arial" w:cs="Arial"/>
                <w:b/>
                <w:bCs/>
                <w:color w:val="000000"/>
                <w:sz w:val="14"/>
                <w:szCs w:val="14"/>
              </w:rPr>
              <w:t>Shares Purchased</w:t>
            </w:r>
          </w:p>
          <w:p w14:paraId="64A8B7CD" w14:textId="77777777" w:rsidR="008D6614" w:rsidRDefault="00866AF2">
            <w:pPr>
              <w:jc w:val="center"/>
              <w:textAlignment w:val="bottom"/>
            </w:pPr>
            <w:r>
              <w:rPr>
                <w:rFonts w:ascii="Arial" w:eastAsia="宋体" w:hAnsi="Arial" w:cs="Arial"/>
                <w:b/>
                <w:bCs/>
                <w:color w:val="000000"/>
                <w:sz w:val="14"/>
                <w:szCs w:val="14"/>
              </w:rPr>
              <w:t xml:space="preserve">as Part of </w:t>
            </w:r>
            <w:r>
              <w:rPr>
                <w:rFonts w:ascii="Arial" w:eastAsia="宋体" w:hAnsi="Arial" w:cs="Arial"/>
                <w:b/>
                <w:bCs/>
                <w:color w:val="000000"/>
                <w:sz w:val="14"/>
                <w:szCs w:val="14"/>
              </w:rPr>
              <w:t>Publicly</w:t>
            </w:r>
          </w:p>
          <w:p w14:paraId="64A8B7CE" w14:textId="77777777" w:rsidR="008D6614" w:rsidRDefault="00866AF2">
            <w:pPr>
              <w:jc w:val="center"/>
              <w:textAlignment w:val="bottom"/>
            </w:pPr>
            <w:r>
              <w:rPr>
                <w:rFonts w:ascii="Arial" w:eastAsia="宋体" w:hAnsi="Arial" w:cs="Arial"/>
                <w:b/>
                <w:bCs/>
                <w:color w:val="000000"/>
                <w:sz w:val="14"/>
                <w:szCs w:val="14"/>
              </w:rPr>
              <w:t>Announced</w:t>
            </w:r>
          </w:p>
          <w:p w14:paraId="64A8B7CF" w14:textId="77777777" w:rsidR="008D6614" w:rsidRDefault="00866AF2">
            <w:pPr>
              <w:jc w:val="center"/>
              <w:textAlignment w:val="bottom"/>
            </w:pPr>
            <w:r>
              <w:rPr>
                <w:rFonts w:ascii="Arial" w:eastAsia="宋体" w:hAnsi="Arial" w:cs="Arial"/>
                <w:b/>
                <w:bCs/>
                <w:color w:val="000000"/>
                <w:sz w:val="14"/>
                <w:szCs w:val="14"/>
              </w:rPr>
              <w:t>Programs</w:t>
            </w:r>
          </w:p>
        </w:tc>
        <w:tc>
          <w:tcPr>
            <w:tcW w:w="0" w:type="auto"/>
            <w:gridSpan w:val="3"/>
            <w:shd w:val="clear" w:color="auto" w:fill="auto"/>
            <w:tcMar>
              <w:left w:w="20" w:type="dxa"/>
              <w:right w:w="20" w:type="dxa"/>
            </w:tcMar>
            <w:vAlign w:val="bottom"/>
          </w:tcPr>
          <w:p w14:paraId="64A8B7D0"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B7D1" w14:textId="77777777" w:rsidR="008D6614" w:rsidRDefault="00866AF2">
            <w:pPr>
              <w:jc w:val="center"/>
              <w:textAlignment w:val="bottom"/>
            </w:pPr>
            <w:r>
              <w:rPr>
                <w:rFonts w:ascii="Arial" w:eastAsia="宋体" w:hAnsi="Arial" w:cs="Arial"/>
                <w:b/>
                <w:bCs/>
                <w:color w:val="000000"/>
                <w:sz w:val="14"/>
                <w:szCs w:val="14"/>
              </w:rPr>
              <w:t>Maximum Dollar</w:t>
            </w:r>
          </w:p>
          <w:p w14:paraId="64A8B7D2" w14:textId="77777777" w:rsidR="008D6614" w:rsidRDefault="00866AF2">
            <w:pPr>
              <w:jc w:val="center"/>
              <w:textAlignment w:val="bottom"/>
            </w:pPr>
            <w:r>
              <w:rPr>
                <w:rFonts w:ascii="Arial" w:eastAsia="宋体" w:hAnsi="Arial" w:cs="Arial"/>
                <w:b/>
                <w:bCs/>
                <w:color w:val="000000"/>
                <w:sz w:val="14"/>
                <w:szCs w:val="14"/>
              </w:rPr>
              <w:t>Value that May Yet</w:t>
            </w:r>
          </w:p>
          <w:p w14:paraId="64A8B7D3" w14:textId="77777777" w:rsidR="008D6614" w:rsidRDefault="00866AF2">
            <w:pPr>
              <w:jc w:val="center"/>
              <w:textAlignment w:val="bottom"/>
            </w:pPr>
            <w:r>
              <w:rPr>
                <w:rFonts w:ascii="Arial" w:eastAsia="宋体" w:hAnsi="Arial" w:cs="Arial"/>
                <w:b/>
                <w:bCs/>
                <w:color w:val="000000"/>
                <w:sz w:val="14"/>
                <w:szCs w:val="14"/>
              </w:rPr>
              <w:t>be Purchased Under</w:t>
            </w:r>
          </w:p>
          <w:p w14:paraId="64A8B7D4" w14:textId="77777777" w:rsidR="008D6614" w:rsidRDefault="00866AF2">
            <w:pPr>
              <w:jc w:val="center"/>
              <w:textAlignment w:val="bottom"/>
            </w:pPr>
            <w:r>
              <w:rPr>
                <w:rFonts w:ascii="Arial" w:eastAsia="宋体" w:hAnsi="Arial" w:cs="Arial"/>
                <w:b/>
                <w:bCs/>
                <w:color w:val="000000"/>
                <w:sz w:val="14"/>
                <w:szCs w:val="14"/>
              </w:rPr>
              <w:t>the Programs</w:t>
            </w:r>
            <w:r>
              <w:rPr>
                <w:rFonts w:ascii="Arial" w:eastAsia="宋体" w:hAnsi="Arial" w:cs="Arial"/>
                <w:b/>
                <w:bCs/>
                <w:color w:val="000000"/>
                <w:sz w:val="16"/>
                <w:szCs w:val="16"/>
              </w:rPr>
              <w:t xml:space="preserve"> </w:t>
            </w:r>
            <w:r>
              <w:rPr>
                <w:rFonts w:ascii="Arial" w:eastAsia="宋体" w:hAnsi="Arial" w:cs="Arial"/>
                <w:b/>
                <w:bCs/>
                <w:color w:val="000000"/>
                <w:sz w:val="10"/>
                <w:szCs w:val="10"/>
              </w:rPr>
              <w:t>(2)</w:t>
            </w:r>
          </w:p>
        </w:tc>
      </w:tr>
      <w:tr w:rsidR="008D6614" w14:paraId="64A8B7E4" w14:textId="77777777">
        <w:trPr>
          <w:jc w:val="center"/>
        </w:trPr>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A8B7D6" w14:textId="77777777" w:rsidR="008D6614" w:rsidRDefault="00866AF2">
            <w:pPr>
              <w:textAlignment w:val="bottom"/>
            </w:pPr>
            <w:r>
              <w:rPr>
                <w:rFonts w:ascii="Arial" w:eastAsia="宋体" w:hAnsi="Arial" w:cs="Arial"/>
                <w:color w:val="000000"/>
                <w:sz w:val="17"/>
                <w:szCs w:val="17"/>
              </w:rPr>
              <w:t>January 31, 2020</w:t>
            </w:r>
          </w:p>
        </w:tc>
        <w:tc>
          <w:tcPr>
            <w:tcW w:w="0" w:type="auto"/>
            <w:gridSpan w:val="3"/>
            <w:shd w:val="clear" w:color="auto" w:fill="E2E2E2"/>
            <w:tcMar>
              <w:left w:w="20" w:type="dxa"/>
              <w:right w:w="20" w:type="dxa"/>
            </w:tcMar>
            <w:vAlign w:val="bottom"/>
          </w:tcPr>
          <w:p w14:paraId="64A8B7D7" w14:textId="77777777" w:rsidR="008D6614" w:rsidRDefault="008D6614">
            <w:pPr>
              <w:rPr>
                <w:rFonts w:ascii="宋体"/>
              </w:rPr>
            </w:pPr>
          </w:p>
        </w:tc>
        <w:tc>
          <w:tcPr>
            <w:tcW w:w="0" w:type="auto"/>
            <w:gridSpan w:val="2"/>
            <w:tcBorders>
              <w:top w:val="single" w:sz="8" w:space="0" w:color="000000"/>
            </w:tcBorders>
            <w:shd w:val="clear" w:color="auto" w:fill="E2E2E2"/>
            <w:tcMar>
              <w:left w:w="20" w:type="dxa"/>
              <w:right w:w="0" w:type="dxa"/>
            </w:tcMar>
            <w:vAlign w:val="bottom"/>
          </w:tcPr>
          <w:p w14:paraId="64A8B7D8" w14:textId="77777777" w:rsidR="008D6614" w:rsidRDefault="008D6614">
            <w:pPr>
              <w:jc w:val="right"/>
              <w:rPr>
                <w:rFonts w:ascii="宋体"/>
              </w:rPr>
            </w:pPr>
          </w:p>
        </w:tc>
        <w:tc>
          <w:tcPr>
            <w:tcW w:w="0" w:type="auto"/>
            <w:tcBorders>
              <w:top w:val="single" w:sz="8" w:space="0" w:color="000000"/>
            </w:tcBorders>
            <w:shd w:val="clear" w:color="auto" w:fill="E2E2E2"/>
            <w:tcMar>
              <w:right w:w="20" w:type="dxa"/>
            </w:tcMar>
            <w:vAlign w:val="bottom"/>
          </w:tcPr>
          <w:p w14:paraId="64A8B7D9" w14:textId="77777777" w:rsidR="008D6614" w:rsidRDefault="008D6614">
            <w:pPr>
              <w:jc w:val="right"/>
              <w:rPr>
                <w:rFonts w:ascii="宋体"/>
              </w:rPr>
            </w:pPr>
          </w:p>
        </w:tc>
        <w:tc>
          <w:tcPr>
            <w:tcW w:w="0" w:type="auto"/>
            <w:gridSpan w:val="3"/>
            <w:shd w:val="clear" w:color="auto" w:fill="E2E2E2"/>
            <w:tcMar>
              <w:left w:w="20" w:type="dxa"/>
              <w:right w:w="20" w:type="dxa"/>
            </w:tcMar>
            <w:vAlign w:val="bottom"/>
          </w:tcPr>
          <w:p w14:paraId="64A8B7DA" w14:textId="77777777" w:rsidR="008D6614" w:rsidRDefault="008D6614">
            <w:pPr>
              <w:rPr>
                <w:rFonts w:ascii="宋体"/>
              </w:rPr>
            </w:pPr>
          </w:p>
        </w:tc>
        <w:tc>
          <w:tcPr>
            <w:tcW w:w="0" w:type="auto"/>
            <w:gridSpan w:val="2"/>
            <w:tcBorders>
              <w:top w:val="single" w:sz="8" w:space="0" w:color="000000"/>
            </w:tcBorders>
            <w:shd w:val="clear" w:color="auto" w:fill="E2E2E2"/>
            <w:tcMar>
              <w:left w:w="20" w:type="dxa"/>
              <w:right w:w="0" w:type="dxa"/>
            </w:tcMar>
            <w:vAlign w:val="bottom"/>
          </w:tcPr>
          <w:p w14:paraId="64A8B7DB" w14:textId="77777777" w:rsidR="008D6614" w:rsidRDefault="008D6614">
            <w:pPr>
              <w:jc w:val="right"/>
              <w:rPr>
                <w:rFonts w:ascii="宋体"/>
              </w:rPr>
            </w:pPr>
          </w:p>
        </w:tc>
        <w:tc>
          <w:tcPr>
            <w:tcW w:w="0" w:type="auto"/>
            <w:tcBorders>
              <w:top w:val="single" w:sz="8" w:space="0" w:color="000000"/>
            </w:tcBorders>
            <w:shd w:val="clear" w:color="auto" w:fill="E2E2E2"/>
            <w:tcMar>
              <w:right w:w="20" w:type="dxa"/>
            </w:tcMar>
            <w:vAlign w:val="bottom"/>
          </w:tcPr>
          <w:p w14:paraId="64A8B7DC" w14:textId="77777777" w:rsidR="008D6614" w:rsidRDefault="008D6614">
            <w:pPr>
              <w:jc w:val="right"/>
              <w:rPr>
                <w:rFonts w:ascii="宋体"/>
              </w:rPr>
            </w:pPr>
          </w:p>
        </w:tc>
        <w:tc>
          <w:tcPr>
            <w:tcW w:w="0" w:type="auto"/>
            <w:gridSpan w:val="3"/>
            <w:tcBorders>
              <w:top w:val="single" w:sz="8" w:space="0" w:color="000000"/>
            </w:tcBorders>
            <w:shd w:val="clear" w:color="auto" w:fill="E2E2E2"/>
            <w:tcMar>
              <w:left w:w="20" w:type="dxa"/>
              <w:right w:w="20" w:type="dxa"/>
            </w:tcMar>
            <w:vAlign w:val="bottom"/>
          </w:tcPr>
          <w:p w14:paraId="64A8B7DD"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7DE" w14:textId="77777777" w:rsidR="008D6614" w:rsidRDefault="008D6614">
            <w:pPr>
              <w:rPr>
                <w:rFonts w:ascii="宋体"/>
              </w:rPr>
            </w:pPr>
          </w:p>
        </w:tc>
        <w:tc>
          <w:tcPr>
            <w:tcW w:w="0" w:type="auto"/>
            <w:gridSpan w:val="2"/>
            <w:tcBorders>
              <w:top w:val="single" w:sz="8" w:space="0" w:color="000000"/>
            </w:tcBorders>
            <w:shd w:val="clear" w:color="auto" w:fill="E2E2E2"/>
            <w:tcMar>
              <w:left w:w="20" w:type="dxa"/>
              <w:right w:w="0" w:type="dxa"/>
            </w:tcMar>
            <w:vAlign w:val="bottom"/>
          </w:tcPr>
          <w:p w14:paraId="64A8B7DF" w14:textId="77777777" w:rsidR="008D6614" w:rsidRDefault="008D6614">
            <w:pPr>
              <w:jc w:val="right"/>
              <w:rPr>
                <w:rFonts w:ascii="宋体"/>
              </w:rPr>
            </w:pPr>
          </w:p>
        </w:tc>
        <w:tc>
          <w:tcPr>
            <w:tcW w:w="0" w:type="auto"/>
            <w:tcBorders>
              <w:top w:val="single" w:sz="8" w:space="0" w:color="000000"/>
            </w:tcBorders>
            <w:shd w:val="clear" w:color="auto" w:fill="E2E2E2"/>
            <w:tcMar>
              <w:right w:w="20" w:type="dxa"/>
            </w:tcMar>
            <w:vAlign w:val="bottom"/>
          </w:tcPr>
          <w:p w14:paraId="64A8B7E0" w14:textId="77777777" w:rsidR="008D6614" w:rsidRDefault="008D6614">
            <w:pPr>
              <w:jc w:val="right"/>
              <w:rPr>
                <w:rFonts w:ascii="宋体"/>
              </w:rPr>
            </w:pPr>
          </w:p>
        </w:tc>
        <w:tc>
          <w:tcPr>
            <w:tcW w:w="0" w:type="auto"/>
            <w:gridSpan w:val="3"/>
            <w:shd w:val="clear" w:color="auto" w:fill="E2E2E2"/>
            <w:tcMar>
              <w:left w:w="20" w:type="dxa"/>
              <w:right w:w="20" w:type="dxa"/>
            </w:tcMar>
            <w:vAlign w:val="bottom"/>
          </w:tcPr>
          <w:p w14:paraId="64A8B7E1" w14:textId="77777777" w:rsidR="008D6614" w:rsidRDefault="008D6614">
            <w:pPr>
              <w:rPr>
                <w:rFonts w:ascii="宋体"/>
              </w:rPr>
            </w:pPr>
          </w:p>
        </w:tc>
        <w:tc>
          <w:tcPr>
            <w:tcW w:w="0" w:type="auto"/>
            <w:gridSpan w:val="2"/>
            <w:tcBorders>
              <w:top w:val="single" w:sz="8" w:space="0" w:color="000000"/>
            </w:tcBorders>
            <w:shd w:val="clear" w:color="auto" w:fill="E2E2E2"/>
            <w:tcMar>
              <w:left w:w="20" w:type="dxa"/>
              <w:right w:w="0" w:type="dxa"/>
            </w:tcMar>
            <w:vAlign w:val="bottom"/>
          </w:tcPr>
          <w:p w14:paraId="64A8B7E2" w14:textId="77777777" w:rsidR="008D6614" w:rsidRDefault="008D6614">
            <w:pPr>
              <w:jc w:val="right"/>
              <w:rPr>
                <w:rFonts w:ascii="宋体"/>
              </w:rPr>
            </w:pPr>
          </w:p>
        </w:tc>
        <w:tc>
          <w:tcPr>
            <w:tcW w:w="0" w:type="auto"/>
            <w:tcBorders>
              <w:top w:val="single" w:sz="8" w:space="0" w:color="000000"/>
            </w:tcBorders>
            <w:shd w:val="clear" w:color="auto" w:fill="E2E2E2"/>
            <w:tcMar>
              <w:right w:w="20" w:type="dxa"/>
            </w:tcMar>
            <w:vAlign w:val="bottom"/>
          </w:tcPr>
          <w:p w14:paraId="64A8B7E3" w14:textId="77777777" w:rsidR="008D6614" w:rsidRDefault="008D6614">
            <w:pPr>
              <w:jc w:val="right"/>
              <w:rPr>
                <w:rFonts w:ascii="宋体"/>
              </w:rPr>
            </w:pPr>
          </w:p>
        </w:tc>
      </w:tr>
      <w:tr w:rsidR="008D6614" w14:paraId="64A8B7F5" w14:textId="77777777">
        <w:trPr>
          <w:jc w:val="center"/>
        </w:trPr>
        <w:tc>
          <w:tcPr>
            <w:tcW w:w="0" w:type="auto"/>
            <w:gridSpan w:val="3"/>
            <w:shd w:val="clear" w:color="auto" w:fill="FFFFFF"/>
            <w:tcMar>
              <w:top w:w="40" w:type="dxa"/>
              <w:left w:w="20" w:type="dxa"/>
              <w:bottom w:w="40" w:type="dxa"/>
              <w:right w:w="20" w:type="dxa"/>
            </w:tcMar>
            <w:vAlign w:val="bottom"/>
          </w:tcPr>
          <w:p w14:paraId="64A8B7E5" w14:textId="77777777" w:rsidR="008D6614" w:rsidRDefault="00866AF2">
            <w:pPr>
              <w:textAlignment w:val="bottom"/>
            </w:pPr>
            <w:r>
              <w:rPr>
                <w:rFonts w:ascii="Arial" w:eastAsia="宋体" w:hAnsi="Arial" w:cs="Arial"/>
                <w:color w:val="000000"/>
                <w:sz w:val="17"/>
                <w:szCs w:val="17"/>
              </w:rPr>
              <w:t>   Open Market purchases</w:t>
            </w:r>
          </w:p>
        </w:tc>
        <w:tc>
          <w:tcPr>
            <w:tcW w:w="0" w:type="auto"/>
            <w:gridSpan w:val="3"/>
            <w:shd w:val="clear" w:color="auto" w:fill="FFFFFF"/>
            <w:tcMar>
              <w:left w:w="20" w:type="dxa"/>
              <w:right w:w="20" w:type="dxa"/>
            </w:tcMar>
            <w:vAlign w:val="bottom"/>
          </w:tcPr>
          <w:p w14:paraId="64A8B7E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7E7" w14:textId="77777777" w:rsidR="008D6614" w:rsidRDefault="00866AF2">
            <w:pPr>
              <w:jc w:val="right"/>
              <w:textAlignment w:val="bottom"/>
            </w:pPr>
            <w:r>
              <w:rPr>
                <w:rFonts w:ascii="Arial" w:eastAsia="宋体" w:hAnsi="Arial" w:cs="Arial"/>
                <w:color w:val="000000"/>
                <w:sz w:val="17"/>
                <w:szCs w:val="17"/>
              </w:rPr>
              <w:t>3,241,078 </w:t>
            </w:r>
          </w:p>
        </w:tc>
        <w:tc>
          <w:tcPr>
            <w:tcW w:w="0" w:type="auto"/>
            <w:shd w:val="clear" w:color="auto" w:fill="FFFFFF"/>
            <w:tcMar>
              <w:top w:w="40" w:type="dxa"/>
              <w:bottom w:w="40" w:type="dxa"/>
              <w:right w:w="20" w:type="dxa"/>
            </w:tcMar>
            <w:vAlign w:val="bottom"/>
          </w:tcPr>
          <w:p w14:paraId="64A8B7E8"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FFFFFF"/>
            <w:tcMar>
              <w:left w:w="20" w:type="dxa"/>
              <w:right w:w="20" w:type="dxa"/>
            </w:tcMar>
            <w:vAlign w:val="bottom"/>
          </w:tcPr>
          <w:p w14:paraId="64A8B7E9"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7EA" w14:textId="77777777" w:rsidR="008D6614" w:rsidRDefault="00866AF2">
            <w:pPr>
              <w:textAlignment w:val="bottom"/>
            </w:pPr>
            <w:r>
              <w:rPr>
                <w:rFonts w:ascii="Arial" w:eastAsia="宋体" w:hAnsi="Arial" w:cs="Arial"/>
                <w:color w:val="000000"/>
                <w:sz w:val="17"/>
                <w:szCs w:val="17"/>
              </w:rPr>
              <w:t>$</w:t>
            </w:r>
          </w:p>
        </w:tc>
        <w:tc>
          <w:tcPr>
            <w:tcW w:w="0" w:type="auto"/>
            <w:shd w:val="clear" w:color="auto" w:fill="FFFFFF"/>
            <w:tcMar>
              <w:top w:w="40" w:type="dxa"/>
              <w:bottom w:w="40" w:type="dxa"/>
              <w:right w:w="0" w:type="dxa"/>
            </w:tcMar>
            <w:vAlign w:val="bottom"/>
          </w:tcPr>
          <w:p w14:paraId="64A8B7EB" w14:textId="77777777" w:rsidR="008D6614" w:rsidRDefault="00866AF2">
            <w:pPr>
              <w:jc w:val="right"/>
              <w:textAlignment w:val="bottom"/>
            </w:pPr>
            <w:r>
              <w:rPr>
                <w:rFonts w:ascii="Arial" w:eastAsia="宋体" w:hAnsi="Arial" w:cs="Arial"/>
                <w:color w:val="000000"/>
                <w:sz w:val="17"/>
                <w:szCs w:val="17"/>
              </w:rPr>
              <w:t>34.28 </w:t>
            </w:r>
          </w:p>
        </w:tc>
        <w:tc>
          <w:tcPr>
            <w:tcW w:w="0" w:type="auto"/>
            <w:shd w:val="clear" w:color="auto" w:fill="FFFFFF"/>
            <w:tcMar>
              <w:top w:w="40" w:type="dxa"/>
              <w:bottom w:w="40" w:type="dxa"/>
              <w:right w:w="20" w:type="dxa"/>
            </w:tcMar>
            <w:vAlign w:val="bottom"/>
          </w:tcPr>
          <w:p w14:paraId="64A8B7EC"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FFFFFF"/>
            <w:tcMar>
              <w:left w:w="20" w:type="dxa"/>
              <w:right w:w="20" w:type="dxa"/>
            </w:tcMar>
            <w:vAlign w:val="bottom"/>
          </w:tcPr>
          <w:p w14:paraId="64A8B7E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7EE"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7EF" w14:textId="77777777" w:rsidR="008D6614" w:rsidRDefault="00866AF2">
            <w:pPr>
              <w:jc w:val="right"/>
              <w:textAlignment w:val="bottom"/>
            </w:pPr>
            <w:r>
              <w:rPr>
                <w:rFonts w:ascii="Arial" w:eastAsia="宋体" w:hAnsi="Arial" w:cs="Arial"/>
                <w:color w:val="000000"/>
                <w:sz w:val="17"/>
                <w:szCs w:val="17"/>
              </w:rPr>
              <w:t>3,241,078 </w:t>
            </w:r>
          </w:p>
        </w:tc>
        <w:tc>
          <w:tcPr>
            <w:tcW w:w="0" w:type="auto"/>
            <w:shd w:val="clear" w:color="auto" w:fill="FFFFFF"/>
            <w:tcMar>
              <w:top w:w="40" w:type="dxa"/>
              <w:bottom w:w="40" w:type="dxa"/>
              <w:right w:w="20" w:type="dxa"/>
            </w:tcMar>
            <w:vAlign w:val="bottom"/>
          </w:tcPr>
          <w:p w14:paraId="64A8B7F0"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FFFFFF"/>
            <w:tcMar>
              <w:left w:w="20" w:type="dxa"/>
              <w:right w:w="20" w:type="dxa"/>
            </w:tcMar>
            <w:vAlign w:val="bottom"/>
          </w:tcPr>
          <w:p w14:paraId="64A8B7F1"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7F2" w14:textId="77777777" w:rsidR="008D6614" w:rsidRDefault="00866AF2">
            <w:pPr>
              <w:textAlignment w:val="bottom"/>
            </w:pPr>
            <w:r>
              <w:rPr>
                <w:rFonts w:ascii="Arial" w:eastAsia="宋体" w:hAnsi="Arial" w:cs="Arial"/>
                <w:color w:val="000000"/>
                <w:sz w:val="17"/>
                <w:szCs w:val="17"/>
              </w:rPr>
              <w:t>$</w:t>
            </w:r>
          </w:p>
        </w:tc>
        <w:tc>
          <w:tcPr>
            <w:tcW w:w="0" w:type="auto"/>
            <w:shd w:val="clear" w:color="auto" w:fill="FFFFFF"/>
            <w:tcMar>
              <w:top w:w="40" w:type="dxa"/>
              <w:bottom w:w="40" w:type="dxa"/>
              <w:right w:w="0" w:type="dxa"/>
            </w:tcMar>
            <w:vAlign w:val="bottom"/>
          </w:tcPr>
          <w:p w14:paraId="64A8B7F3" w14:textId="77777777" w:rsidR="008D6614" w:rsidRDefault="00866AF2">
            <w:pPr>
              <w:jc w:val="right"/>
              <w:textAlignment w:val="bottom"/>
            </w:pPr>
            <w:r>
              <w:rPr>
                <w:rFonts w:ascii="Arial" w:eastAsia="宋体" w:hAnsi="Arial" w:cs="Arial"/>
                <w:color w:val="000000"/>
                <w:sz w:val="17"/>
                <w:szCs w:val="17"/>
              </w:rPr>
              <w:t>2,039,870,127 </w:t>
            </w:r>
          </w:p>
        </w:tc>
        <w:tc>
          <w:tcPr>
            <w:tcW w:w="0" w:type="auto"/>
            <w:shd w:val="clear" w:color="auto" w:fill="FFFFFF"/>
            <w:tcMar>
              <w:top w:w="40" w:type="dxa"/>
              <w:bottom w:w="40" w:type="dxa"/>
              <w:right w:w="20" w:type="dxa"/>
            </w:tcMar>
            <w:vAlign w:val="bottom"/>
          </w:tcPr>
          <w:p w14:paraId="64A8B7F4" w14:textId="77777777" w:rsidR="008D6614" w:rsidRDefault="00866AF2">
            <w:pPr>
              <w:jc w:val="right"/>
              <w:textAlignment w:val="bottom"/>
            </w:pPr>
            <w:r>
              <w:rPr>
                <w:rFonts w:ascii="Arial" w:eastAsia="宋体" w:hAnsi="Arial" w:cs="Arial"/>
                <w:color w:val="000000"/>
                <w:sz w:val="17"/>
                <w:szCs w:val="17"/>
              </w:rPr>
              <w:t> </w:t>
            </w:r>
          </w:p>
        </w:tc>
      </w:tr>
      <w:tr w:rsidR="008D6614" w14:paraId="64A8B804" w14:textId="77777777">
        <w:trPr>
          <w:jc w:val="center"/>
        </w:trPr>
        <w:tc>
          <w:tcPr>
            <w:tcW w:w="0" w:type="auto"/>
            <w:gridSpan w:val="3"/>
            <w:shd w:val="clear" w:color="auto" w:fill="E2E2E2"/>
            <w:tcMar>
              <w:top w:w="40" w:type="dxa"/>
              <w:left w:w="20" w:type="dxa"/>
              <w:bottom w:w="40" w:type="dxa"/>
              <w:right w:w="20" w:type="dxa"/>
            </w:tcMar>
            <w:vAlign w:val="bottom"/>
          </w:tcPr>
          <w:p w14:paraId="64A8B7F6" w14:textId="77777777" w:rsidR="008D6614" w:rsidRDefault="00866AF2">
            <w:pPr>
              <w:textAlignment w:val="bottom"/>
            </w:pPr>
            <w:r>
              <w:rPr>
                <w:rFonts w:ascii="Arial" w:eastAsia="宋体" w:hAnsi="Arial" w:cs="Arial"/>
                <w:color w:val="000000"/>
                <w:sz w:val="17"/>
                <w:szCs w:val="17"/>
              </w:rPr>
              <w:t>February 29, 2020</w:t>
            </w:r>
          </w:p>
        </w:tc>
        <w:tc>
          <w:tcPr>
            <w:tcW w:w="0" w:type="auto"/>
            <w:gridSpan w:val="3"/>
            <w:shd w:val="clear" w:color="auto" w:fill="E2E2E2"/>
            <w:tcMar>
              <w:left w:w="20" w:type="dxa"/>
              <w:right w:w="20" w:type="dxa"/>
            </w:tcMar>
            <w:vAlign w:val="bottom"/>
          </w:tcPr>
          <w:p w14:paraId="64A8B7F7" w14:textId="77777777" w:rsidR="008D6614" w:rsidRDefault="008D6614">
            <w:pPr>
              <w:rPr>
                <w:rFonts w:ascii="宋体"/>
              </w:rPr>
            </w:pPr>
          </w:p>
        </w:tc>
        <w:tc>
          <w:tcPr>
            <w:tcW w:w="0" w:type="auto"/>
            <w:gridSpan w:val="2"/>
            <w:shd w:val="clear" w:color="auto" w:fill="E2E2E2"/>
            <w:tcMar>
              <w:left w:w="20" w:type="dxa"/>
              <w:right w:w="0" w:type="dxa"/>
            </w:tcMar>
            <w:vAlign w:val="bottom"/>
          </w:tcPr>
          <w:p w14:paraId="64A8B7F8" w14:textId="77777777" w:rsidR="008D6614" w:rsidRDefault="008D6614">
            <w:pPr>
              <w:jc w:val="right"/>
              <w:rPr>
                <w:rFonts w:ascii="宋体"/>
              </w:rPr>
            </w:pPr>
          </w:p>
        </w:tc>
        <w:tc>
          <w:tcPr>
            <w:tcW w:w="0" w:type="auto"/>
            <w:shd w:val="clear" w:color="auto" w:fill="E2E2E2"/>
            <w:tcMar>
              <w:right w:w="20" w:type="dxa"/>
            </w:tcMar>
            <w:vAlign w:val="bottom"/>
          </w:tcPr>
          <w:p w14:paraId="64A8B7F9" w14:textId="77777777" w:rsidR="008D6614" w:rsidRDefault="008D6614">
            <w:pPr>
              <w:jc w:val="right"/>
              <w:rPr>
                <w:rFonts w:ascii="宋体"/>
              </w:rPr>
            </w:pPr>
          </w:p>
        </w:tc>
        <w:tc>
          <w:tcPr>
            <w:tcW w:w="0" w:type="auto"/>
            <w:gridSpan w:val="3"/>
            <w:shd w:val="clear" w:color="auto" w:fill="E2E2E2"/>
            <w:tcMar>
              <w:left w:w="20" w:type="dxa"/>
              <w:right w:w="20" w:type="dxa"/>
            </w:tcMar>
            <w:vAlign w:val="bottom"/>
          </w:tcPr>
          <w:p w14:paraId="64A8B7FA" w14:textId="77777777" w:rsidR="008D6614" w:rsidRDefault="008D6614">
            <w:pPr>
              <w:rPr>
                <w:rFonts w:ascii="宋体"/>
              </w:rPr>
            </w:pPr>
          </w:p>
        </w:tc>
        <w:tc>
          <w:tcPr>
            <w:tcW w:w="0" w:type="auto"/>
            <w:gridSpan w:val="2"/>
            <w:shd w:val="clear" w:color="auto" w:fill="E2E2E2"/>
            <w:tcMar>
              <w:left w:w="20" w:type="dxa"/>
              <w:right w:w="0" w:type="dxa"/>
            </w:tcMar>
            <w:vAlign w:val="bottom"/>
          </w:tcPr>
          <w:p w14:paraId="64A8B7FB" w14:textId="77777777" w:rsidR="008D6614" w:rsidRDefault="008D6614">
            <w:pPr>
              <w:jc w:val="right"/>
              <w:rPr>
                <w:rFonts w:ascii="宋体"/>
              </w:rPr>
            </w:pPr>
          </w:p>
        </w:tc>
        <w:tc>
          <w:tcPr>
            <w:tcW w:w="0" w:type="auto"/>
            <w:shd w:val="clear" w:color="auto" w:fill="E2E2E2"/>
            <w:tcMar>
              <w:right w:w="20" w:type="dxa"/>
            </w:tcMar>
            <w:vAlign w:val="bottom"/>
          </w:tcPr>
          <w:p w14:paraId="64A8B7FC" w14:textId="77777777" w:rsidR="008D6614" w:rsidRDefault="008D6614">
            <w:pPr>
              <w:jc w:val="right"/>
              <w:rPr>
                <w:rFonts w:ascii="宋体"/>
              </w:rPr>
            </w:pPr>
          </w:p>
        </w:tc>
        <w:tc>
          <w:tcPr>
            <w:tcW w:w="0" w:type="auto"/>
            <w:gridSpan w:val="3"/>
            <w:shd w:val="clear" w:color="auto" w:fill="E2E2E2"/>
            <w:tcMar>
              <w:left w:w="20" w:type="dxa"/>
              <w:right w:w="20" w:type="dxa"/>
            </w:tcMar>
            <w:vAlign w:val="bottom"/>
          </w:tcPr>
          <w:p w14:paraId="64A8B7FD"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7FE" w14:textId="77777777" w:rsidR="008D6614" w:rsidRDefault="008D6614">
            <w:pPr>
              <w:rPr>
                <w:rFonts w:ascii="宋体"/>
              </w:rPr>
            </w:pPr>
          </w:p>
        </w:tc>
        <w:tc>
          <w:tcPr>
            <w:tcW w:w="0" w:type="auto"/>
            <w:gridSpan w:val="2"/>
            <w:shd w:val="clear" w:color="auto" w:fill="E2E2E2"/>
            <w:tcMar>
              <w:left w:w="20" w:type="dxa"/>
              <w:right w:w="0" w:type="dxa"/>
            </w:tcMar>
            <w:vAlign w:val="bottom"/>
          </w:tcPr>
          <w:p w14:paraId="64A8B7FF" w14:textId="77777777" w:rsidR="008D6614" w:rsidRDefault="008D6614">
            <w:pPr>
              <w:jc w:val="right"/>
              <w:rPr>
                <w:rFonts w:ascii="宋体"/>
              </w:rPr>
            </w:pPr>
          </w:p>
        </w:tc>
        <w:tc>
          <w:tcPr>
            <w:tcW w:w="0" w:type="auto"/>
            <w:shd w:val="clear" w:color="auto" w:fill="E2E2E2"/>
            <w:tcMar>
              <w:right w:w="20" w:type="dxa"/>
            </w:tcMar>
            <w:vAlign w:val="bottom"/>
          </w:tcPr>
          <w:p w14:paraId="64A8B800" w14:textId="77777777" w:rsidR="008D6614" w:rsidRDefault="008D6614">
            <w:pPr>
              <w:jc w:val="right"/>
              <w:rPr>
                <w:rFonts w:ascii="宋体"/>
              </w:rPr>
            </w:pPr>
          </w:p>
        </w:tc>
        <w:tc>
          <w:tcPr>
            <w:tcW w:w="0" w:type="auto"/>
            <w:gridSpan w:val="3"/>
            <w:shd w:val="clear" w:color="auto" w:fill="E2E2E2"/>
            <w:tcMar>
              <w:left w:w="20" w:type="dxa"/>
              <w:right w:w="20" w:type="dxa"/>
            </w:tcMar>
            <w:vAlign w:val="bottom"/>
          </w:tcPr>
          <w:p w14:paraId="64A8B801" w14:textId="77777777" w:rsidR="008D6614" w:rsidRDefault="008D6614">
            <w:pPr>
              <w:rPr>
                <w:rFonts w:ascii="宋体"/>
              </w:rPr>
            </w:pPr>
          </w:p>
        </w:tc>
        <w:tc>
          <w:tcPr>
            <w:tcW w:w="0" w:type="auto"/>
            <w:gridSpan w:val="2"/>
            <w:shd w:val="clear" w:color="auto" w:fill="E2E2E2"/>
            <w:tcMar>
              <w:left w:w="20" w:type="dxa"/>
              <w:right w:w="0" w:type="dxa"/>
            </w:tcMar>
            <w:vAlign w:val="bottom"/>
          </w:tcPr>
          <w:p w14:paraId="64A8B802" w14:textId="77777777" w:rsidR="008D6614" w:rsidRDefault="008D6614">
            <w:pPr>
              <w:jc w:val="right"/>
              <w:rPr>
                <w:rFonts w:ascii="宋体"/>
              </w:rPr>
            </w:pPr>
          </w:p>
        </w:tc>
        <w:tc>
          <w:tcPr>
            <w:tcW w:w="0" w:type="auto"/>
            <w:shd w:val="clear" w:color="auto" w:fill="E2E2E2"/>
            <w:tcMar>
              <w:right w:w="20" w:type="dxa"/>
            </w:tcMar>
            <w:vAlign w:val="bottom"/>
          </w:tcPr>
          <w:p w14:paraId="64A8B803" w14:textId="77777777" w:rsidR="008D6614" w:rsidRDefault="008D6614">
            <w:pPr>
              <w:jc w:val="right"/>
              <w:rPr>
                <w:rFonts w:ascii="宋体"/>
              </w:rPr>
            </w:pPr>
          </w:p>
        </w:tc>
      </w:tr>
      <w:tr w:rsidR="008D6614" w14:paraId="64A8B816" w14:textId="77777777">
        <w:trPr>
          <w:jc w:val="center"/>
        </w:trPr>
        <w:tc>
          <w:tcPr>
            <w:tcW w:w="0" w:type="auto"/>
            <w:gridSpan w:val="3"/>
            <w:shd w:val="clear" w:color="auto" w:fill="FFFFFF"/>
            <w:tcMar>
              <w:top w:w="40" w:type="dxa"/>
              <w:left w:w="20" w:type="dxa"/>
              <w:bottom w:w="40" w:type="dxa"/>
              <w:right w:w="20" w:type="dxa"/>
            </w:tcMar>
            <w:vAlign w:val="bottom"/>
          </w:tcPr>
          <w:p w14:paraId="64A8B805" w14:textId="77777777" w:rsidR="008D6614" w:rsidRDefault="00866AF2">
            <w:pPr>
              <w:textAlignment w:val="bottom"/>
            </w:pPr>
            <w:r>
              <w:rPr>
                <w:rFonts w:ascii="Arial" w:eastAsia="宋体" w:hAnsi="Arial" w:cs="Arial"/>
                <w:color w:val="000000"/>
                <w:sz w:val="17"/>
                <w:szCs w:val="17"/>
              </w:rPr>
              <w:t>   Open Market purchases</w:t>
            </w:r>
          </w:p>
        </w:tc>
        <w:tc>
          <w:tcPr>
            <w:tcW w:w="0" w:type="auto"/>
            <w:gridSpan w:val="3"/>
            <w:shd w:val="clear" w:color="auto" w:fill="FFFFFF"/>
            <w:tcMar>
              <w:left w:w="20" w:type="dxa"/>
              <w:right w:w="20" w:type="dxa"/>
            </w:tcMar>
            <w:vAlign w:val="bottom"/>
          </w:tcPr>
          <w:p w14:paraId="64A8B806"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807" w14:textId="77777777" w:rsidR="008D6614" w:rsidRDefault="00866AF2">
            <w:pPr>
              <w:jc w:val="right"/>
              <w:textAlignment w:val="bottom"/>
            </w:pPr>
            <w:r>
              <w:rPr>
                <w:rFonts w:ascii="Arial" w:eastAsia="宋体" w:hAnsi="Arial" w:cs="Arial"/>
                <w:color w:val="000000"/>
                <w:sz w:val="17"/>
                <w:szCs w:val="17"/>
              </w:rPr>
              <w:t>13,207,124 </w:t>
            </w:r>
          </w:p>
        </w:tc>
        <w:tc>
          <w:tcPr>
            <w:tcW w:w="0" w:type="auto"/>
            <w:shd w:val="clear" w:color="auto" w:fill="FFFFFF"/>
            <w:tcMar>
              <w:top w:w="40" w:type="dxa"/>
              <w:bottom w:w="40" w:type="dxa"/>
              <w:right w:w="20" w:type="dxa"/>
            </w:tcMar>
            <w:vAlign w:val="bottom"/>
          </w:tcPr>
          <w:p w14:paraId="64A8B808"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FFFFFF"/>
            <w:tcMar>
              <w:left w:w="20" w:type="dxa"/>
              <w:right w:w="20" w:type="dxa"/>
            </w:tcMar>
            <w:vAlign w:val="bottom"/>
          </w:tcPr>
          <w:p w14:paraId="64A8B809"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80A" w14:textId="77777777" w:rsidR="008D6614" w:rsidRDefault="00866AF2">
            <w:pPr>
              <w:textAlignment w:val="bottom"/>
            </w:pPr>
            <w:r>
              <w:rPr>
                <w:rFonts w:ascii="Arial" w:eastAsia="宋体" w:hAnsi="Arial" w:cs="Arial"/>
                <w:color w:val="000000"/>
                <w:sz w:val="17"/>
                <w:szCs w:val="17"/>
              </w:rPr>
              <w:t>$</w:t>
            </w:r>
          </w:p>
        </w:tc>
        <w:tc>
          <w:tcPr>
            <w:tcW w:w="0" w:type="auto"/>
            <w:shd w:val="clear" w:color="auto" w:fill="FFFFFF"/>
            <w:tcMar>
              <w:top w:w="40" w:type="dxa"/>
              <w:bottom w:w="40" w:type="dxa"/>
              <w:right w:w="0" w:type="dxa"/>
            </w:tcMar>
            <w:vAlign w:val="bottom"/>
          </w:tcPr>
          <w:p w14:paraId="64A8B80B" w14:textId="77777777" w:rsidR="008D6614" w:rsidRDefault="00866AF2">
            <w:pPr>
              <w:jc w:val="right"/>
              <w:textAlignment w:val="bottom"/>
            </w:pPr>
            <w:r>
              <w:rPr>
                <w:rFonts w:ascii="Arial" w:eastAsia="宋体" w:hAnsi="Arial" w:cs="Arial"/>
                <w:color w:val="000000"/>
                <w:sz w:val="17"/>
                <w:szCs w:val="17"/>
              </w:rPr>
              <w:t>36.23 </w:t>
            </w:r>
          </w:p>
        </w:tc>
        <w:tc>
          <w:tcPr>
            <w:tcW w:w="0" w:type="auto"/>
            <w:shd w:val="clear" w:color="auto" w:fill="FFFFFF"/>
            <w:tcMar>
              <w:top w:w="40" w:type="dxa"/>
              <w:bottom w:w="40" w:type="dxa"/>
              <w:right w:w="20" w:type="dxa"/>
            </w:tcMar>
            <w:vAlign w:val="bottom"/>
          </w:tcPr>
          <w:p w14:paraId="64A8B80C" w14:textId="77777777" w:rsidR="008D6614" w:rsidRDefault="00866AF2">
            <w:pPr>
              <w:jc w:val="right"/>
              <w:textAlignment w:val="bottom"/>
            </w:pPr>
            <w:r>
              <w:rPr>
                <w:rFonts w:ascii="Arial" w:eastAsia="宋体" w:hAnsi="Arial" w:cs="Arial"/>
                <w:color w:val="000000"/>
                <w:sz w:val="17"/>
                <w:szCs w:val="17"/>
              </w:rPr>
              <w:t> </w:t>
            </w:r>
          </w:p>
        </w:tc>
        <w:tc>
          <w:tcPr>
            <w:tcW w:w="0" w:type="auto"/>
            <w:gridSpan w:val="2"/>
            <w:shd w:val="clear" w:color="auto" w:fill="FFFFFF"/>
            <w:tcMar>
              <w:left w:w="20" w:type="dxa"/>
              <w:right w:w="0" w:type="dxa"/>
            </w:tcMar>
            <w:vAlign w:val="bottom"/>
          </w:tcPr>
          <w:p w14:paraId="64A8B80D" w14:textId="77777777" w:rsidR="008D6614" w:rsidRDefault="008D6614">
            <w:pPr>
              <w:rPr>
                <w:rFonts w:ascii="宋体"/>
              </w:rPr>
            </w:pPr>
          </w:p>
        </w:tc>
        <w:tc>
          <w:tcPr>
            <w:tcW w:w="0" w:type="auto"/>
            <w:shd w:val="clear" w:color="auto" w:fill="FFFFFF"/>
            <w:tcMar>
              <w:right w:w="20" w:type="dxa"/>
            </w:tcMar>
            <w:vAlign w:val="bottom"/>
          </w:tcPr>
          <w:p w14:paraId="64A8B80E" w14:textId="77777777" w:rsidR="008D6614" w:rsidRDefault="008D6614">
            <w:pPr>
              <w:jc w:val="right"/>
              <w:rPr>
                <w:rFonts w:ascii="宋体"/>
              </w:rPr>
            </w:pPr>
          </w:p>
        </w:tc>
        <w:tc>
          <w:tcPr>
            <w:tcW w:w="0" w:type="auto"/>
            <w:gridSpan w:val="3"/>
            <w:shd w:val="clear" w:color="auto" w:fill="FFFFFF"/>
            <w:tcMar>
              <w:left w:w="20" w:type="dxa"/>
              <w:right w:w="20" w:type="dxa"/>
            </w:tcMar>
            <w:vAlign w:val="bottom"/>
          </w:tcPr>
          <w:p w14:paraId="64A8B80F" w14:textId="77777777" w:rsidR="008D6614" w:rsidRDefault="008D6614">
            <w:pPr>
              <w:rPr>
                <w:rFonts w:ascii="宋体"/>
              </w:rPr>
            </w:pPr>
          </w:p>
        </w:tc>
        <w:tc>
          <w:tcPr>
            <w:tcW w:w="0" w:type="auto"/>
            <w:gridSpan w:val="2"/>
            <w:shd w:val="clear" w:color="auto" w:fill="FFFFFF"/>
            <w:tcMar>
              <w:top w:w="40" w:type="dxa"/>
              <w:left w:w="20" w:type="dxa"/>
              <w:bottom w:w="40" w:type="dxa"/>
              <w:right w:w="0" w:type="dxa"/>
            </w:tcMar>
            <w:vAlign w:val="bottom"/>
          </w:tcPr>
          <w:p w14:paraId="64A8B810" w14:textId="77777777" w:rsidR="008D6614" w:rsidRDefault="00866AF2">
            <w:pPr>
              <w:jc w:val="right"/>
              <w:textAlignment w:val="bottom"/>
            </w:pPr>
            <w:r>
              <w:rPr>
                <w:rFonts w:ascii="Arial" w:eastAsia="宋体" w:hAnsi="Arial" w:cs="Arial"/>
                <w:color w:val="000000"/>
                <w:sz w:val="17"/>
                <w:szCs w:val="17"/>
              </w:rPr>
              <w:t>13,207,124 </w:t>
            </w:r>
          </w:p>
        </w:tc>
        <w:tc>
          <w:tcPr>
            <w:tcW w:w="0" w:type="auto"/>
            <w:shd w:val="clear" w:color="auto" w:fill="FFFFFF"/>
            <w:tcMar>
              <w:top w:w="40" w:type="dxa"/>
              <w:bottom w:w="40" w:type="dxa"/>
              <w:right w:w="20" w:type="dxa"/>
            </w:tcMar>
            <w:vAlign w:val="bottom"/>
          </w:tcPr>
          <w:p w14:paraId="64A8B811"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FFFFFF"/>
            <w:tcMar>
              <w:left w:w="20" w:type="dxa"/>
              <w:right w:w="20" w:type="dxa"/>
            </w:tcMar>
            <w:vAlign w:val="bottom"/>
          </w:tcPr>
          <w:p w14:paraId="64A8B812" w14:textId="77777777" w:rsidR="008D6614" w:rsidRDefault="008D6614">
            <w:pPr>
              <w:rPr>
                <w:rFonts w:ascii="宋体"/>
              </w:rPr>
            </w:pPr>
          </w:p>
        </w:tc>
        <w:tc>
          <w:tcPr>
            <w:tcW w:w="0" w:type="auto"/>
            <w:shd w:val="clear" w:color="auto" w:fill="FFFFFF"/>
            <w:tcMar>
              <w:top w:w="40" w:type="dxa"/>
              <w:left w:w="20" w:type="dxa"/>
              <w:bottom w:w="40" w:type="dxa"/>
            </w:tcMar>
            <w:vAlign w:val="bottom"/>
          </w:tcPr>
          <w:p w14:paraId="64A8B813" w14:textId="77777777" w:rsidR="008D6614" w:rsidRDefault="00866AF2">
            <w:pPr>
              <w:textAlignment w:val="bottom"/>
            </w:pPr>
            <w:r>
              <w:rPr>
                <w:rFonts w:ascii="Arial" w:eastAsia="宋体" w:hAnsi="Arial" w:cs="Arial"/>
                <w:color w:val="000000"/>
                <w:sz w:val="17"/>
                <w:szCs w:val="17"/>
              </w:rPr>
              <w:t>$</w:t>
            </w:r>
          </w:p>
        </w:tc>
        <w:tc>
          <w:tcPr>
            <w:tcW w:w="0" w:type="auto"/>
            <w:shd w:val="clear" w:color="auto" w:fill="FFFFFF"/>
            <w:tcMar>
              <w:top w:w="40" w:type="dxa"/>
              <w:bottom w:w="40" w:type="dxa"/>
              <w:right w:w="0" w:type="dxa"/>
            </w:tcMar>
            <w:vAlign w:val="bottom"/>
          </w:tcPr>
          <w:p w14:paraId="64A8B814" w14:textId="77777777" w:rsidR="008D6614" w:rsidRDefault="00866AF2">
            <w:pPr>
              <w:jc w:val="right"/>
              <w:textAlignment w:val="bottom"/>
            </w:pPr>
            <w:r>
              <w:rPr>
                <w:rFonts w:ascii="Arial" w:eastAsia="宋体" w:hAnsi="Arial" w:cs="Arial"/>
                <w:color w:val="000000"/>
                <w:sz w:val="17"/>
                <w:szCs w:val="17"/>
              </w:rPr>
              <w:t>6,561,349,089 </w:t>
            </w:r>
          </w:p>
        </w:tc>
        <w:tc>
          <w:tcPr>
            <w:tcW w:w="0" w:type="auto"/>
            <w:shd w:val="clear" w:color="auto" w:fill="FFFFFF"/>
            <w:tcMar>
              <w:top w:w="40" w:type="dxa"/>
              <w:bottom w:w="40" w:type="dxa"/>
              <w:right w:w="20" w:type="dxa"/>
            </w:tcMar>
            <w:vAlign w:val="bottom"/>
          </w:tcPr>
          <w:p w14:paraId="64A8B815" w14:textId="77777777" w:rsidR="008D6614" w:rsidRDefault="00866AF2">
            <w:pPr>
              <w:jc w:val="right"/>
              <w:textAlignment w:val="bottom"/>
            </w:pPr>
            <w:r>
              <w:rPr>
                <w:rFonts w:ascii="Arial" w:eastAsia="宋体" w:hAnsi="Arial" w:cs="Arial"/>
                <w:color w:val="000000"/>
                <w:sz w:val="17"/>
                <w:szCs w:val="17"/>
              </w:rPr>
              <w:t> </w:t>
            </w:r>
          </w:p>
        </w:tc>
      </w:tr>
      <w:tr w:rsidR="008D6614" w14:paraId="64A8B827" w14:textId="77777777">
        <w:trPr>
          <w:jc w:val="center"/>
        </w:trPr>
        <w:tc>
          <w:tcPr>
            <w:tcW w:w="0" w:type="auto"/>
            <w:gridSpan w:val="3"/>
            <w:shd w:val="clear" w:color="auto" w:fill="E2E2E2"/>
            <w:tcMar>
              <w:top w:w="40" w:type="dxa"/>
              <w:left w:w="20" w:type="dxa"/>
              <w:bottom w:w="40" w:type="dxa"/>
              <w:right w:w="20" w:type="dxa"/>
            </w:tcMar>
            <w:vAlign w:val="bottom"/>
          </w:tcPr>
          <w:p w14:paraId="64A8B817" w14:textId="77777777" w:rsidR="008D6614" w:rsidRDefault="00866AF2">
            <w:pPr>
              <w:textAlignment w:val="bottom"/>
            </w:pPr>
            <w:r>
              <w:rPr>
                <w:rFonts w:ascii="Arial" w:eastAsia="宋体" w:hAnsi="Arial" w:cs="Arial"/>
                <w:color w:val="000000"/>
                <w:sz w:val="17"/>
                <w:szCs w:val="17"/>
              </w:rPr>
              <w:t>   Accelerated share repurchase</w:t>
            </w:r>
          </w:p>
        </w:tc>
        <w:tc>
          <w:tcPr>
            <w:tcW w:w="0" w:type="auto"/>
            <w:gridSpan w:val="3"/>
            <w:shd w:val="clear" w:color="auto" w:fill="E2E2E2"/>
            <w:tcMar>
              <w:left w:w="20" w:type="dxa"/>
              <w:right w:w="20" w:type="dxa"/>
            </w:tcMar>
            <w:vAlign w:val="bottom"/>
          </w:tcPr>
          <w:p w14:paraId="64A8B818"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819" w14:textId="77777777" w:rsidR="008D6614" w:rsidRDefault="00866AF2">
            <w:pPr>
              <w:jc w:val="right"/>
              <w:textAlignment w:val="bottom"/>
            </w:pPr>
            <w:r>
              <w:rPr>
                <w:rFonts w:ascii="Arial" w:eastAsia="宋体" w:hAnsi="Arial" w:cs="Arial"/>
                <w:color w:val="000000"/>
                <w:sz w:val="17"/>
                <w:szCs w:val="17"/>
              </w:rPr>
              <w:t>68,566,818 </w:t>
            </w:r>
          </w:p>
        </w:tc>
        <w:tc>
          <w:tcPr>
            <w:tcW w:w="0" w:type="auto"/>
            <w:shd w:val="clear" w:color="auto" w:fill="E2E2E2"/>
            <w:tcMar>
              <w:top w:w="40" w:type="dxa"/>
              <w:bottom w:w="40" w:type="dxa"/>
              <w:right w:w="20" w:type="dxa"/>
            </w:tcMar>
            <w:vAlign w:val="bottom"/>
          </w:tcPr>
          <w:p w14:paraId="64A8B81A"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E2E2E2"/>
            <w:tcMar>
              <w:top w:w="40" w:type="dxa"/>
              <w:left w:w="20" w:type="dxa"/>
              <w:bottom w:w="40" w:type="dxa"/>
              <w:right w:w="20" w:type="dxa"/>
            </w:tcMar>
          </w:tcPr>
          <w:p w14:paraId="64A8B81B" w14:textId="77777777" w:rsidR="008D6614" w:rsidRDefault="00866AF2">
            <w:pPr>
              <w:textAlignment w:val="top"/>
            </w:pPr>
            <w:r>
              <w:rPr>
                <w:rFonts w:ascii="Arial" w:eastAsia="宋体" w:hAnsi="Arial" w:cs="Arial"/>
                <w:color w:val="000000"/>
                <w:sz w:val="11"/>
                <w:szCs w:val="11"/>
              </w:rPr>
              <w:t>(1)</w:t>
            </w:r>
          </w:p>
        </w:tc>
        <w:tc>
          <w:tcPr>
            <w:tcW w:w="0" w:type="auto"/>
            <w:shd w:val="clear" w:color="auto" w:fill="E2E2E2"/>
            <w:tcMar>
              <w:top w:w="40" w:type="dxa"/>
              <w:left w:w="20" w:type="dxa"/>
              <w:bottom w:w="40" w:type="dxa"/>
            </w:tcMar>
            <w:vAlign w:val="bottom"/>
          </w:tcPr>
          <w:p w14:paraId="64A8B81C" w14:textId="77777777" w:rsidR="008D6614" w:rsidRDefault="00866AF2">
            <w:pPr>
              <w:textAlignment w:val="bottom"/>
            </w:pPr>
            <w:r>
              <w:rPr>
                <w:rFonts w:ascii="Arial" w:eastAsia="宋体" w:hAnsi="Arial" w:cs="Arial"/>
                <w:color w:val="000000"/>
                <w:sz w:val="17"/>
                <w:szCs w:val="17"/>
              </w:rPr>
              <w:t>$</w:t>
            </w:r>
          </w:p>
        </w:tc>
        <w:tc>
          <w:tcPr>
            <w:tcW w:w="0" w:type="auto"/>
            <w:shd w:val="clear" w:color="auto" w:fill="E2E2E2"/>
            <w:tcMar>
              <w:top w:w="40" w:type="dxa"/>
              <w:bottom w:w="40" w:type="dxa"/>
              <w:right w:w="0" w:type="dxa"/>
            </w:tcMar>
            <w:vAlign w:val="bottom"/>
          </w:tcPr>
          <w:p w14:paraId="64A8B81D" w14:textId="77777777" w:rsidR="008D6614" w:rsidRDefault="00866AF2">
            <w:pPr>
              <w:jc w:val="right"/>
              <w:textAlignment w:val="bottom"/>
            </w:pPr>
            <w:r>
              <w:rPr>
                <w:rFonts w:ascii="Arial" w:eastAsia="宋体" w:hAnsi="Arial" w:cs="Arial"/>
                <w:color w:val="000000"/>
                <w:sz w:val="17"/>
                <w:szCs w:val="17"/>
              </w:rPr>
              <w:t>— </w:t>
            </w:r>
          </w:p>
        </w:tc>
        <w:tc>
          <w:tcPr>
            <w:tcW w:w="0" w:type="auto"/>
            <w:shd w:val="clear" w:color="auto" w:fill="E2E2E2"/>
            <w:tcMar>
              <w:top w:w="40" w:type="dxa"/>
              <w:bottom w:w="40" w:type="dxa"/>
              <w:right w:w="20" w:type="dxa"/>
            </w:tcMar>
            <w:vAlign w:val="bottom"/>
          </w:tcPr>
          <w:p w14:paraId="64A8B81E"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E2E2E2"/>
            <w:tcMar>
              <w:top w:w="40" w:type="dxa"/>
              <w:left w:w="20" w:type="dxa"/>
              <w:bottom w:w="40" w:type="dxa"/>
              <w:right w:w="20" w:type="dxa"/>
            </w:tcMar>
          </w:tcPr>
          <w:p w14:paraId="64A8B81F" w14:textId="77777777" w:rsidR="008D6614" w:rsidRDefault="00866AF2">
            <w:pPr>
              <w:textAlignment w:val="top"/>
            </w:pPr>
            <w:r>
              <w:rPr>
                <w:rFonts w:ascii="Arial" w:eastAsia="宋体" w:hAnsi="Arial" w:cs="Arial"/>
                <w:color w:val="000000"/>
                <w:sz w:val="11"/>
                <w:szCs w:val="11"/>
              </w:rPr>
              <w:t>(1)</w:t>
            </w:r>
          </w:p>
        </w:tc>
        <w:tc>
          <w:tcPr>
            <w:tcW w:w="0" w:type="auto"/>
            <w:gridSpan w:val="3"/>
            <w:shd w:val="clear" w:color="auto" w:fill="E2E2E2"/>
            <w:tcMar>
              <w:left w:w="20" w:type="dxa"/>
              <w:right w:w="20" w:type="dxa"/>
            </w:tcMar>
            <w:vAlign w:val="bottom"/>
          </w:tcPr>
          <w:p w14:paraId="64A8B820"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821" w14:textId="77777777" w:rsidR="008D6614" w:rsidRDefault="00866AF2">
            <w:pPr>
              <w:jc w:val="right"/>
              <w:textAlignment w:val="bottom"/>
            </w:pPr>
            <w:r>
              <w:rPr>
                <w:rFonts w:ascii="Arial" w:eastAsia="宋体" w:hAnsi="Arial" w:cs="Arial"/>
                <w:color w:val="000000"/>
                <w:sz w:val="17"/>
                <w:szCs w:val="17"/>
              </w:rPr>
              <w:t>68,566,818 </w:t>
            </w:r>
          </w:p>
        </w:tc>
        <w:tc>
          <w:tcPr>
            <w:tcW w:w="0" w:type="auto"/>
            <w:shd w:val="clear" w:color="auto" w:fill="E2E2E2"/>
            <w:tcMar>
              <w:top w:w="40" w:type="dxa"/>
              <w:bottom w:w="40" w:type="dxa"/>
              <w:right w:w="20" w:type="dxa"/>
            </w:tcMar>
            <w:vAlign w:val="bottom"/>
          </w:tcPr>
          <w:p w14:paraId="64A8B822"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E2E2E2"/>
            <w:tcMar>
              <w:left w:w="20" w:type="dxa"/>
              <w:right w:w="20" w:type="dxa"/>
            </w:tcMar>
            <w:vAlign w:val="bottom"/>
          </w:tcPr>
          <w:p w14:paraId="64A8B823"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B824" w14:textId="77777777" w:rsidR="008D6614" w:rsidRDefault="00866AF2">
            <w:pPr>
              <w:textAlignment w:val="bottom"/>
            </w:pPr>
            <w:r>
              <w:rPr>
                <w:rFonts w:ascii="Arial" w:eastAsia="宋体" w:hAnsi="Arial" w:cs="Arial"/>
                <w:color w:val="000000"/>
                <w:sz w:val="17"/>
                <w:szCs w:val="17"/>
              </w:rPr>
              <w:t>$</w:t>
            </w:r>
          </w:p>
        </w:tc>
        <w:tc>
          <w:tcPr>
            <w:tcW w:w="0" w:type="auto"/>
            <w:shd w:val="clear" w:color="auto" w:fill="E2E2E2"/>
            <w:tcMar>
              <w:top w:w="40" w:type="dxa"/>
              <w:bottom w:w="40" w:type="dxa"/>
              <w:right w:w="0" w:type="dxa"/>
            </w:tcMar>
            <w:vAlign w:val="bottom"/>
          </w:tcPr>
          <w:p w14:paraId="64A8B825" w14:textId="77777777" w:rsidR="008D6614" w:rsidRDefault="00866AF2">
            <w:pPr>
              <w:jc w:val="right"/>
              <w:textAlignment w:val="bottom"/>
            </w:pPr>
            <w:r>
              <w:rPr>
                <w:rFonts w:ascii="Arial" w:eastAsia="宋体" w:hAnsi="Arial" w:cs="Arial"/>
                <w:color w:val="000000"/>
                <w:sz w:val="17"/>
                <w:szCs w:val="17"/>
              </w:rPr>
              <w:t>3,561,349,089 </w:t>
            </w:r>
          </w:p>
        </w:tc>
        <w:tc>
          <w:tcPr>
            <w:tcW w:w="0" w:type="auto"/>
            <w:shd w:val="clear" w:color="auto" w:fill="E2E2E2"/>
            <w:tcMar>
              <w:top w:w="40" w:type="dxa"/>
              <w:bottom w:w="40" w:type="dxa"/>
              <w:right w:w="20" w:type="dxa"/>
            </w:tcMar>
            <w:vAlign w:val="bottom"/>
          </w:tcPr>
          <w:p w14:paraId="64A8B826" w14:textId="77777777" w:rsidR="008D6614" w:rsidRDefault="00866AF2">
            <w:pPr>
              <w:jc w:val="right"/>
              <w:textAlignment w:val="bottom"/>
            </w:pPr>
            <w:r>
              <w:rPr>
                <w:rFonts w:ascii="Arial" w:eastAsia="宋体" w:hAnsi="Arial" w:cs="Arial"/>
                <w:color w:val="000000"/>
                <w:sz w:val="17"/>
                <w:szCs w:val="17"/>
              </w:rPr>
              <w:t> </w:t>
            </w:r>
          </w:p>
        </w:tc>
      </w:tr>
      <w:tr w:rsidR="008D6614" w14:paraId="64A8B835" w14:textId="77777777">
        <w:trPr>
          <w:jc w:val="center"/>
        </w:trPr>
        <w:tc>
          <w:tcPr>
            <w:tcW w:w="0" w:type="auto"/>
            <w:gridSpan w:val="3"/>
            <w:shd w:val="clear" w:color="auto" w:fill="FFFFFF"/>
            <w:tcMar>
              <w:top w:w="40" w:type="dxa"/>
              <w:left w:w="20" w:type="dxa"/>
              <w:bottom w:w="40" w:type="dxa"/>
              <w:right w:w="20" w:type="dxa"/>
            </w:tcMar>
            <w:vAlign w:val="bottom"/>
          </w:tcPr>
          <w:p w14:paraId="64A8B828" w14:textId="77777777" w:rsidR="008D6614" w:rsidRDefault="00866AF2">
            <w:pPr>
              <w:textAlignment w:val="bottom"/>
            </w:pPr>
            <w:r>
              <w:rPr>
                <w:rFonts w:ascii="Arial" w:eastAsia="宋体" w:hAnsi="Arial" w:cs="Arial"/>
                <w:color w:val="000000"/>
                <w:sz w:val="17"/>
                <w:szCs w:val="17"/>
              </w:rPr>
              <w:t>March 31, 2020</w:t>
            </w:r>
          </w:p>
        </w:tc>
        <w:tc>
          <w:tcPr>
            <w:tcW w:w="0" w:type="auto"/>
            <w:gridSpan w:val="3"/>
            <w:shd w:val="clear" w:color="auto" w:fill="FFFFFF"/>
            <w:tcMar>
              <w:left w:w="20" w:type="dxa"/>
              <w:right w:w="20" w:type="dxa"/>
            </w:tcMar>
            <w:vAlign w:val="bottom"/>
          </w:tcPr>
          <w:p w14:paraId="64A8B829"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B82A" w14:textId="77777777" w:rsidR="008D6614" w:rsidRDefault="008D6614">
            <w:pPr>
              <w:jc w:val="right"/>
              <w:rPr>
                <w:rFonts w:ascii="宋体"/>
              </w:rPr>
            </w:pPr>
          </w:p>
        </w:tc>
        <w:tc>
          <w:tcPr>
            <w:tcW w:w="0" w:type="auto"/>
            <w:shd w:val="clear" w:color="auto" w:fill="FFFFFF"/>
            <w:tcMar>
              <w:right w:w="20" w:type="dxa"/>
            </w:tcMar>
            <w:vAlign w:val="bottom"/>
          </w:tcPr>
          <w:p w14:paraId="64A8B82B" w14:textId="77777777" w:rsidR="008D6614" w:rsidRDefault="008D6614">
            <w:pPr>
              <w:jc w:val="right"/>
              <w:rPr>
                <w:rFonts w:ascii="宋体"/>
              </w:rPr>
            </w:pPr>
          </w:p>
        </w:tc>
        <w:tc>
          <w:tcPr>
            <w:tcW w:w="0" w:type="auto"/>
            <w:gridSpan w:val="3"/>
            <w:shd w:val="clear" w:color="auto" w:fill="FFFFFF"/>
            <w:tcMar>
              <w:left w:w="20" w:type="dxa"/>
              <w:right w:w="20" w:type="dxa"/>
            </w:tcMar>
            <w:vAlign w:val="bottom"/>
          </w:tcPr>
          <w:p w14:paraId="64A8B82C"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B82D" w14:textId="77777777" w:rsidR="008D6614" w:rsidRDefault="008D6614">
            <w:pPr>
              <w:jc w:val="right"/>
              <w:rPr>
                <w:rFonts w:ascii="宋体"/>
              </w:rPr>
            </w:pPr>
          </w:p>
        </w:tc>
        <w:tc>
          <w:tcPr>
            <w:tcW w:w="0" w:type="auto"/>
            <w:shd w:val="clear" w:color="auto" w:fill="FFFFFF"/>
            <w:tcMar>
              <w:right w:w="20" w:type="dxa"/>
            </w:tcMar>
            <w:vAlign w:val="bottom"/>
          </w:tcPr>
          <w:p w14:paraId="64A8B82E" w14:textId="77777777" w:rsidR="008D6614" w:rsidRDefault="008D6614">
            <w:pPr>
              <w:jc w:val="right"/>
              <w:rPr>
                <w:rFonts w:ascii="宋体"/>
              </w:rPr>
            </w:pPr>
          </w:p>
        </w:tc>
        <w:tc>
          <w:tcPr>
            <w:tcW w:w="0" w:type="auto"/>
            <w:gridSpan w:val="3"/>
            <w:shd w:val="clear" w:color="auto" w:fill="FFFFFF"/>
            <w:tcMar>
              <w:left w:w="20" w:type="dxa"/>
              <w:right w:w="20" w:type="dxa"/>
            </w:tcMar>
            <w:vAlign w:val="bottom"/>
          </w:tcPr>
          <w:p w14:paraId="64A8B82F"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830" w14:textId="77777777" w:rsidR="008D6614" w:rsidRDefault="008D6614">
            <w:pPr>
              <w:rPr>
                <w:rFonts w:ascii="宋体"/>
              </w:rPr>
            </w:pPr>
          </w:p>
        </w:tc>
        <w:tc>
          <w:tcPr>
            <w:tcW w:w="0" w:type="auto"/>
            <w:gridSpan w:val="2"/>
            <w:shd w:val="clear" w:color="auto" w:fill="FFFFFF"/>
            <w:tcMar>
              <w:left w:w="20" w:type="dxa"/>
              <w:right w:w="0" w:type="dxa"/>
            </w:tcMar>
            <w:vAlign w:val="bottom"/>
          </w:tcPr>
          <w:p w14:paraId="64A8B831" w14:textId="77777777" w:rsidR="008D6614" w:rsidRDefault="008D6614">
            <w:pPr>
              <w:jc w:val="right"/>
              <w:rPr>
                <w:rFonts w:ascii="宋体"/>
              </w:rPr>
            </w:pPr>
          </w:p>
        </w:tc>
        <w:tc>
          <w:tcPr>
            <w:tcW w:w="0" w:type="auto"/>
            <w:shd w:val="clear" w:color="auto" w:fill="FFFFFF"/>
            <w:tcMar>
              <w:right w:w="20" w:type="dxa"/>
            </w:tcMar>
            <w:vAlign w:val="bottom"/>
          </w:tcPr>
          <w:p w14:paraId="64A8B832" w14:textId="77777777" w:rsidR="008D6614" w:rsidRDefault="008D6614">
            <w:pPr>
              <w:jc w:val="right"/>
              <w:rPr>
                <w:rFonts w:ascii="宋体"/>
              </w:rPr>
            </w:pPr>
          </w:p>
        </w:tc>
        <w:tc>
          <w:tcPr>
            <w:tcW w:w="0" w:type="auto"/>
            <w:gridSpan w:val="3"/>
            <w:shd w:val="clear" w:color="auto" w:fill="FFFFFF"/>
            <w:tcMar>
              <w:left w:w="20" w:type="dxa"/>
              <w:right w:w="20" w:type="dxa"/>
            </w:tcMar>
            <w:vAlign w:val="bottom"/>
          </w:tcPr>
          <w:p w14:paraId="64A8B833"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834" w14:textId="77777777" w:rsidR="008D6614" w:rsidRDefault="008D6614">
            <w:pPr>
              <w:rPr>
                <w:rFonts w:ascii="宋体"/>
              </w:rPr>
            </w:pPr>
          </w:p>
        </w:tc>
      </w:tr>
      <w:tr w:rsidR="008D6614" w14:paraId="64A8B846" w14:textId="77777777">
        <w:trPr>
          <w:jc w:val="center"/>
        </w:trPr>
        <w:tc>
          <w:tcPr>
            <w:tcW w:w="0" w:type="auto"/>
            <w:gridSpan w:val="3"/>
            <w:shd w:val="clear" w:color="auto" w:fill="E2E2E2"/>
            <w:tcMar>
              <w:top w:w="40" w:type="dxa"/>
              <w:left w:w="20" w:type="dxa"/>
              <w:bottom w:w="40" w:type="dxa"/>
              <w:right w:w="20" w:type="dxa"/>
            </w:tcMar>
            <w:vAlign w:val="bottom"/>
          </w:tcPr>
          <w:p w14:paraId="64A8B836" w14:textId="77777777" w:rsidR="008D6614" w:rsidRDefault="00866AF2">
            <w:pPr>
              <w:textAlignment w:val="bottom"/>
            </w:pPr>
            <w:r>
              <w:rPr>
                <w:rFonts w:ascii="Arial" w:eastAsia="宋体" w:hAnsi="Arial" w:cs="Arial"/>
                <w:color w:val="000000"/>
                <w:sz w:val="17"/>
                <w:szCs w:val="17"/>
              </w:rPr>
              <w:t>   Open Market purchases</w:t>
            </w:r>
          </w:p>
        </w:tc>
        <w:tc>
          <w:tcPr>
            <w:tcW w:w="0" w:type="auto"/>
            <w:gridSpan w:val="3"/>
            <w:shd w:val="clear" w:color="auto" w:fill="E2E2E2"/>
            <w:tcMar>
              <w:left w:w="20" w:type="dxa"/>
              <w:right w:w="20" w:type="dxa"/>
            </w:tcMar>
            <w:vAlign w:val="bottom"/>
          </w:tcPr>
          <w:p w14:paraId="64A8B837"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838" w14:textId="77777777" w:rsidR="008D6614" w:rsidRDefault="00866AF2">
            <w:pPr>
              <w:jc w:val="right"/>
              <w:textAlignment w:val="bottom"/>
            </w:pPr>
            <w:r>
              <w:rPr>
                <w:rFonts w:ascii="Arial" w:eastAsia="宋体" w:hAnsi="Arial" w:cs="Arial"/>
                <w:color w:val="000000"/>
                <w:sz w:val="17"/>
                <w:szCs w:val="17"/>
              </w:rPr>
              <w:t>12,665,693 </w:t>
            </w:r>
          </w:p>
        </w:tc>
        <w:tc>
          <w:tcPr>
            <w:tcW w:w="0" w:type="auto"/>
            <w:shd w:val="clear" w:color="auto" w:fill="E2E2E2"/>
            <w:tcMar>
              <w:top w:w="40" w:type="dxa"/>
              <w:bottom w:w="40" w:type="dxa"/>
              <w:right w:w="20" w:type="dxa"/>
            </w:tcMar>
            <w:vAlign w:val="bottom"/>
          </w:tcPr>
          <w:p w14:paraId="64A8B839"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E2E2E2"/>
            <w:tcMar>
              <w:left w:w="20" w:type="dxa"/>
              <w:right w:w="20" w:type="dxa"/>
            </w:tcMar>
            <w:vAlign w:val="bottom"/>
          </w:tcPr>
          <w:p w14:paraId="64A8B83A"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B83B" w14:textId="77777777" w:rsidR="008D6614" w:rsidRDefault="00866AF2">
            <w:pPr>
              <w:textAlignment w:val="bottom"/>
            </w:pPr>
            <w:r>
              <w:rPr>
                <w:rFonts w:ascii="Arial" w:eastAsia="宋体" w:hAnsi="Arial" w:cs="Arial"/>
                <w:color w:val="000000"/>
                <w:sz w:val="17"/>
                <w:szCs w:val="17"/>
              </w:rPr>
              <w:t>$</w:t>
            </w:r>
          </w:p>
        </w:tc>
        <w:tc>
          <w:tcPr>
            <w:tcW w:w="0" w:type="auto"/>
            <w:shd w:val="clear" w:color="auto" w:fill="E2E2E2"/>
            <w:tcMar>
              <w:top w:w="40" w:type="dxa"/>
              <w:bottom w:w="40" w:type="dxa"/>
              <w:right w:w="0" w:type="dxa"/>
            </w:tcMar>
            <w:vAlign w:val="bottom"/>
          </w:tcPr>
          <w:p w14:paraId="64A8B83C" w14:textId="77777777" w:rsidR="008D6614" w:rsidRDefault="00866AF2">
            <w:pPr>
              <w:jc w:val="right"/>
              <w:textAlignment w:val="bottom"/>
            </w:pPr>
            <w:r>
              <w:rPr>
                <w:rFonts w:ascii="Arial" w:eastAsia="宋体" w:hAnsi="Arial" w:cs="Arial"/>
                <w:color w:val="000000"/>
                <w:sz w:val="17"/>
                <w:szCs w:val="17"/>
              </w:rPr>
              <w:t>32.28 </w:t>
            </w:r>
          </w:p>
        </w:tc>
        <w:tc>
          <w:tcPr>
            <w:tcW w:w="0" w:type="auto"/>
            <w:shd w:val="clear" w:color="auto" w:fill="E2E2E2"/>
            <w:tcMar>
              <w:top w:w="40" w:type="dxa"/>
              <w:bottom w:w="40" w:type="dxa"/>
              <w:right w:w="20" w:type="dxa"/>
            </w:tcMar>
            <w:vAlign w:val="bottom"/>
          </w:tcPr>
          <w:p w14:paraId="64A8B83D"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E2E2E2"/>
            <w:tcMar>
              <w:left w:w="20" w:type="dxa"/>
              <w:right w:w="20" w:type="dxa"/>
            </w:tcMar>
            <w:vAlign w:val="bottom"/>
          </w:tcPr>
          <w:p w14:paraId="64A8B83E" w14:textId="77777777" w:rsidR="008D6614" w:rsidRDefault="008D6614">
            <w:pPr>
              <w:rPr>
                <w:rFonts w:ascii="宋体"/>
              </w:rPr>
            </w:pPr>
          </w:p>
        </w:tc>
        <w:tc>
          <w:tcPr>
            <w:tcW w:w="0" w:type="auto"/>
            <w:gridSpan w:val="3"/>
            <w:shd w:val="clear" w:color="auto" w:fill="E2E2E2"/>
            <w:tcMar>
              <w:left w:w="20" w:type="dxa"/>
              <w:right w:w="20" w:type="dxa"/>
            </w:tcMar>
            <w:vAlign w:val="bottom"/>
          </w:tcPr>
          <w:p w14:paraId="64A8B83F" w14:textId="77777777" w:rsidR="008D6614" w:rsidRDefault="008D6614">
            <w:pPr>
              <w:rPr>
                <w:rFonts w:ascii="宋体"/>
              </w:rPr>
            </w:pPr>
          </w:p>
        </w:tc>
        <w:tc>
          <w:tcPr>
            <w:tcW w:w="0" w:type="auto"/>
            <w:gridSpan w:val="2"/>
            <w:shd w:val="clear" w:color="auto" w:fill="E2E2E2"/>
            <w:tcMar>
              <w:top w:w="40" w:type="dxa"/>
              <w:left w:w="20" w:type="dxa"/>
              <w:bottom w:w="40" w:type="dxa"/>
              <w:right w:w="0" w:type="dxa"/>
            </w:tcMar>
            <w:vAlign w:val="bottom"/>
          </w:tcPr>
          <w:p w14:paraId="64A8B840" w14:textId="77777777" w:rsidR="008D6614" w:rsidRDefault="00866AF2">
            <w:pPr>
              <w:jc w:val="right"/>
              <w:textAlignment w:val="bottom"/>
            </w:pPr>
            <w:r>
              <w:rPr>
                <w:rFonts w:ascii="Arial" w:eastAsia="宋体" w:hAnsi="Arial" w:cs="Arial"/>
                <w:color w:val="000000"/>
                <w:sz w:val="17"/>
                <w:szCs w:val="17"/>
              </w:rPr>
              <w:t>12,665,693 </w:t>
            </w:r>
          </w:p>
        </w:tc>
        <w:tc>
          <w:tcPr>
            <w:tcW w:w="0" w:type="auto"/>
            <w:shd w:val="clear" w:color="auto" w:fill="E2E2E2"/>
            <w:tcMar>
              <w:top w:w="40" w:type="dxa"/>
              <w:bottom w:w="40" w:type="dxa"/>
              <w:right w:w="20" w:type="dxa"/>
            </w:tcMar>
            <w:vAlign w:val="bottom"/>
          </w:tcPr>
          <w:p w14:paraId="64A8B841"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E2E2E2"/>
            <w:tcMar>
              <w:left w:w="20" w:type="dxa"/>
              <w:right w:w="20" w:type="dxa"/>
            </w:tcMar>
            <w:vAlign w:val="bottom"/>
          </w:tcPr>
          <w:p w14:paraId="64A8B842" w14:textId="77777777" w:rsidR="008D6614" w:rsidRDefault="008D6614">
            <w:pPr>
              <w:rPr>
                <w:rFonts w:ascii="宋体"/>
              </w:rPr>
            </w:pPr>
          </w:p>
        </w:tc>
        <w:tc>
          <w:tcPr>
            <w:tcW w:w="0" w:type="auto"/>
            <w:shd w:val="clear" w:color="auto" w:fill="E2E2E2"/>
            <w:tcMar>
              <w:top w:w="40" w:type="dxa"/>
              <w:left w:w="20" w:type="dxa"/>
              <w:bottom w:w="40" w:type="dxa"/>
            </w:tcMar>
            <w:vAlign w:val="bottom"/>
          </w:tcPr>
          <w:p w14:paraId="64A8B843" w14:textId="77777777" w:rsidR="008D6614" w:rsidRDefault="00866AF2">
            <w:pPr>
              <w:textAlignment w:val="bottom"/>
            </w:pPr>
            <w:r>
              <w:rPr>
                <w:rFonts w:ascii="Arial" w:eastAsia="宋体" w:hAnsi="Arial" w:cs="Arial"/>
                <w:color w:val="000000"/>
                <w:sz w:val="17"/>
                <w:szCs w:val="17"/>
              </w:rPr>
              <w:t>$</w:t>
            </w:r>
          </w:p>
        </w:tc>
        <w:tc>
          <w:tcPr>
            <w:tcW w:w="0" w:type="auto"/>
            <w:shd w:val="clear" w:color="auto" w:fill="E2E2E2"/>
            <w:tcMar>
              <w:top w:w="40" w:type="dxa"/>
              <w:bottom w:w="40" w:type="dxa"/>
              <w:right w:w="0" w:type="dxa"/>
            </w:tcMar>
            <w:vAlign w:val="bottom"/>
          </w:tcPr>
          <w:p w14:paraId="64A8B844" w14:textId="77777777" w:rsidR="008D6614" w:rsidRDefault="00866AF2">
            <w:pPr>
              <w:jc w:val="right"/>
              <w:textAlignment w:val="bottom"/>
            </w:pPr>
            <w:r>
              <w:rPr>
                <w:rFonts w:ascii="Arial" w:eastAsia="宋体" w:hAnsi="Arial" w:cs="Arial"/>
                <w:color w:val="000000"/>
                <w:sz w:val="17"/>
                <w:szCs w:val="17"/>
              </w:rPr>
              <w:t>3,152,500,605 </w:t>
            </w:r>
          </w:p>
        </w:tc>
        <w:tc>
          <w:tcPr>
            <w:tcW w:w="0" w:type="auto"/>
            <w:shd w:val="clear" w:color="auto" w:fill="E2E2E2"/>
            <w:tcMar>
              <w:top w:w="40" w:type="dxa"/>
              <w:bottom w:w="40" w:type="dxa"/>
              <w:right w:w="20" w:type="dxa"/>
            </w:tcMar>
            <w:vAlign w:val="bottom"/>
          </w:tcPr>
          <w:p w14:paraId="64A8B845" w14:textId="77777777" w:rsidR="008D6614" w:rsidRDefault="00866AF2">
            <w:pPr>
              <w:jc w:val="right"/>
              <w:textAlignment w:val="bottom"/>
            </w:pPr>
            <w:r>
              <w:rPr>
                <w:rFonts w:ascii="Arial" w:eastAsia="宋体" w:hAnsi="Arial" w:cs="Arial"/>
                <w:color w:val="000000"/>
                <w:sz w:val="17"/>
                <w:szCs w:val="17"/>
              </w:rPr>
              <w:t> </w:t>
            </w:r>
          </w:p>
        </w:tc>
      </w:tr>
      <w:tr w:rsidR="008D6614" w14:paraId="64A8B853" w14:textId="77777777">
        <w:trPr>
          <w:jc w:val="center"/>
        </w:trPr>
        <w:tc>
          <w:tcPr>
            <w:tcW w:w="0" w:type="auto"/>
            <w:gridSpan w:val="3"/>
            <w:shd w:val="clear" w:color="auto" w:fill="FFFFFF"/>
            <w:tcMar>
              <w:left w:w="20" w:type="dxa"/>
              <w:right w:w="20" w:type="dxa"/>
            </w:tcMar>
            <w:vAlign w:val="bottom"/>
          </w:tcPr>
          <w:p w14:paraId="64A8B847"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848" w14:textId="77777777" w:rsidR="008D6614" w:rsidRDefault="008D661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A8B849" w14:textId="77777777" w:rsidR="008D6614" w:rsidRDefault="00866AF2">
            <w:pPr>
              <w:jc w:val="right"/>
              <w:textAlignment w:val="bottom"/>
            </w:pPr>
            <w:r>
              <w:rPr>
                <w:rFonts w:ascii="Arial" w:eastAsia="宋体" w:hAnsi="Arial" w:cs="Arial"/>
                <w:color w:val="000000"/>
                <w:sz w:val="17"/>
                <w:szCs w:val="17"/>
              </w:rPr>
              <w:t>97,680,713 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B84A"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FFFFFF"/>
            <w:tcMar>
              <w:left w:w="20" w:type="dxa"/>
              <w:right w:w="20" w:type="dxa"/>
            </w:tcMar>
            <w:vAlign w:val="bottom"/>
          </w:tcPr>
          <w:p w14:paraId="64A8B84B"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84C"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84D"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84E" w14:textId="77777777" w:rsidR="008D6614" w:rsidRDefault="008D661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A8B84F" w14:textId="77777777" w:rsidR="008D6614" w:rsidRDefault="00866AF2">
            <w:pPr>
              <w:jc w:val="right"/>
              <w:textAlignment w:val="bottom"/>
            </w:pPr>
            <w:r>
              <w:rPr>
                <w:rFonts w:ascii="Arial" w:eastAsia="宋体" w:hAnsi="Arial" w:cs="Arial"/>
                <w:color w:val="000000"/>
                <w:sz w:val="17"/>
                <w:szCs w:val="17"/>
              </w:rPr>
              <w:t>97,680,713 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64A8B850" w14:textId="77777777" w:rsidR="008D6614" w:rsidRDefault="00866AF2">
            <w:pPr>
              <w:jc w:val="right"/>
              <w:textAlignment w:val="bottom"/>
            </w:pPr>
            <w:r>
              <w:rPr>
                <w:rFonts w:ascii="Arial" w:eastAsia="宋体" w:hAnsi="Arial" w:cs="Arial"/>
                <w:color w:val="000000"/>
                <w:sz w:val="17"/>
                <w:szCs w:val="17"/>
              </w:rPr>
              <w:t> </w:t>
            </w:r>
          </w:p>
        </w:tc>
        <w:tc>
          <w:tcPr>
            <w:tcW w:w="0" w:type="auto"/>
            <w:gridSpan w:val="3"/>
            <w:shd w:val="clear" w:color="auto" w:fill="FFFFFF"/>
            <w:tcMar>
              <w:left w:w="20" w:type="dxa"/>
              <w:right w:w="20" w:type="dxa"/>
            </w:tcMar>
            <w:vAlign w:val="bottom"/>
          </w:tcPr>
          <w:p w14:paraId="64A8B851" w14:textId="77777777" w:rsidR="008D6614" w:rsidRDefault="008D6614">
            <w:pPr>
              <w:rPr>
                <w:rFonts w:ascii="宋体"/>
              </w:rPr>
            </w:pPr>
          </w:p>
        </w:tc>
        <w:tc>
          <w:tcPr>
            <w:tcW w:w="0" w:type="auto"/>
            <w:gridSpan w:val="3"/>
            <w:shd w:val="clear" w:color="auto" w:fill="FFFFFF"/>
            <w:tcMar>
              <w:left w:w="20" w:type="dxa"/>
              <w:right w:w="20" w:type="dxa"/>
            </w:tcMar>
            <w:vAlign w:val="bottom"/>
          </w:tcPr>
          <w:p w14:paraId="64A8B852" w14:textId="77777777" w:rsidR="008D6614" w:rsidRDefault="008D6614">
            <w:pPr>
              <w:rPr>
                <w:rFonts w:ascii="宋体"/>
              </w:rPr>
            </w:pPr>
          </w:p>
        </w:tc>
      </w:tr>
    </w:tbl>
    <w:p w14:paraId="64A8B854" w14:textId="77777777" w:rsidR="008D6614" w:rsidRDefault="008D6614"/>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8D6614" w14:paraId="64A8B858" w14:textId="77777777">
        <w:tc>
          <w:tcPr>
            <w:tcW w:w="50" w:type="pct"/>
            <w:shd w:val="clear" w:color="auto" w:fill="auto"/>
            <w:vAlign w:val="center"/>
          </w:tcPr>
          <w:p w14:paraId="64A8B855" w14:textId="77777777" w:rsidR="008D6614" w:rsidRDefault="008D6614">
            <w:pPr>
              <w:rPr>
                <w:rFonts w:ascii="宋体"/>
              </w:rPr>
            </w:pPr>
          </w:p>
        </w:tc>
        <w:tc>
          <w:tcPr>
            <w:tcW w:w="4900" w:type="pct"/>
            <w:shd w:val="clear" w:color="auto" w:fill="auto"/>
            <w:vAlign w:val="center"/>
          </w:tcPr>
          <w:p w14:paraId="64A8B856" w14:textId="77777777" w:rsidR="008D6614" w:rsidRDefault="008D6614">
            <w:pPr>
              <w:rPr>
                <w:rFonts w:ascii="宋体"/>
              </w:rPr>
            </w:pPr>
          </w:p>
        </w:tc>
        <w:tc>
          <w:tcPr>
            <w:tcW w:w="50" w:type="pct"/>
            <w:shd w:val="clear" w:color="auto" w:fill="auto"/>
            <w:vAlign w:val="center"/>
          </w:tcPr>
          <w:p w14:paraId="64A8B857" w14:textId="77777777" w:rsidR="008D6614" w:rsidRDefault="008D6614">
            <w:pPr>
              <w:rPr>
                <w:rFonts w:ascii="宋体"/>
              </w:rPr>
            </w:pPr>
          </w:p>
        </w:tc>
      </w:tr>
      <w:tr w:rsidR="008D6614" w14:paraId="64A8B85A" w14:textId="77777777">
        <w:trPr>
          <w:trHeight w:val="60"/>
        </w:trPr>
        <w:tc>
          <w:tcPr>
            <w:tcW w:w="0" w:type="auto"/>
            <w:gridSpan w:val="3"/>
            <w:tcBorders>
              <w:top w:val="single" w:sz="8" w:space="0" w:color="000000"/>
            </w:tcBorders>
            <w:shd w:val="clear" w:color="auto" w:fill="auto"/>
            <w:tcMar>
              <w:left w:w="20" w:type="dxa"/>
              <w:right w:w="20" w:type="dxa"/>
            </w:tcMar>
            <w:vAlign w:val="bottom"/>
          </w:tcPr>
          <w:p w14:paraId="64A8B859" w14:textId="77777777" w:rsidR="008D6614" w:rsidRDefault="008D6614">
            <w:pPr>
              <w:rPr>
                <w:rFonts w:ascii="宋体"/>
              </w:rPr>
            </w:pPr>
          </w:p>
        </w:tc>
      </w:tr>
    </w:tbl>
    <w:p w14:paraId="64A8B85B" w14:textId="77777777" w:rsidR="008D6614" w:rsidRDefault="00866AF2">
      <w:pPr>
        <w:ind w:hanging="360"/>
      </w:pPr>
      <w:r>
        <w:rPr>
          <w:rFonts w:ascii="Arial" w:eastAsia="宋体" w:hAnsi="Arial" w:cs="Arial"/>
          <w:color w:val="000000"/>
          <w:sz w:val="16"/>
          <w:szCs w:val="16"/>
        </w:rPr>
        <w:t>(1)In February 2020, we entered into accelerated share repurchase agreements (the “ASR Agreements”) with each of three financial institutions (each, an “ASR Counterparty”), as part of our share repurchase program. Under the ASR agreements we paid an aggreg</w:t>
      </w:r>
      <w:r>
        <w:rPr>
          <w:rFonts w:ascii="Arial" w:eastAsia="宋体" w:hAnsi="Arial" w:cs="Arial"/>
          <w:color w:val="000000"/>
          <w:sz w:val="16"/>
          <w:szCs w:val="16"/>
        </w:rPr>
        <w:t xml:space="preserve">ate amount of $3.0 billion to the ASR Counterparties and received an initial delivery of </w:t>
      </w:r>
      <w:r>
        <w:rPr>
          <w:rFonts w:ascii="Arial" w:eastAsia="宋体" w:hAnsi="Arial" w:cs="Arial"/>
          <w:color w:val="212529"/>
          <w:sz w:val="16"/>
          <w:szCs w:val="16"/>
        </w:rPr>
        <w:t>69 million</w:t>
      </w:r>
      <w:r>
        <w:rPr>
          <w:rFonts w:ascii="Arial" w:eastAsia="宋体" w:hAnsi="Arial" w:cs="Arial"/>
          <w:color w:val="000000"/>
          <w:sz w:val="16"/>
          <w:szCs w:val="16"/>
        </w:rPr>
        <w:t xml:space="preserve"> shares of our common stock. Pursuant to the terms of the ASR Agreements, the final number of shares and the average purchase price will be determined at the</w:t>
      </w:r>
      <w:r>
        <w:rPr>
          <w:rFonts w:ascii="Arial" w:eastAsia="宋体" w:hAnsi="Arial" w:cs="Arial"/>
          <w:color w:val="000000"/>
          <w:sz w:val="16"/>
          <w:szCs w:val="16"/>
        </w:rPr>
        <w:t xml:space="preserve"> end of the applicable purchase periods, which are scheduled to occur in the third quarter of 2020 but may occur earlier in certain circumstances.</w:t>
      </w:r>
    </w:p>
    <w:p w14:paraId="64A8B85C" w14:textId="77777777" w:rsidR="008D6614" w:rsidRDefault="00866AF2">
      <w:pPr>
        <w:spacing w:before="60" w:after="120"/>
        <w:ind w:hanging="360"/>
        <w:jc w:val="both"/>
      </w:pPr>
      <w:r>
        <w:rPr>
          <w:rFonts w:ascii="Arial" w:eastAsia="宋体" w:hAnsi="Arial" w:cs="Arial"/>
          <w:color w:val="000000"/>
          <w:sz w:val="16"/>
          <w:szCs w:val="16"/>
        </w:rPr>
        <w:t>(2)In January 2019 our Board authorized a $4.0 billion stock repurchase program and in January 2020 our Board</w:t>
      </w:r>
      <w:r>
        <w:rPr>
          <w:rFonts w:ascii="Arial" w:eastAsia="宋体" w:hAnsi="Arial" w:cs="Arial"/>
          <w:color w:val="000000"/>
          <w:sz w:val="16"/>
          <w:szCs w:val="16"/>
        </w:rPr>
        <w:t xml:space="preserve"> authorized an additional $5.0 billion stock repurchase program. These stock repurchase programs have no expiration from the date of authorization.</w:t>
      </w:r>
    </w:p>
    <w:p w14:paraId="64A8B85D" w14:textId="77777777" w:rsidR="008D6614" w:rsidRDefault="00866AF2">
      <w:pPr>
        <w:spacing w:before="60" w:after="120"/>
        <w:jc w:val="both"/>
      </w:pPr>
      <w:r>
        <w:rPr>
          <w:rFonts w:ascii="Arial" w:eastAsia="宋体" w:hAnsi="Arial" w:cs="Arial"/>
          <w:color w:val="000000"/>
          <w:sz w:val="16"/>
          <w:szCs w:val="16"/>
        </w:rPr>
        <w:t>Our stock repurchase programs are intended to programmatically offset the impact of dilution from our equity</w:t>
      </w:r>
      <w:r>
        <w:rPr>
          <w:rFonts w:ascii="Arial" w:eastAsia="宋体" w:hAnsi="Arial" w:cs="Arial"/>
          <w:color w:val="000000"/>
          <w:sz w:val="16"/>
          <w:szCs w:val="16"/>
        </w:rPr>
        <w:t xml:space="preserve"> compensation programs and, subject to market conditions and other factors, to make opportunistic and programmatic repurchases of our common stock to reduce our outstanding share count. Any share repurchases under our stock repurchase programs may be made </w:t>
      </w:r>
      <w:r>
        <w:rPr>
          <w:rFonts w:ascii="Arial" w:eastAsia="宋体" w:hAnsi="Arial" w:cs="Arial"/>
          <w:color w:val="000000"/>
          <w:sz w:val="16"/>
          <w:szCs w:val="16"/>
        </w:rPr>
        <w:t xml:space="preserve">through open market transactions, block trades, privately negotiated transactions (including accelerated share repurchase transactions) or other means at times and in such amounts as management deems appropriate and will be funded from our working capital </w:t>
      </w:r>
      <w:r>
        <w:rPr>
          <w:rFonts w:ascii="Arial" w:eastAsia="宋体" w:hAnsi="Arial" w:cs="Arial"/>
          <w:color w:val="000000"/>
          <w:sz w:val="16"/>
          <w:szCs w:val="16"/>
        </w:rPr>
        <w:t xml:space="preserve">or other financing alternatives. </w:t>
      </w:r>
    </w:p>
    <w:p w14:paraId="64A8B85E" w14:textId="77777777" w:rsidR="008D6614" w:rsidRDefault="00866AF2">
      <w:r>
        <w:rPr>
          <w:rFonts w:ascii="Arial" w:eastAsia="宋体" w:hAnsi="Arial" w:cs="Arial"/>
          <w:color w:val="000000"/>
          <w:sz w:val="16"/>
          <w:szCs w:val="16"/>
        </w:rPr>
        <w:t>During the three months ended March 31, 2020, we (i) entered into the ASR Agreements and paid an aggregate amount of $3.0 billion to the ASR Counterparties and (ii) additionally repurchased approximately $1.0 billion of ou</w:t>
      </w:r>
      <w:r>
        <w:rPr>
          <w:rFonts w:ascii="Arial" w:eastAsia="宋体" w:hAnsi="Arial" w:cs="Arial"/>
          <w:color w:val="000000"/>
          <w:sz w:val="16"/>
          <w:szCs w:val="16"/>
        </w:rPr>
        <w:t>r common stock under our stock repurchase program. As of March 31, 2020, a total of approximately $3.2 billion remained available for future repurchases of our common stock under our stock repurchase program.</w:t>
      </w:r>
    </w:p>
    <w:p w14:paraId="64A8B85F" w14:textId="77777777" w:rsidR="008D6614" w:rsidRDefault="00866AF2">
      <w:pPr>
        <w:spacing w:before="120" w:after="120"/>
        <w:jc w:val="both"/>
      </w:pPr>
      <w:r>
        <w:rPr>
          <w:rFonts w:ascii="Arial" w:eastAsia="宋体" w:hAnsi="Arial" w:cs="Arial"/>
          <w:color w:val="000000"/>
          <w:sz w:val="16"/>
          <w:szCs w:val="16"/>
        </w:rPr>
        <w:t xml:space="preserve">We expect, subject to market </w:t>
      </w:r>
      <w:r>
        <w:rPr>
          <w:rFonts w:ascii="Arial" w:eastAsia="宋体" w:hAnsi="Arial" w:cs="Arial"/>
          <w:color w:val="000000"/>
          <w:sz w:val="16"/>
          <w:szCs w:val="16"/>
        </w:rPr>
        <w:t>conditions and other uncertainties, to continue making opportunistic and programmatic repurchases of our common stock. However, our stock repurchase programs may be limited or terminated at any time without prior notice. The timing and actual number of sha</w:t>
      </w:r>
      <w:r>
        <w:rPr>
          <w:rFonts w:ascii="Arial" w:eastAsia="宋体" w:hAnsi="Arial" w:cs="Arial"/>
          <w:color w:val="000000"/>
          <w:sz w:val="16"/>
          <w:szCs w:val="16"/>
        </w:rPr>
        <w:t>res repurchased will depend on a variety of factors, including corporate and regulatory requirements, price and other market conditions and management’s determination as to the appropriate use of our cash. </w:t>
      </w:r>
    </w:p>
    <w:p w14:paraId="64A8B860" w14:textId="77777777" w:rsidR="008D6614" w:rsidRDefault="00866AF2">
      <w:pPr>
        <w:ind w:hanging="360"/>
      </w:pPr>
      <w:r>
        <w:rPr>
          <w:rFonts w:ascii="Arial" w:eastAsia="宋体" w:hAnsi="Arial" w:cs="Arial"/>
          <w:color w:val="000000"/>
          <w:sz w:val="16"/>
          <w:szCs w:val="16"/>
        </w:rPr>
        <w:t>(3)Excludes broker commissions.</w:t>
      </w:r>
    </w:p>
    <w:p w14:paraId="64A8B861" w14:textId="77777777" w:rsidR="008D6614" w:rsidRDefault="008D6614">
      <w:pPr>
        <w:ind w:firstLine="540"/>
      </w:pPr>
    </w:p>
    <w:p w14:paraId="64A8B862" w14:textId="77777777" w:rsidR="008D6614" w:rsidRDefault="00866AF2">
      <w:pPr>
        <w:ind w:hanging="1080"/>
      </w:pPr>
      <w:r>
        <w:rPr>
          <w:rFonts w:ascii="Arial" w:eastAsia="宋体" w:hAnsi="Arial" w:cs="Arial"/>
          <w:b/>
          <w:bCs/>
          <w:color w:val="000000"/>
          <w:sz w:val="20"/>
          <w:szCs w:val="20"/>
        </w:rPr>
        <w:t>Item 3:</w:t>
      </w:r>
      <w:r>
        <w:rPr>
          <w:rFonts w:ascii="Arial" w:eastAsia="宋体" w:hAnsi="Arial" w:cs="Arial"/>
          <w:color w:val="000000"/>
          <w:sz w:val="20"/>
          <w:szCs w:val="20"/>
        </w:rPr>
        <w:t> </w:t>
      </w:r>
      <w:r>
        <w:rPr>
          <w:rFonts w:ascii="Arial" w:eastAsia="宋体" w:hAnsi="Arial" w:cs="Arial"/>
          <w:b/>
          <w:bCs/>
          <w:color w:val="000000"/>
          <w:sz w:val="20"/>
          <w:szCs w:val="20"/>
        </w:rPr>
        <w:t>Defaults</w:t>
      </w:r>
      <w:r>
        <w:rPr>
          <w:rFonts w:ascii="Arial" w:eastAsia="宋体" w:hAnsi="Arial" w:cs="Arial"/>
          <w:b/>
          <w:bCs/>
          <w:color w:val="000000"/>
          <w:sz w:val="20"/>
          <w:szCs w:val="20"/>
        </w:rPr>
        <w:t xml:space="preserve"> Upon Senior Securities</w:t>
      </w:r>
    </w:p>
    <w:p w14:paraId="64A8B863" w14:textId="77777777" w:rsidR="008D6614" w:rsidRDefault="008D6614">
      <w:pPr>
        <w:ind w:hanging="1080"/>
      </w:pPr>
    </w:p>
    <w:p w14:paraId="64A8B864" w14:textId="77777777" w:rsidR="008D6614" w:rsidRDefault="00866AF2">
      <w:pPr>
        <w:ind w:firstLine="540"/>
      </w:pPr>
      <w:r>
        <w:rPr>
          <w:rFonts w:ascii="Arial" w:eastAsia="宋体" w:hAnsi="Arial" w:cs="Arial"/>
          <w:color w:val="000000"/>
          <w:sz w:val="20"/>
          <w:szCs w:val="20"/>
        </w:rPr>
        <w:t>Not applicable.</w:t>
      </w:r>
    </w:p>
    <w:p w14:paraId="64A8B865" w14:textId="77777777" w:rsidR="008D6614" w:rsidRDefault="008D6614">
      <w:pPr>
        <w:ind w:hanging="1080"/>
      </w:pPr>
    </w:p>
    <w:p w14:paraId="64A8B866" w14:textId="77777777" w:rsidR="008D6614" w:rsidRDefault="00866AF2">
      <w:pPr>
        <w:ind w:hanging="1080"/>
      </w:pPr>
      <w:r>
        <w:rPr>
          <w:rFonts w:ascii="Arial" w:eastAsia="宋体" w:hAnsi="Arial" w:cs="Arial"/>
          <w:b/>
          <w:bCs/>
          <w:color w:val="000000"/>
          <w:sz w:val="20"/>
          <w:szCs w:val="20"/>
        </w:rPr>
        <w:t>Item 4:</w:t>
      </w:r>
      <w:r>
        <w:rPr>
          <w:rFonts w:ascii="Arial" w:eastAsia="宋体" w:hAnsi="Arial" w:cs="Arial"/>
          <w:color w:val="000000"/>
          <w:sz w:val="20"/>
          <w:szCs w:val="20"/>
        </w:rPr>
        <w:t> </w:t>
      </w:r>
      <w:r>
        <w:rPr>
          <w:rFonts w:ascii="Arial" w:eastAsia="宋体" w:hAnsi="Arial" w:cs="Arial"/>
          <w:b/>
          <w:bCs/>
          <w:color w:val="000000"/>
          <w:sz w:val="20"/>
          <w:szCs w:val="20"/>
        </w:rPr>
        <w:t>Mine Safety Disclosures</w:t>
      </w:r>
    </w:p>
    <w:p w14:paraId="64A8B867" w14:textId="77777777" w:rsidR="008D6614" w:rsidRDefault="008D6614">
      <w:pPr>
        <w:ind w:firstLine="540"/>
      </w:pPr>
    </w:p>
    <w:p w14:paraId="64A8B868" w14:textId="77777777" w:rsidR="008D6614" w:rsidRDefault="00866AF2">
      <w:pPr>
        <w:ind w:firstLine="540"/>
      </w:pPr>
      <w:r>
        <w:rPr>
          <w:rFonts w:ascii="Arial" w:eastAsia="宋体" w:hAnsi="Arial" w:cs="Arial"/>
          <w:color w:val="000000"/>
          <w:sz w:val="20"/>
          <w:szCs w:val="20"/>
        </w:rPr>
        <w:t>Not applicable.</w:t>
      </w:r>
    </w:p>
    <w:p w14:paraId="64A8B869" w14:textId="77777777" w:rsidR="008D6614" w:rsidRDefault="008D6614">
      <w:pPr>
        <w:ind w:hanging="1080"/>
      </w:pPr>
    </w:p>
    <w:p w14:paraId="64A8B86A" w14:textId="77777777" w:rsidR="008D6614" w:rsidRDefault="00866AF2">
      <w:pPr>
        <w:ind w:hanging="1080"/>
      </w:pPr>
      <w:r>
        <w:rPr>
          <w:rFonts w:ascii="Arial" w:eastAsia="宋体" w:hAnsi="Arial" w:cs="Arial"/>
          <w:b/>
          <w:bCs/>
          <w:color w:val="000000"/>
          <w:sz w:val="20"/>
          <w:szCs w:val="20"/>
        </w:rPr>
        <w:t>Item 5:</w:t>
      </w:r>
      <w:r>
        <w:rPr>
          <w:rFonts w:ascii="Arial" w:eastAsia="宋体" w:hAnsi="Arial" w:cs="Arial"/>
          <w:color w:val="000000"/>
          <w:sz w:val="20"/>
          <w:szCs w:val="20"/>
        </w:rPr>
        <w:t> </w:t>
      </w:r>
      <w:r>
        <w:rPr>
          <w:rFonts w:ascii="Arial" w:eastAsia="宋体" w:hAnsi="Arial" w:cs="Arial"/>
          <w:b/>
          <w:bCs/>
          <w:color w:val="000000"/>
          <w:sz w:val="20"/>
          <w:szCs w:val="20"/>
        </w:rPr>
        <w:t>Other Information</w:t>
      </w:r>
    </w:p>
    <w:p w14:paraId="64A8B86B" w14:textId="77777777" w:rsidR="008D6614" w:rsidRDefault="008D6614">
      <w:pPr>
        <w:ind w:hanging="1080"/>
      </w:pPr>
    </w:p>
    <w:p w14:paraId="64A8B86C" w14:textId="77777777" w:rsidR="008D6614" w:rsidRDefault="00866AF2">
      <w:pPr>
        <w:ind w:firstLine="540"/>
      </w:pPr>
      <w:r>
        <w:rPr>
          <w:rFonts w:ascii="Arial" w:eastAsia="宋体" w:hAnsi="Arial" w:cs="Arial"/>
          <w:color w:val="000000"/>
          <w:sz w:val="20"/>
          <w:szCs w:val="20"/>
        </w:rPr>
        <w:t>Not applicable.</w:t>
      </w:r>
    </w:p>
    <w:p w14:paraId="64A8B86D" w14:textId="77777777" w:rsidR="008D6614" w:rsidRDefault="008D6614">
      <w:pPr>
        <w:ind w:hanging="1080"/>
      </w:pPr>
    </w:p>
    <w:p w14:paraId="64A8B86E" w14:textId="77777777" w:rsidR="008D6614" w:rsidRDefault="00866AF2">
      <w:pPr>
        <w:ind w:hanging="1080"/>
      </w:pPr>
      <w:r>
        <w:rPr>
          <w:rFonts w:ascii="Arial" w:eastAsia="宋体" w:hAnsi="Arial" w:cs="Arial"/>
          <w:b/>
          <w:bCs/>
          <w:color w:val="000000"/>
          <w:sz w:val="20"/>
          <w:szCs w:val="20"/>
        </w:rPr>
        <w:t>Item 6:</w:t>
      </w:r>
      <w:r>
        <w:rPr>
          <w:rFonts w:ascii="Arial" w:eastAsia="宋体" w:hAnsi="Arial" w:cs="Arial"/>
          <w:color w:val="000000"/>
          <w:sz w:val="20"/>
          <w:szCs w:val="20"/>
        </w:rPr>
        <w:t> </w:t>
      </w:r>
      <w:r>
        <w:rPr>
          <w:rFonts w:ascii="Arial" w:eastAsia="宋体" w:hAnsi="Arial" w:cs="Arial"/>
          <w:b/>
          <w:bCs/>
          <w:color w:val="000000"/>
          <w:sz w:val="20"/>
          <w:szCs w:val="20"/>
        </w:rPr>
        <w:t xml:space="preserve">Exhibits </w:t>
      </w:r>
    </w:p>
    <w:p w14:paraId="64A8B86F" w14:textId="77777777" w:rsidR="008D6614" w:rsidRDefault="008D6614">
      <w:pPr>
        <w:ind w:hanging="1080"/>
      </w:pPr>
    </w:p>
    <w:p w14:paraId="64A8B870" w14:textId="77777777" w:rsidR="008D6614" w:rsidRDefault="00866AF2">
      <w:pPr>
        <w:ind w:firstLine="540"/>
      </w:pPr>
      <w:r>
        <w:rPr>
          <w:rFonts w:ascii="Arial" w:eastAsia="宋体" w:hAnsi="Arial" w:cs="Arial"/>
          <w:color w:val="000000"/>
          <w:sz w:val="20"/>
          <w:szCs w:val="20"/>
        </w:rPr>
        <w:t>The information required by this Item is set forth in the Index to Exhibits of this Quarterly Report.</w:t>
      </w:r>
    </w:p>
    <w:p w14:paraId="64A8B871" w14:textId="77777777" w:rsidR="008D6614" w:rsidRDefault="008D6614">
      <w:pPr>
        <w:jc w:val="center"/>
      </w:pPr>
    </w:p>
    <w:p w14:paraId="64A8B872" w14:textId="77777777" w:rsidR="008D6614" w:rsidRDefault="00866AF2">
      <w:pPr>
        <w:jc w:val="center"/>
      </w:pPr>
      <w:r>
        <w:rPr>
          <w:rFonts w:ascii="Arial" w:eastAsia="宋体" w:hAnsi="Arial" w:cs="Arial"/>
          <w:color w:val="000000"/>
          <w:sz w:val="20"/>
          <w:szCs w:val="20"/>
        </w:rPr>
        <w:t>70</w:t>
      </w:r>
    </w:p>
    <w:p w14:paraId="64A8B873" w14:textId="77777777" w:rsidR="008D6614" w:rsidRDefault="00866AF2">
      <w:r>
        <w:pict w14:anchorId="64A8BA23">
          <v:rect id="_x0000_i1094" style="width:415.3pt;height:1.5pt" o:hralign="center" o:hrstd="t" o:hr="t" fillcolor="#a0a0a0" stroked="f"/>
        </w:pict>
      </w:r>
    </w:p>
    <w:p w14:paraId="64A8B874" w14:textId="77777777" w:rsidR="008D6614" w:rsidRDefault="008D6614"/>
    <w:p w14:paraId="64A8B875" w14:textId="77777777" w:rsidR="008D6614" w:rsidRDefault="00866AF2">
      <w:pPr>
        <w:jc w:val="center"/>
      </w:pPr>
      <w:r>
        <w:rPr>
          <w:rFonts w:ascii="Arial" w:eastAsia="宋体" w:hAnsi="Arial" w:cs="Arial"/>
          <w:b/>
          <w:bCs/>
          <w:color w:val="000000"/>
          <w:sz w:val="20"/>
          <w:szCs w:val="20"/>
        </w:rPr>
        <w:t>INDEX TO EXHIBITS</w:t>
      </w:r>
    </w:p>
    <w:p w14:paraId="64A8B876" w14:textId="77777777" w:rsidR="008D6614" w:rsidRDefault="00866AF2">
      <w:r>
        <w:rPr>
          <w:rFonts w:ascii="Arial" w:eastAsia="宋体" w:hAnsi="Arial" w:cs="Arial"/>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77"/>
        <w:gridCol w:w="806"/>
        <w:gridCol w:w="77"/>
        <w:gridCol w:w="36"/>
        <w:gridCol w:w="88"/>
        <w:gridCol w:w="36"/>
        <w:gridCol w:w="78"/>
        <w:gridCol w:w="807"/>
        <w:gridCol w:w="78"/>
        <w:gridCol w:w="78"/>
        <w:gridCol w:w="6097"/>
        <w:gridCol w:w="78"/>
      </w:tblGrid>
      <w:tr w:rsidR="008D6614" w14:paraId="64A8B883" w14:textId="77777777">
        <w:trPr>
          <w:jc w:val="center"/>
        </w:trPr>
        <w:tc>
          <w:tcPr>
            <w:tcW w:w="50" w:type="pct"/>
            <w:shd w:val="clear" w:color="auto" w:fill="auto"/>
            <w:vAlign w:val="center"/>
          </w:tcPr>
          <w:p w14:paraId="64A8B877" w14:textId="77777777" w:rsidR="008D6614" w:rsidRDefault="008D6614">
            <w:pPr>
              <w:rPr>
                <w:rFonts w:ascii="宋体"/>
              </w:rPr>
            </w:pPr>
          </w:p>
        </w:tc>
        <w:tc>
          <w:tcPr>
            <w:tcW w:w="487" w:type="pct"/>
            <w:shd w:val="clear" w:color="auto" w:fill="auto"/>
            <w:vAlign w:val="center"/>
          </w:tcPr>
          <w:p w14:paraId="64A8B878" w14:textId="77777777" w:rsidR="008D6614" w:rsidRDefault="008D6614">
            <w:pPr>
              <w:rPr>
                <w:rFonts w:ascii="宋体"/>
              </w:rPr>
            </w:pPr>
          </w:p>
        </w:tc>
        <w:tc>
          <w:tcPr>
            <w:tcW w:w="50" w:type="pct"/>
            <w:shd w:val="clear" w:color="auto" w:fill="auto"/>
            <w:vAlign w:val="center"/>
          </w:tcPr>
          <w:p w14:paraId="64A8B879" w14:textId="77777777" w:rsidR="008D6614" w:rsidRDefault="008D6614">
            <w:pPr>
              <w:rPr>
                <w:rFonts w:ascii="宋体"/>
              </w:rPr>
            </w:pPr>
          </w:p>
        </w:tc>
        <w:tc>
          <w:tcPr>
            <w:tcW w:w="5" w:type="pct"/>
            <w:shd w:val="clear" w:color="auto" w:fill="auto"/>
            <w:vAlign w:val="center"/>
          </w:tcPr>
          <w:p w14:paraId="64A8B87A" w14:textId="77777777" w:rsidR="008D6614" w:rsidRDefault="008D6614">
            <w:pPr>
              <w:rPr>
                <w:rFonts w:ascii="宋体"/>
              </w:rPr>
            </w:pPr>
          </w:p>
        </w:tc>
        <w:tc>
          <w:tcPr>
            <w:tcW w:w="56" w:type="pct"/>
            <w:shd w:val="clear" w:color="auto" w:fill="auto"/>
            <w:vAlign w:val="center"/>
          </w:tcPr>
          <w:p w14:paraId="64A8B87B" w14:textId="77777777" w:rsidR="008D6614" w:rsidRDefault="008D6614">
            <w:pPr>
              <w:rPr>
                <w:rFonts w:ascii="宋体"/>
              </w:rPr>
            </w:pPr>
          </w:p>
        </w:tc>
        <w:tc>
          <w:tcPr>
            <w:tcW w:w="5" w:type="pct"/>
            <w:shd w:val="clear" w:color="auto" w:fill="auto"/>
            <w:vAlign w:val="center"/>
          </w:tcPr>
          <w:p w14:paraId="64A8B87C" w14:textId="77777777" w:rsidR="008D6614" w:rsidRDefault="008D6614">
            <w:pPr>
              <w:rPr>
                <w:rFonts w:ascii="宋体"/>
              </w:rPr>
            </w:pPr>
          </w:p>
        </w:tc>
        <w:tc>
          <w:tcPr>
            <w:tcW w:w="50" w:type="pct"/>
            <w:shd w:val="clear" w:color="auto" w:fill="auto"/>
            <w:vAlign w:val="center"/>
          </w:tcPr>
          <w:p w14:paraId="64A8B87D" w14:textId="77777777" w:rsidR="008D6614" w:rsidRDefault="008D6614">
            <w:pPr>
              <w:rPr>
                <w:rFonts w:ascii="宋体"/>
              </w:rPr>
            </w:pPr>
          </w:p>
        </w:tc>
        <w:tc>
          <w:tcPr>
            <w:tcW w:w="487" w:type="pct"/>
            <w:shd w:val="clear" w:color="auto" w:fill="auto"/>
            <w:vAlign w:val="center"/>
          </w:tcPr>
          <w:p w14:paraId="64A8B87E" w14:textId="77777777" w:rsidR="008D6614" w:rsidRDefault="008D6614">
            <w:pPr>
              <w:rPr>
                <w:rFonts w:ascii="宋体"/>
              </w:rPr>
            </w:pPr>
          </w:p>
        </w:tc>
        <w:tc>
          <w:tcPr>
            <w:tcW w:w="50" w:type="pct"/>
            <w:shd w:val="clear" w:color="auto" w:fill="auto"/>
            <w:vAlign w:val="center"/>
          </w:tcPr>
          <w:p w14:paraId="64A8B87F" w14:textId="77777777" w:rsidR="008D6614" w:rsidRDefault="008D6614">
            <w:pPr>
              <w:rPr>
                <w:rFonts w:ascii="宋体"/>
              </w:rPr>
            </w:pPr>
          </w:p>
        </w:tc>
        <w:tc>
          <w:tcPr>
            <w:tcW w:w="50" w:type="pct"/>
            <w:shd w:val="clear" w:color="auto" w:fill="auto"/>
            <w:vAlign w:val="center"/>
          </w:tcPr>
          <w:p w14:paraId="64A8B880" w14:textId="77777777" w:rsidR="008D6614" w:rsidRDefault="008D6614">
            <w:pPr>
              <w:rPr>
                <w:rFonts w:ascii="宋体"/>
              </w:rPr>
            </w:pPr>
          </w:p>
        </w:tc>
        <w:tc>
          <w:tcPr>
            <w:tcW w:w="3659" w:type="pct"/>
            <w:shd w:val="clear" w:color="auto" w:fill="auto"/>
            <w:vAlign w:val="center"/>
          </w:tcPr>
          <w:p w14:paraId="64A8B881" w14:textId="77777777" w:rsidR="008D6614" w:rsidRDefault="008D6614">
            <w:pPr>
              <w:rPr>
                <w:rFonts w:ascii="宋体"/>
              </w:rPr>
            </w:pPr>
          </w:p>
        </w:tc>
        <w:tc>
          <w:tcPr>
            <w:tcW w:w="50" w:type="pct"/>
            <w:shd w:val="clear" w:color="auto" w:fill="auto"/>
            <w:vAlign w:val="center"/>
          </w:tcPr>
          <w:p w14:paraId="64A8B882" w14:textId="77777777" w:rsidR="008D6614" w:rsidRDefault="008D6614">
            <w:pPr>
              <w:rPr>
                <w:rFonts w:ascii="宋体"/>
              </w:rPr>
            </w:pPr>
          </w:p>
        </w:tc>
      </w:tr>
      <w:tr w:rsidR="008D6614" w14:paraId="64A8B888" w14:textId="77777777">
        <w:trPr>
          <w:jc w:val="center"/>
        </w:trPr>
        <w:tc>
          <w:tcPr>
            <w:tcW w:w="0" w:type="auto"/>
            <w:gridSpan w:val="3"/>
            <w:shd w:val="clear" w:color="auto" w:fill="auto"/>
            <w:tcMar>
              <w:top w:w="40" w:type="dxa"/>
              <w:left w:w="20" w:type="dxa"/>
              <w:bottom w:w="40" w:type="dxa"/>
              <w:right w:w="20" w:type="dxa"/>
            </w:tcMar>
            <w:vAlign w:val="bottom"/>
          </w:tcPr>
          <w:p w14:paraId="64A8B884" w14:textId="77777777" w:rsidR="008D6614" w:rsidRDefault="00866AF2">
            <w:pPr>
              <w:textAlignment w:val="bottom"/>
            </w:pPr>
            <w:r>
              <w:rPr>
                <w:rFonts w:ascii="Arial" w:eastAsia="宋体" w:hAnsi="Arial" w:cs="Arial"/>
                <w:b/>
                <w:bCs/>
                <w:color w:val="000000"/>
                <w:sz w:val="16"/>
                <w:szCs w:val="16"/>
              </w:rPr>
              <w:t>Exhibit Number</w:t>
            </w:r>
          </w:p>
        </w:tc>
        <w:tc>
          <w:tcPr>
            <w:tcW w:w="0" w:type="auto"/>
            <w:gridSpan w:val="3"/>
            <w:shd w:val="clear" w:color="auto" w:fill="auto"/>
            <w:tcMar>
              <w:left w:w="20" w:type="dxa"/>
              <w:right w:w="20" w:type="dxa"/>
            </w:tcMar>
            <w:vAlign w:val="bottom"/>
          </w:tcPr>
          <w:p w14:paraId="64A8B885"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vAlign w:val="bottom"/>
          </w:tcPr>
          <w:p w14:paraId="64A8B886" w14:textId="77777777" w:rsidR="008D6614" w:rsidRDefault="00866AF2">
            <w:pPr>
              <w:textAlignment w:val="bottom"/>
            </w:pPr>
            <w:r>
              <w:rPr>
                <w:rFonts w:ascii="Arial" w:eastAsia="宋体" w:hAnsi="Arial" w:cs="Arial"/>
                <w:b/>
                <w:bCs/>
                <w:color w:val="000000"/>
                <w:sz w:val="16"/>
                <w:szCs w:val="16"/>
              </w:rPr>
              <w:t>Filed or furnished with this 10-Q</w:t>
            </w:r>
          </w:p>
        </w:tc>
        <w:tc>
          <w:tcPr>
            <w:tcW w:w="0" w:type="auto"/>
            <w:gridSpan w:val="3"/>
            <w:shd w:val="clear" w:color="auto" w:fill="auto"/>
            <w:tcMar>
              <w:top w:w="40" w:type="dxa"/>
              <w:left w:w="20" w:type="dxa"/>
              <w:bottom w:w="40" w:type="dxa"/>
              <w:right w:w="20" w:type="dxa"/>
            </w:tcMar>
            <w:vAlign w:val="bottom"/>
          </w:tcPr>
          <w:p w14:paraId="64A8B887" w14:textId="77777777" w:rsidR="008D6614" w:rsidRDefault="00866AF2">
            <w:pPr>
              <w:textAlignment w:val="bottom"/>
            </w:pPr>
            <w:r>
              <w:rPr>
                <w:rFonts w:ascii="Arial" w:eastAsia="宋体" w:hAnsi="Arial" w:cs="Arial"/>
                <w:b/>
                <w:bCs/>
                <w:color w:val="000000"/>
                <w:sz w:val="16"/>
                <w:szCs w:val="16"/>
              </w:rPr>
              <w:t>Description</w:t>
            </w:r>
          </w:p>
        </w:tc>
      </w:tr>
      <w:tr w:rsidR="008D6614" w14:paraId="64A8B88D" w14:textId="77777777">
        <w:trPr>
          <w:jc w:val="center"/>
        </w:trPr>
        <w:tc>
          <w:tcPr>
            <w:tcW w:w="0" w:type="auto"/>
            <w:gridSpan w:val="3"/>
            <w:shd w:val="clear" w:color="auto" w:fill="auto"/>
            <w:tcMar>
              <w:top w:w="40" w:type="dxa"/>
              <w:left w:w="20" w:type="dxa"/>
              <w:bottom w:w="40" w:type="dxa"/>
              <w:right w:w="20" w:type="dxa"/>
            </w:tcMar>
          </w:tcPr>
          <w:p w14:paraId="64A8B889" w14:textId="77777777" w:rsidR="008D6614" w:rsidRDefault="00866AF2">
            <w:pPr>
              <w:textAlignment w:val="top"/>
            </w:pPr>
            <w:r>
              <w:rPr>
                <w:rFonts w:ascii="Arial" w:eastAsia="宋体" w:hAnsi="Arial" w:cs="Arial"/>
                <w:color w:val="000000"/>
                <w:sz w:val="18"/>
                <w:szCs w:val="18"/>
              </w:rPr>
              <w:t>4.01</w:t>
            </w:r>
          </w:p>
        </w:tc>
        <w:tc>
          <w:tcPr>
            <w:tcW w:w="0" w:type="auto"/>
            <w:gridSpan w:val="3"/>
            <w:shd w:val="clear" w:color="auto" w:fill="auto"/>
            <w:tcMar>
              <w:left w:w="20" w:type="dxa"/>
              <w:right w:w="20" w:type="dxa"/>
            </w:tcMar>
            <w:vAlign w:val="bottom"/>
          </w:tcPr>
          <w:p w14:paraId="64A8B88A" w14:textId="77777777" w:rsidR="008D6614" w:rsidRDefault="008D6614">
            <w:pPr>
              <w:rPr>
                <w:rFonts w:ascii="宋体"/>
              </w:rPr>
            </w:pPr>
          </w:p>
        </w:tc>
        <w:tc>
          <w:tcPr>
            <w:tcW w:w="0" w:type="auto"/>
            <w:gridSpan w:val="3"/>
            <w:shd w:val="clear" w:color="auto" w:fill="auto"/>
            <w:tcMar>
              <w:left w:w="20" w:type="dxa"/>
              <w:right w:w="20" w:type="dxa"/>
            </w:tcMar>
          </w:tcPr>
          <w:p w14:paraId="64A8B88B" w14:textId="77777777" w:rsidR="008D6614" w:rsidRDefault="008D6614">
            <w:pPr>
              <w:jc w:val="center"/>
              <w:rPr>
                <w:rFonts w:ascii="宋体"/>
              </w:rPr>
            </w:pPr>
          </w:p>
        </w:tc>
        <w:tc>
          <w:tcPr>
            <w:tcW w:w="0" w:type="auto"/>
            <w:gridSpan w:val="3"/>
            <w:shd w:val="clear" w:color="auto" w:fill="auto"/>
            <w:tcMar>
              <w:top w:w="40" w:type="dxa"/>
              <w:left w:w="20" w:type="dxa"/>
              <w:bottom w:w="40" w:type="dxa"/>
              <w:right w:w="20" w:type="dxa"/>
            </w:tcMar>
          </w:tcPr>
          <w:p w14:paraId="64A8B88C" w14:textId="77777777" w:rsidR="008D6614" w:rsidRDefault="00866AF2">
            <w:pPr>
              <w:textAlignment w:val="top"/>
            </w:pPr>
            <w:r>
              <w:rPr>
                <w:rFonts w:ascii="Arial" w:eastAsia="宋体" w:hAnsi="Arial" w:cs="Arial"/>
                <w:color w:val="000000"/>
                <w:sz w:val="18"/>
                <w:szCs w:val="18"/>
              </w:rPr>
              <w:t>Form of 1.900% Note due 2025</w:t>
            </w:r>
            <w:r>
              <w:rPr>
                <w:rFonts w:ascii="Arial" w:eastAsia="宋体" w:hAnsi="Arial" w:cs="Arial"/>
                <w:color w:val="000000"/>
                <w:sz w:val="11"/>
                <w:szCs w:val="11"/>
              </w:rPr>
              <w:t>(1)</w:t>
            </w:r>
            <w:r>
              <w:rPr>
                <w:rFonts w:ascii="Arial" w:eastAsia="宋体" w:hAnsi="Arial" w:cs="Arial"/>
                <w:color w:val="000000"/>
                <w:sz w:val="18"/>
                <w:szCs w:val="18"/>
              </w:rPr>
              <w:t>.</w:t>
            </w:r>
          </w:p>
        </w:tc>
      </w:tr>
      <w:tr w:rsidR="008D6614" w14:paraId="64A8B892" w14:textId="77777777">
        <w:trPr>
          <w:jc w:val="center"/>
        </w:trPr>
        <w:tc>
          <w:tcPr>
            <w:tcW w:w="0" w:type="auto"/>
            <w:gridSpan w:val="3"/>
            <w:shd w:val="clear" w:color="auto" w:fill="auto"/>
            <w:tcMar>
              <w:top w:w="40" w:type="dxa"/>
              <w:left w:w="20" w:type="dxa"/>
              <w:bottom w:w="40" w:type="dxa"/>
              <w:right w:w="20" w:type="dxa"/>
            </w:tcMar>
          </w:tcPr>
          <w:p w14:paraId="64A8B88E" w14:textId="77777777" w:rsidR="008D6614" w:rsidRDefault="00866AF2">
            <w:pPr>
              <w:textAlignment w:val="top"/>
            </w:pPr>
            <w:r>
              <w:rPr>
                <w:rFonts w:ascii="Arial" w:eastAsia="宋体" w:hAnsi="Arial" w:cs="Arial"/>
                <w:color w:val="000000"/>
                <w:sz w:val="18"/>
                <w:szCs w:val="18"/>
              </w:rPr>
              <w:t>4.02</w:t>
            </w:r>
          </w:p>
        </w:tc>
        <w:tc>
          <w:tcPr>
            <w:tcW w:w="0" w:type="auto"/>
            <w:gridSpan w:val="3"/>
            <w:shd w:val="clear" w:color="auto" w:fill="auto"/>
            <w:tcMar>
              <w:left w:w="20" w:type="dxa"/>
              <w:right w:w="20" w:type="dxa"/>
            </w:tcMar>
            <w:vAlign w:val="bottom"/>
          </w:tcPr>
          <w:p w14:paraId="64A8B88F"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890"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91" w14:textId="77777777" w:rsidR="008D6614" w:rsidRDefault="00866AF2">
            <w:pPr>
              <w:textAlignment w:val="top"/>
            </w:pPr>
            <w:r>
              <w:rPr>
                <w:rFonts w:ascii="Arial" w:eastAsia="宋体" w:hAnsi="Arial" w:cs="Arial"/>
                <w:color w:val="000000"/>
                <w:sz w:val="18"/>
                <w:szCs w:val="18"/>
              </w:rPr>
              <w:t>Form of 2.700% Note due 2030</w:t>
            </w:r>
            <w:r>
              <w:rPr>
                <w:rFonts w:ascii="Arial" w:eastAsia="宋体" w:hAnsi="Arial" w:cs="Arial"/>
                <w:color w:val="000000"/>
                <w:sz w:val="11"/>
                <w:szCs w:val="11"/>
              </w:rPr>
              <w:t>(1)</w:t>
            </w:r>
            <w:r>
              <w:rPr>
                <w:rFonts w:ascii="Arial" w:eastAsia="宋体" w:hAnsi="Arial" w:cs="Arial"/>
                <w:color w:val="000000"/>
                <w:sz w:val="18"/>
                <w:szCs w:val="18"/>
              </w:rPr>
              <w:t>.</w:t>
            </w:r>
          </w:p>
        </w:tc>
      </w:tr>
      <w:tr w:rsidR="008D6614" w14:paraId="64A8B897" w14:textId="77777777">
        <w:trPr>
          <w:jc w:val="center"/>
        </w:trPr>
        <w:tc>
          <w:tcPr>
            <w:tcW w:w="0" w:type="auto"/>
            <w:gridSpan w:val="3"/>
            <w:shd w:val="clear" w:color="auto" w:fill="auto"/>
            <w:tcMar>
              <w:top w:w="40" w:type="dxa"/>
              <w:left w:w="20" w:type="dxa"/>
              <w:bottom w:w="40" w:type="dxa"/>
              <w:right w:w="20" w:type="dxa"/>
            </w:tcMar>
          </w:tcPr>
          <w:p w14:paraId="64A8B893" w14:textId="77777777" w:rsidR="008D6614" w:rsidRDefault="00866AF2">
            <w:pPr>
              <w:textAlignment w:val="top"/>
            </w:pPr>
            <w:r>
              <w:rPr>
                <w:rFonts w:ascii="Arial" w:eastAsia="宋体" w:hAnsi="Arial" w:cs="Arial"/>
                <w:color w:val="000000"/>
                <w:sz w:val="18"/>
                <w:szCs w:val="18"/>
              </w:rPr>
              <w:t>4.03</w:t>
            </w:r>
          </w:p>
        </w:tc>
        <w:tc>
          <w:tcPr>
            <w:tcW w:w="0" w:type="auto"/>
            <w:gridSpan w:val="3"/>
            <w:shd w:val="clear" w:color="auto" w:fill="auto"/>
            <w:tcMar>
              <w:left w:w="20" w:type="dxa"/>
              <w:right w:w="20" w:type="dxa"/>
            </w:tcMar>
            <w:vAlign w:val="bottom"/>
          </w:tcPr>
          <w:p w14:paraId="64A8B894"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895"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96" w14:textId="77777777" w:rsidR="008D6614" w:rsidRDefault="00866AF2">
            <w:pPr>
              <w:textAlignment w:val="top"/>
            </w:pPr>
            <w:r>
              <w:rPr>
                <w:rFonts w:ascii="Arial" w:eastAsia="宋体" w:hAnsi="Arial" w:cs="Arial"/>
                <w:color w:val="000000"/>
                <w:sz w:val="18"/>
                <w:szCs w:val="18"/>
              </w:rPr>
              <w:t xml:space="preserve">Officers’ Certificate dated March 11, 2020 </w:t>
            </w:r>
            <w:r>
              <w:rPr>
                <w:rFonts w:ascii="Arial" w:eastAsia="宋体" w:hAnsi="Arial" w:cs="Arial"/>
                <w:color w:val="000000"/>
                <w:sz w:val="18"/>
                <w:szCs w:val="18"/>
              </w:rPr>
              <w:t>establishing the terms of the 1.900% Notes due 2025 and the 2.700% Notes due 2030</w:t>
            </w:r>
            <w:r>
              <w:rPr>
                <w:rFonts w:ascii="Arial" w:eastAsia="宋体" w:hAnsi="Arial" w:cs="Arial"/>
                <w:color w:val="000000"/>
                <w:sz w:val="11"/>
                <w:szCs w:val="11"/>
              </w:rPr>
              <w:t>(1)</w:t>
            </w:r>
            <w:r>
              <w:rPr>
                <w:rFonts w:ascii="Arial" w:eastAsia="宋体" w:hAnsi="Arial" w:cs="Arial"/>
                <w:color w:val="000000"/>
                <w:sz w:val="18"/>
                <w:szCs w:val="18"/>
              </w:rPr>
              <w:t>.</w:t>
            </w:r>
          </w:p>
        </w:tc>
      </w:tr>
      <w:tr w:rsidR="008D6614" w14:paraId="64A8B89C" w14:textId="77777777">
        <w:trPr>
          <w:jc w:val="center"/>
        </w:trPr>
        <w:tc>
          <w:tcPr>
            <w:tcW w:w="0" w:type="auto"/>
            <w:gridSpan w:val="3"/>
            <w:shd w:val="clear" w:color="auto" w:fill="auto"/>
            <w:tcMar>
              <w:top w:w="40" w:type="dxa"/>
              <w:left w:w="20" w:type="dxa"/>
              <w:bottom w:w="40" w:type="dxa"/>
              <w:right w:w="20" w:type="dxa"/>
            </w:tcMar>
          </w:tcPr>
          <w:p w14:paraId="64A8B898" w14:textId="77777777" w:rsidR="008D6614" w:rsidRDefault="00866AF2">
            <w:pPr>
              <w:textAlignment w:val="top"/>
            </w:pPr>
            <w:r>
              <w:rPr>
                <w:rFonts w:ascii="Arial" w:eastAsia="宋体" w:hAnsi="Arial" w:cs="Arial"/>
                <w:color w:val="000000"/>
                <w:sz w:val="18"/>
                <w:szCs w:val="18"/>
              </w:rPr>
              <w:t>10.01</w:t>
            </w:r>
          </w:p>
        </w:tc>
        <w:tc>
          <w:tcPr>
            <w:tcW w:w="0" w:type="auto"/>
            <w:gridSpan w:val="3"/>
            <w:shd w:val="clear" w:color="auto" w:fill="auto"/>
            <w:tcMar>
              <w:left w:w="20" w:type="dxa"/>
              <w:right w:w="20" w:type="dxa"/>
            </w:tcMar>
            <w:vAlign w:val="bottom"/>
          </w:tcPr>
          <w:p w14:paraId="64A8B899"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89A"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9B" w14:textId="77777777" w:rsidR="008D6614" w:rsidRDefault="00866AF2">
            <w:pPr>
              <w:textAlignment w:val="top"/>
            </w:pPr>
            <w:r>
              <w:rPr>
                <w:rFonts w:ascii="Arial" w:eastAsia="宋体" w:hAnsi="Arial" w:cs="Arial"/>
                <w:color w:val="000000"/>
                <w:sz w:val="18"/>
                <w:szCs w:val="18"/>
              </w:rPr>
              <w:t>Credit Agreement, dated as of March 6, 2020, by and among the Company, JPMorgan Chase Bank, N.A., as Administrative Agent and the other parties thereto</w:t>
            </w:r>
            <w:r>
              <w:rPr>
                <w:rFonts w:ascii="Arial" w:eastAsia="宋体" w:hAnsi="Arial" w:cs="Arial"/>
                <w:color w:val="000000"/>
                <w:sz w:val="11"/>
                <w:szCs w:val="11"/>
              </w:rPr>
              <w:t>(1)</w:t>
            </w:r>
            <w:r>
              <w:rPr>
                <w:rFonts w:ascii="Arial" w:eastAsia="宋体" w:hAnsi="Arial" w:cs="Arial"/>
                <w:color w:val="000000"/>
                <w:sz w:val="18"/>
                <w:szCs w:val="18"/>
              </w:rPr>
              <w:t>.</w:t>
            </w:r>
          </w:p>
        </w:tc>
      </w:tr>
      <w:tr w:rsidR="008D6614" w14:paraId="64A8B8A1" w14:textId="77777777">
        <w:trPr>
          <w:jc w:val="center"/>
        </w:trPr>
        <w:tc>
          <w:tcPr>
            <w:tcW w:w="0" w:type="auto"/>
            <w:gridSpan w:val="3"/>
            <w:shd w:val="clear" w:color="auto" w:fill="auto"/>
            <w:tcMar>
              <w:top w:w="40" w:type="dxa"/>
              <w:left w:w="20" w:type="dxa"/>
              <w:bottom w:w="40" w:type="dxa"/>
              <w:right w:w="20" w:type="dxa"/>
            </w:tcMar>
          </w:tcPr>
          <w:p w14:paraId="64A8B89D" w14:textId="77777777" w:rsidR="008D6614" w:rsidRDefault="00866AF2">
            <w:pPr>
              <w:textAlignment w:val="top"/>
            </w:pPr>
            <w:r>
              <w:rPr>
                <w:rFonts w:ascii="Arial" w:eastAsia="宋体" w:hAnsi="Arial" w:cs="Arial"/>
                <w:color w:val="000000"/>
                <w:sz w:val="18"/>
                <w:szCs w:val="18"/>
              </w:rPr>
              <w:t>10.0</w:t>
            </w:r>
            <w:r>
              <w:rPr>
                <w:rFonts w:ascii="Arial" w:eastAsia="宋体" w:hAnsi="Arial" w:cs="Arial"/>
                <w:color w:val="000000"/>
                <w:sz w:val="18"/>
                <w:szCs w:val="18"/>
              </w:rPr>
              <w:t>2</w:t>
            </w:r>
          </w:p>
        </w:tc>
        <w:tc>
          <w:tcPr>
            <w:tcW w:w="0" w:type="auto"/>
            <w:gridSpan w:val="3"/>
            <w:shd w:val="clear" w:color="auto" w:fill="auto"/>
            <w:tcMar>
              <w:left w:w="20" w:type="dxa"/>
              <w:right w:w="20" w:type="dxa"/>
            </w:tcMar>
            <w:vAlign w:val="bottom"/>
          </w:tcPr>
          <w:p w14:paraId="64A8B89E"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9F"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A0" w14:textId="77777777" w:rsidR="008D6614" w:rsidRDefault="00866AF2">
            <w:pPr>
              <w:textAlignment w:val="top"/>
            </w:pPr>
            <w:hyperlink r:id="rId7" w:history="1">
              <w:r>
                <w:rPr>
                  <w:rStyle w:val="a5"/>
                  <w:rFonts w:ascii="Arial" w:eastAsia="宋体" w:hAnsi="Arial" w:cs="Arial"/>
                  <w:sz w:val="18"/>
                  <w:szCs w:val="18"/>
                </w:rPr>
                <w:t>Master Confirmation - Accelerated share repurchase agreement dated February 13, 2020 between eBay Inc. and Citibank N.A.</w:t>
              </w:r>
            </w:hyperlink>
          </w:p>
        </w:tc>
      </w:tr>
      <w:tr w:rsidR="008D6614" w14:paraId="64A8B8A6" w14:textId="77777777">
        <w:trPr>
          <w:jc w:val="center"/>
        </w:trPr>
        <w:tc>
          <w:tcPr>
            <w:tcW w:w="0" w:type="auto"/>
            <w:gridSpan w:val="3"/>
            <w:shd w:val="clear" w:color="auto" w:fill="auto"/>
            <w:tcMar>
              <w:top w:w="40" w:type="dxa"/>
              <w:left w:w="20" w:type="dxa"/>
              <w:bottom w:w="40" w:type="dxa"/>
              <w:right w:w="20" w:type="dxa"/>
            </w:tcMar>
          </w:tcPr>
          <w:p w14:paraId="64A8B8A2" w14:textId="77777777" w:rsidR="008D6614" w:rsidRDefault="00866AF2">
            <w:pPr>
              <w:textAlignment w:val="top"/>
            </w:pPr>
            <w:r>
              <w:rPr>
                <w:rFonts w:ascii="Arial" w:eastAsia="宋体" w:hAnsi="Arial" w:cs="Arial"/>
                <w:color w:val="000000"/>
                <w:sz w:val="18"/>
                <w:szCs w:val="18"/>
              </w:rPr>
              <w:t>10.03</w:t>
            </w:r>
          </w:p>
        </w:tc>
        <w:tc>
          <w:tcPr>
            <w:tcW w:w="0" w:type="auto"/>
            <w:gridSpan w:val="3"/>
            <w:shd w:val="clear" w:color="auto" w:fill="auto"/>
            <w:tcMar>
              <w:left w:w="20" w:type="dxa"/>
              <w:right w:w="20" w:type="dxa"/>
            </w:tcMar>
            <w:vAlign w:val="bottom"/>
          </w:tcPr>
          <w:p w14:paraId="64A8B8A3"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A4"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A5" w14:textId="77777777" w:rsidR="008D6614" w:rsidRDefault="00866AF2">
            <w:pPr>
              <w:textAlignment w:val="top"/>
            </w:pPr>
            <w:hyperlink r:id="rId8" w:history="1">
              <w:r>
                <w:rPr>
                  <w:rStyle w:val="a5"/>
                  <w:rFonts w:ascii="Arial" w:eastAsia="宋体" w:hAnsi="Arial" w:cs="Arial"/>
                  <w:sz w:val="18"/>
                  <w:szCs w:val="18"/>
                </w:rPr>
                <w:t>Master Confirmation - Accelerated share repurchase agreement dated February 13, 2020 between eBay Inc. and Morgan Stanley &amp; Co, LLC</w:t>
              </w:r>
            </w:hyperlink>
          </w:p>
        </w:tc>
      </w:tr>
      <w:tr w:rsidR="008D6614" w14:paraId="64A8B8AB" w14:textId="77777777">
        <w:trPr>
          <w:jc w:val="center"/>
        </w:trPr>
        <w:tc>
          <w:tcPr>
            <w:tcW w:w="0" w:type="auto"/>
            <w:gridSpan w:val="3"/>
            <w:shd w:val="clear" w:color="auto" w:fill="auto"/>
            <w:tcMar>
              <w:top w:w="40" w:type="dxa"/>
              <w:left w:w="20" w:type="dxa"/>
              <w:bottom w:w="40" w:type="dxa"/>
              <w:right w:w="20" w:type="dxa"/>
            </w:tcMar>
          </w:tcPr>
          <w:p w14:paraId="64A8B8A7" w14:textId="77777777" w:rsidR="008D6614" w:rsidRDefault="00866AF2">
            <w:pPr>
              <w:textAlignment w:val="top"/>
            </w:pPr>
            <w:r>
              <w:rPr>
                <w:rFonts w:ascii="Arial" w:eastAsia="宋体" w:hAnsi="Arial" w:cs="Arial"/>
                <w:color w:val="000000"/>
                <w:sz w:val="18"/>
                <w:szCs w:val="18"/>
              </w:rPr>
              <w:t>10.04</w:t>
            </w:r>
          </w:p>
        </w:tc>
        <w:tc>
          <w:tcPr>
            <w:tcW w:w="0" w:type="auto"/>
            <w:gridSpan w:val="3"/>
            <w:shd w:val="clear" w:color="auto" w:fill="auto"/>
            <w:tcMar>
              <w:left w:w="20" w:type="dxa"/>
              <w:right w:w="20" w:type="dxa"/>
            </w:tcMar>
            <w:vAlign w:val="bottom"/>
          </w:tcPr>
          <w:p w14:paraId="64A8B8A8"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A9"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AA" w14:textId="77777777" w:rsidR="008D6614" w:rsidRDefault="00866AF2">
            <w:pPr>
              <w:textAlignment w:val="top"/>
            </w:pPr>
            <w:hyperlink r:id="rId9" w:history="1">
              <w:r>
                <w:rPr>
                  <w:rStyle w:val="a5"/>
                  <w:rFonts w:ascii="Arial" w:eastAsia="宋体" w:hAnsi="Arial" w:cs="Arial"/>
                  <w:sz w:val="18"/>
                  <w:szCs w:val="18"/>
                </w:rPr>
                <w:t>Master Confirmation - Accelerated share repurchase agreement dated February 13, 2020 between eBay Inc. and HSBC Bank USA, National Association</w:t>
              </w:r>
            </w:hyperlink>
          </w:p>
        </w:tc>
      </w:tr>
      <w:tr w:rsidR="008D6614" w14:paraId="64A8B8B0" w14:textId="77777777">
        <w:trPr>
          <w:jc w:val="center"/>
        </w:trPr>
        <w:tc>
          <w:tcPr>
            <w:tcW w:w="0" w:type="auto"/>
            <w:gridSpan w:val="3"/>
            <w:shd w:val="clear" w:color="auto" w:fill="auto"/>
            <w:tcMar>
              <w:top w:w="40" w:type="dxa"/>
              <w:left w:w="20" w:type="dxa"/>
              <w:bottom w:w="40" w:type="dxa"/>
              <w:right w:w="20" w:type="dxa"/>
            </w:tcMar>
          </w:tcPr>
          <w:p w14:paraId="64A8B8AC" w14:textId="77777777" w:rsidR="008D6614" w:rsidRDefault="00866AF2">
            <w:pPr>
              <w:textAlignment w:val="top"/>
            </w:pPr>
            <w:r>
              <w:rPr>
                <w:rFonts w:ascii="Arial" w:eastAsia="宋体" w:hAnsi="Arial" w:cs="Arial"/>
                <w:color w:val="000000"/>
                <w:sz w:val="18"/>
                <w:szCs w:val="18"/>
              </w:rPr>
              <w:t>10.05+</w:t>
            </w:r>
          </w:p>
        </w:tc>
        <w:tc>
          <w:tcPr>
            <w:tcW w:w="0" w:type="auto"/>
            <w:gridSpan w:val="3"/>
            <w:shd w:val="clear" w:color="auto" w:fill="auto"/>
            <w:tcMar>
              <w:left w:w="20" w:type="dxa"/>
              <w:right w:w="20" w:type="dxa"/>
            </w:tcMar>
            <w:vAlign w:val="bottom"/>
          </w:tcPr>
          <w:p w14:paraId="64A8B8AD"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AE"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AF" w14:textId="77777777" w:rsidR="008D6614" w:rsidRDefault="00866AF2">
            <w:pPr>
              <w:textAlignment w:val="top"/>
            </w:pPr>
            <w:hyperlink r:id="rId10" w:history="1">
              <w:r>
                <w:rPr>
                  <w:rStyle w:val="a5"/>
                  <w:rFonts w:ascii="Arial" w:eastAsia="宋体" w:hAnsi="Arial" w:cs="Arial"/>
                  <w:sz w:val="18"/>
                  <w:szCs w:val="18"/>
                </w:rPr>
                <w:t>Offer Letter dated July 7, 2019 between Registrant and Peter Thompson</w:t>
              </w:r>
            </w:hyperlink>
          </w:p>
        </w:tc>
      </w:tr>
      <w:tr w:rsidR="008D6614" w14:paraId="64A8B8B5" w14:textId="77777777">
        <w:trPr>
          <w:jc w:val="center"/>
        </w:trPr>
        <w:tc>
          <w:tcPr>
            <w:tcW w:w="0" w:type="auto"/>
            <w:gridSpan w:val="3"/>
            <w:shd w:val="clear" w:color="auto" w:fill="auto"/>
            <w:tcMar>
              <w:top w:w="40" w:type="dxa"/>
              <w:left w:w="20" w:type="dxa"/>
              <w:bottom w:w="40" w:type="dxa"/>
              <w:right w:w="20" w:type="dxa"/>
            </w:tcMar>
          </w:tcPr>
          <w:p w14:paraId="64A8B8B1" w14:textId="77777777" w:rsidR="008D6614" w:rsidRDefault="00866AF2">
            <w:pPr>
              <w:textAlignment w:val="top"/>
            </w:pPr>
            <w:r>
              <w:rPr>
                <w:rFonts w:ascii="Arial" w:eastAsia="宋体" w:hAnsi="Arial" w:cs="Arial"/>
                <w:color w:val="000000"/>
                <w:sz w:val="18"/>
                <w:szCs w:val="18"/>
              </w:rPr>
              <w:t>10.06+</w:t>
            </w:r>
          </w:p>
        </w:tc>
        <w:tc>
          <w:tcPr>
            <w:tcW w:w="0" w:type="auto"/>
            <w:gridSpan w:val="3"/>
            <w:shd w:val="clear" w:color="auto" w:fill="auto"/>
            <w:tcMar>
              <w:left w:w="20" w:type="dxa"/>
              <w:right w:w="20" w:type="dxa"/>
            </w:tcMar>
            <w:vAlign w:val="bottom"/>
          </w:tcPr>
          <w:p w14:paraId="64A8B8B2"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B3"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B4" w14:textId="77777777" w:rsidR="008D6614" w:rsidRDefault="00866AF2">
            <w:pPr>
              <w:textAlignment w:val="top"/>
            </w:pPr>
            <w:hyperlink r:id="rId11" w:history="1">
              <w:r>
                <w:rPr>
                  <w:rStyle w:val="a5"/>
                  <w:rFonts w:ascii="Arial" w:eastAsia="宋体" w:hAnsi="Arial" w:cs="Arial"/>
                  <w:sz w:val="18"/>
                  <w:szCs w:val="18"/>
                </w:rPr>
                <w:t>Offer Letter dated May 1, 2015 between Registrant and Kristin Yetto</w:t>
              </w:r>
            </w:hyperlink>
          </w:p>
        </w:tc>
      </w:tr>
      <w:tr w:rsidR="008D6614" w14:paraId="64A8B8BA" w14:textId="77777777">
        <w:trPr>
          <w:jc w:val="center"/>
        </w:trPr>
        <w:tc>
          <w:tcPr>
            <w:tcW w:w="0" w:type="auto"/>
            <w:gridSpan w:val="3"/>
            <w:shd w:val="clear" w:color="auto" w:fill="auto"/>
            <w:tcMar>
              <w:top w:w="40" w:type="dxa"/>
              <w:left w:w="20" w:type="dxa"/>
              <w:bottom w:w="40" w:type="dxa"/>
              <w:right w:w="20" w:type="dxa"/>
            </w:tcMar>
          </w:tcPr>
          <w:p w14:paraId="64A8B8B6" w14:textId="77777777" w:rsidR="008D6614" w:rsidRDefault="00866AF2">
            <w:pPr>
              <w:textAlignment w:val="top"/>
            </w:pPr>
            <w:r>
              <w:rPr>
                <w:rFonts w:ascii="Arial" w:eastAsia="宋体" w:hAnsi="Arial" w:cs="Arial"/>
                <w:color w:val="000000"/>
                <w:sz w:val="18"/>
                <w:szCs w:val="18"/>
              </w:rPr>
              <w:t>31.01</w:t>
            </w:r>
          </w:p>
        </w:tc>
        <w:tc>
          <w:tcPr>
            <w:tcW w:w="0" w:type="auto"/>
            <w:gridSpan w:val="3"/>
            <w:shd w:val="clear" w:color="auto" w:fill="auto"/>
            <w:tcMar>
              <w:left w:w="20" w:type="dxa"/>
              <w:right w:w="20" w:type="dxa"/>
            </w:tcMar>
            <w:vAlign w:val="bottom"/>
          </w:tcPr>
          <w:p w14:paraId="64A8B8B7"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B8"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B9" w14:textId="77777777" w:rsidR="008D6614" w:rsidRDefault="00866AF2">
            <w:pPr>
              <w:textAlignment w:val="top"/>
            </w:pPr>
            <w:hyperlink r:id="rId12" w:history="1">
              <w:r>
                <w:rPr>
                  <w:rStyle w:val="a5"/>
                  <w:rFonts w:ascii="Arial" w:eastAsia="宋体" w:hAnsi="Arial" w:cs="Arial"/>
                  <w:sz w:val="18"/>
                  <w:szCs w:val="18"/>
                </w:rPr>
                <w:t>Certification of Registrant’s Chief Executive Officer, as required by Section 302 of the Sarbanes-Oxley Act of 2002.</w:t>
              </w:r>
            </w:hyperlink>
          </w:p>
        </w:tc>
      </w:tr>
      <w:tr w:rsidR="008D6614" w14:paraId="64A8B8BF" w14:textId="77777777">
        <w:trPr>
          <w:jc w:val="center"/>
        </w:trPr>
        <w:tc>
          <w:tcPr>
            <w:tcW w:w="0" w:type="auto"/>
            <w:gridSpan w:val="3"/>
            <w:shd w:val="clear" w:color="auto" w:fill="auto"/>
            <w:tcMar>
              <w:top w:w="40" w:type="dxa"/>
              <w:left w:w="20" w:type="dxa"/>
              <w:bottom w:w="40" w:type="dxa"/>
              <w:right w:w="20" w:type="dxa"/>
            </w:tcMar>
          </w:tcPr>
          <w:p w14:paraId="64A8B8BB" w14:textId="77777777" w:rsidR="008D6614" w:rsidRDefault="00866AF2">
            <w:pPr>
              <w:textAlignment w:val="top"/>
            </w:pPr>
            <w:r>
              <w:rPr>
                <w:rFonts w:ascii="Arial" w:eastAsia="宋体" w:hAnsi="Arial" w:cs="Arial"/>
                <w:color w:val="000000"/>
                <w:sz w:val="18"/>
                <w:szCs w:val="18"/>
              </w:rPr>
              <w:t>31.02</w:t>
            </w:r>
          </w:p>
        </w:tc>
        <w:tc>
          <w:tcPr>
            <w:tcW w:w="0" w:type="auto"/>
            <w:gridSpan w:val="3"/>
            <w:shd w:val="clear" w:color="auto" w:fill="auto"/>
            <w:tcMar>
              <w:left w:w="20" w:type="dxa"/>
              <w:right w:w="20" w:type="dxa"/>
            </w:tcMar>
            <w:vAlign w:val="bottom"/>
          </w:tcPr>
          <w:p w14:paraId="64A8B8BC"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BD"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BE" w14:textId="77777777" w:rsidR="008D6614" w:rsidRDefault="00866AF2">
            <w:pPr>
              <w:textAlignment w:val="top"/>
            </w:pPr>
            <w:hyperlink r:id="rId13" w:history="1">
              <w:r>
                <w:rPr>
                  <w:rStyle w:val="a5"/>
                  <w:rFonts w:ascii="Arial" w:eastAsia="宋体" w:hAnsi="Arial" w:cs="Arial"/>
                  <w:sz w:val="18"/>
                  <w:szCs w:val="18"/>
                </w:rPr>
                <w:t>Certification of Registrant’s Chief Financial Officer, as required by Section 302 of the Sarbanes-Oxley Act of 2002.</w:t>
              </w:r>
            </w:hyperlink>
          </w:p>
        </w:tc>
      </w:tr>
      <w:tr w:rsidR="008D6614" w14:paraId="64A8B8C4" w14:textId="77777777">
        <w:trPr>
          <w:jc w:val="center"/>
        </w:trPr>
        <w:tc>
          <w:tcPr>
            <w:tcW w:w="0" w:type="auto"/>
            <w:gridSpan w:val="3"/>
            <w:shd w:val="clear" w:color="auto" w:fill="auto"/>
            <w:tcMar>
              <w:top w:w="40" w:type="dxa"/>
              <w:left w:w="20" w:type="dxa"/>
              <w:bottom w:w="40" w:type="dxa"/>
              <w:right w:w="20" w:type="dxa"/>
            </w:tcMar>
          </w:tcPr>
          <w:p w14:paraId="64A8B8C0" w14:textId="77777777" w:rsidR="008D6614" w:rsidRDefault="00866AF2">
            <w:pPr>
              <w:textAlignment w:val="top"/>
            </w:pPr>
            <w:r>
              <w:rPr>
                <w:rFonts w:ascii="Arial" w:eastAsia="宋体" w:hAnsi="Arial" w:cs="Arial"/>
                <w:color w:val="000000"/>
                <w:sz w:val="18"/>
                <w:szCs w:val="18"/>
              </w:rPr>
              <w:t>32.01</w:t>
            </w:r>
          </w:p>
        </w:tc>
        <w:tc>
          <w:tcPr>
            <w:tcW w:w="0" w:type="auto"/>
            <w:gridSpan w:val="3"/>
            <w:shd w:val="clear" w:color="auto" w:fill="auto"/>
            <w:tcMar>
              <w:left w:w="20" w:type="dxa"/>
              <w:right w:w="20" w:type="dxa"/>
            </w:tcMar>
            <w:vAlign w:val="bottom"/>
          </w:tcPr>
          <w:p w14:paraId="64A8B8C1"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C2"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C3" w14:textId="77777777" w:rsidR="008D6614" w:rsidRDefault="00866AF2">
            <w:pPr>
              <w:textAlignment w:val="top"/>
            </w:pPr>
            <w:hyperlink r:id="rId14" w:history="1">
              <w:r>
                <w:rPr>
                  <w:rStyle w:val="a5"/>
                  <w:rFonts w:ascii="Arial" w:eastAsia="宋体" w:hAnsi="Arial" w:cs="Arial"/>
                  <w:sz w:val="18"/>
                  <w:szCs w:val="18"/>
                </w:rPr>
                <w:t>Certification of Registrant’s Chief Executive Officer, as required by Section 906 of the Sarbanes-Oxley Act of 2002.</w:t>
              </w:r>
            </w:hyperlink>
          </w:p>
        </w:tc>
      </w:tr>
      <w:tr w:rsidR="008D6614" w14:paraId="64A8B8C9" w14:textId="77777777">
        <w:trPr>
          <w:jc w:val="center"/>
        </w:trPr>
        <w:tc>
          <w:tcPr>
            <w:tcW w:w="0" w:type="auto"/>
            <w:gridSpan w:val="3"/>
            <w:shd w:val="clear" w:color="auto" w:fill="auto"/>
            <w:tcMar>
              <w:top w:w="40" w:type="dxa"/>
              <w:left w:w="20" w:type="dxa"/>
              <w:bottom w:w="40" w:type="dxa"/>
              <w:right w:w="20" w:type="dxa"/>
            </w:tcMar>
          </w:tcPr>
          <w:p w14:paraId="64A8B8C5" w14:textId="77777777" w:rsidR="008D6614" w:rsidRDefault="00866AF2">
            <w:pPr>
              <w:textAlignment w:val="top"/>
            </w:pPr>
            <w:r>
              <w:rPr>
                <w:rFonts w:ascii="Arial" w:eastAsia="宋体" w:hAnsi="Arial" w:cs="Arial"/>
                <w:color w:val="000000"/>
                <w:sz w:val="18"/>
                <w:szCs w:val="18"/>
              </w:rPr>
              <w:t>32.02</w:t>
            </w:r>
          </w:p>
        </w:tc>
        <w:tc>
          <w:tcPr>
            <w:tcW w:w="0" w:type="auto"/>
            <w:gridSpan w:val="3"/>
            <w:shd w:val="clear" w:color="auto" w:fill="auto"/>
            <w:tcMar>
              <w:left w:w="20" w:type="dxa"/>
              <w:right w:w="20" w:type="dxa"/>
            </w:tcMar>
            <w:vAlign w:val="bottom"/>
          </w:tcPr>
          <w:p w14:paraId="64A8B8C6"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C7"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C8" w14:textId="77777777" w:rsidR="008D6614" w:rsidRDefault="00866AF2">
            <w:pPr>
              <w:textAlignment w:val="top"/>
            </w:pPr>
            <w:hyperlink r:id="rId15" w:history="1">
              <w:r>
                <w:rPr>
                  <w:rStyle w:val="a5"/>
                  <w:rFonts w:ascii="Arial" w:eastAsia="宋体" w:hAnsi="Arial" w:cs="Arial"/>
                  <w:sz w:val="18"/>
                  <w:szCs w:val="18"/>
                </w:rPr>
                <w:t>Certification of Registrant’s Chief Financial Officer, as required by Section 906 of the Sarbanes-Oxley Act of 2002.</w:t>
              </w:r>
            </w:hyperlink>
          </w:p>
        </w:tc>
      </w:tr>
      <w:tr w:rsidR="008D6614" w14:paraId="64A8B8CE" w14:textId="77777777">
        <w:trPr>
          <w:jc w:val="center"/>
        </w:trPr>
        <w:tc>
          <w:tcPr>
            <w:tcW w:w="0" w:type="auto"/>
            <w:gridSpan w:val="3"/>
            <w:shd w:val="clear" w:color="auto" w:fill="auto"/>
            <w:tcMar>
              <w:top w:w="40" w:type="dxa"/>
              <w:left w:w="20" w:type="dxa"/>
              <w:bottom w:w="40" w:type="dxa"/>
              <w:right w:w="20" w:type="dxa"/>
            </w:tcMar>
          </w:tcPr>
          <w:p w14:paraId="64A8B8CA" w14:textId="77777777" w:rsidR="008D6614" w:rsidRDefault="00866AF2">
            <w:pPr>
              <w:textAlignment w:val="top"/>
            </w:pPr>
            <w:r>
              <w:rPr>
                <w:rFonts w:ascii="Arial" w:eastAsia="宋体" w:hAnsi="Arial" w:cs="Arial"/>
                <w:color w:val="000000"/>
                <w:sz w:val="18"/>
                <w:szCs w:val="18"/>
              </w:rPr>
              <w:t>101.INS</w:t>
            </w:r>
          </w:p>
        </w:tc>
        <w:tc>
          <w:tcPr>
            <w:tcW w:w="0" w:type="auto"/>
            <w:gridSpan w:val="3"/>
            <w:shd w:val="clear" w:color="auto" w:fill="auto"/>
            <w:tcMar>
              <w:left w:w="20" w:type="dxa"/>
              <w:right w:w="20" w:type="dxa"/>
            </w:tcMar>
            <w:vAlign w:val="bottom"/>
          </w:tcPr>
          <w:p w14:paraId="64A8B8CB"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CC"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CD" w14:textId="77777777" w:rsidR="008D6614" w:rsidRDefault="00866AF2">
            <w:pPr>
              <w:textAlignment w:val="top"/>
            </w:pPr>
            <w:r>
              <w:rPr>
                <w:rFonts w:ascii="Arial" w:eastAsia="宋体" w:hAnsi="Arial" w:cs="Arial"/>
                <w:color w:val="000000"/>
                <w:sz w:val="18"/>
                <w:szCs w:val="18"/>
              </w:rPr>
              <w:t xml:space="preserve">Inline XBRL </w:t>
            </w:r>
            <w:r>
              <w:rPr>
                <w:rFonts w:ascii="Arial" w:eastAsia="宋体" w:hAnsi="Arial" w:cs="Arial"/>
                <w:color w:val="000000"/>
                <w:sz w:val="18"/>
                <w:szCs w:val="18"/>
              </w:rPr>
              <w:t>Instance Document (the Instance Document does not appear in the Interactive Data File because its XBRL tags are embedded within the Inline XBRL document)</w:t>
            </w:r>
          </w:p>
        </w:tc>
      </w:tr>
      <w:tr w:rsidR="008D6614" w14:paraId="64A8B8D3" w14:textId="77777777">
        <w:trPr>
          <w:jc w:val="center"/>
        </w:trPr>
        <w:tc>
          <w:tcPr>
            <w:tcW w:w="0" w:type="auto"/>
            <w:gridSpan w:val="3"/>
            <w:shd w:val="clear" w:color="auto" w:fill="auto"/>
            <w:tcMar>
              <w:top w:w="40" w:type="dxa"/>
              <w:left w:w="20" w:type="dxa"/>
              <w:bottom w:w="40" w:type="dxa"/>
              <w:right w:w="20" w:type="dxa"/>
            </w:tcMar>
          </w:tcPr>
          <w:p w14:paraId="64A8B8CF" w14:textId="77777777" w:rsidR="008D6614" w:rsidRDefault="00866AF2">
            <w:pPr>
              <w:textAlignment w:val="top"/>
            </w:pPr>
            <w:r>
              <w:rPr>
                <w:rFonts w:ascii="Arial" w:eastAsia="宋体" w:hAnsi="Arial" w:cs="Arial"/>
                <w:color w:val="000000"/>
                <w:sz w:val="18"/>
                <w:szCs w:val="18"/>
              </w:rPr>
              <w:t>101.SCH</w:t>
            </w:r>
          </w:p>
        </w:tc>
        <w:tc>
          <w:tcPr>
            <w:tcW w:w="0" w:type="auto"/>
            <w:gridSpan w:val="3"/>
            <w:shd w:val="clear" w:color="auto" w:fill="auto"/>
            <w:tcMar>
              <w:left w:w="20" w:type="dxa"/>
              <w:right w:w="20" w:type="dxa"/>
            </w:tcMar>
            <w:vAlign w:val="bottom"/>
          </w:tcPr>
          <w:p w14:paraId="64A8B8D0"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D1"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D2" w14:textId="77777777" w:rsidR="008D6614" w:rsidRDefault="00866AF2">
            <w:pPr>
              <w:textAlignment w:val="top"/>
            </w:pPr>
            <w:r>
              <w:rPr>
                <w:rFonts w:ascii="Arial" w:eastAsia="宋体" w:hAnsi="Arial" w:cs="Arial"/>
                <w:color w:val="000000"/>
                <w:sz w:val="18"/>
                <w:szCs w:val="18"/>
              </w:rPr>
              <w:t>Inline XBRL Taxonomy Extension Schema Document</w:t>
            </w:r>
          </w:p>
        </w:tc>
      </w:tr>
      <w:tr w:rsidR="008D6614" w14:paraId="64A8B8D8" w14:textId="77777777">
        <w:trPr>
          <w:jc w:val="center"/>
        </w:trPr>
        <w:tc>
          <w:tcPr>
            <w:tcW w:w="0" w:type="auto"/>
            <w:gridSpan w:val="3"/>
            <w:shd w:val="clear" w:color="auto" w:fill="auto"/>
            <w:tcMar>
              <w:top w:w="40" w:type="dxa"/>
              <w:left w:w="20" w:type="dxa"/>
              <w:bottom w:w="40" w:type="dxa"/>
              <w:right w:w="20" w:type="dxa"/>
            </w:tcMar>
          </w:tcPr>
          <w:p w14:paraId="64A8B8D4" w14:textId="77777777" w:rsidR="008D6614" w:rsidRDefault="00866AF2">
            <w:pPr>
              <w:textAlignment w:val="top"/>
            </w:pPr>
            <w:r>
              <w:rPr>
                <w:rFonts w:ascii="Arial" w:eastAsia="宋体" w:hAnsi="Arial" w:cs="Arial"/>
                <w:color w:val="000000"/>
                <w:sz w:val="18"/>
                <w:szCs w:val="18"/>
              </w:rPr>
              <w:t>101.CAL</w:t>
            </w:r>
          </w:p>
        </w:tc>
        <w:tc>
          <w:tcPr>
            <w:tcW w:w="0" w:type="auto"/>
            <w:gridSpan w:val="3"/>
            <w:shd w:val="clear" w:color="auto" w:fill="auto"/>
            <w:tcMar>
              <w:left w:w="20" w:type="dxa"/>
              <w:right w:w="20" w:type="dxa"/>
            </w:tcMar>
            <w:vAlign w:val="bottom"/>
          </w:tcPr>
          <w:p w14:paraId="64A8B8D5"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D6"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D7" w14:textId="77777777" w:rsidR="008D6614" w:rsidRDefault="00866AF2">
            <w:pPr>
              <w:textAlignment w:val="top"/>
            </w:pPr>
            <w:r>
              <w:rPr>
                <w:rFonts w:ascii="Arial" w:eastAsia="宋体" w:hAnsi="Arial" w:cs="Arial"/>
                <w:color w:val="000000"/>
                <w:sz w:val="18"/>
                <w:szCs w:val="18"/>
              </w:rPr>
              <w:t xml:space="preserve">Inline XBRL Taxonomy Extension </w:t>
            </w:r>
            <w:r>
              <w:rPr>
                <w:rFonts w:ascii="Arial" w:eastAsia="宋体" w:hAnsi="Arial" w:cs="Arial"/>
                <w:color w:val="000000"/>
                <w:sz w:val="18"/>
                <w:szCs w:val="18"/>
              </w:rPr>
              <w:t>Calculation Linkbase Document</w:t>
            </w:r>
          </w:p>
        </w:tc>
      </w:tr>
      <w:tr w:rsidR="008D6614" w14:paraId="64A8B8DD" w14:textId="77777777">
        <w:trPr>
          <w:jc w:val="center"/>
        </w:trPr>
        <w:tc>
          <w:tcPr>
            <w:tcW w:w="0" w:type="auto"/>
            <w:gridSpan w:val="3"/>
            <w:shd w:val="clear" w:color="auto" w:fill="auto"/>
            <w:tcMar>
              <w:top w:w="40" w:type="dxa"/>
              <w:left w:w="20" w:type="dxa"/>
              <w:bottom w:w="40" w:type="dxa"/>
              <w:right w:w="20" w:type="dxa"/>
            </w:tcMar>
          </w:tcPr>
          <w:p w14:paraId="64A8B8D9" w14:textId="77777777" w:rsidR="008D6614" w:rsidRDefault="00866AF2">
            <w:pPr>
              <w:textAlignment w:val="top"/>
            </w:pPr>
            <w:r>
              <w:rPr>
                <w:rFonts w:ascii="Arial" w:eastAsia="宋体" w:hAnsi="Arial" w:cs="Arial"/>
                <w:color w:val="000000"/>
                <w:sz w:val="18"/>
                <w:szCs w:val="18"/>
              </w:rPr>
              <w:t>101.DEF</w:t>
            </w:r>
          </w:p>
        </w:tc>
        <w:tc>
          <w:tcPr>
            <w:tcW w:w="0" w:type="auto"/>
            <w:gridSpan w:val="3"/>
            <w:shd w:val="clear" w:color="auto" w:fill="auto"/>
            <w:tcMar>
              <w:left w:w="20" w:type="dxa"/>
              <w:right w:w="20" w:type="dxa"/>
            </w:tcMar>
            <w:vAlign w:val="bottom"/>
          </w:tcPr>
          <w:p w14:paraId="64A8B8DA"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DB"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DC" w14:textId="77777777" w:rsidR="008D6614" w:rsidRDefault="00866AF2">
            <w:pPr>
              <w:textAlignment w:val="top"/>
            </w:pPr>
            <w:r>
              <w:rPr>
                <w:rFonts w:ascii="Arial" w:eastAsia="宋体" w:hAnsi="Arial" w:cs="Arial"/>
                <w:color w:val="000000"/>
                <w:sz w:val="18"/>
                <w:szCs w:val="18"/>
              </w:rPr>
              <w:t>Inline XBRL Taxonomy Extension Definition Linkbase Document</w:t>
            </w:r>
          </w:p>
        </w:tc>
      </w:tr>
      <w:tr w:rsidR="008D6614" w14:paraId="64A8B8E2" w14:textId="77777777">
        <w:trPr>
          <w:jc w:val="center"/>
        </w:trPr>
        <w:tc>
          <w:tcPr>
            <w:tcW w:w="0" w:type="auto"/>
            <w:gridSpan w:val="3"/>
            <w:shd w:val="clear" w:color="auto" w:fill="auto"/>
            <w:tcMar>
              <w:top w:w="40" w:type="dxa"/>
              <w:left w:w="20" w:type="dxa"/>
              <w:bottom w:w="40" w:type="dxa"/>
              <w:right w:w="20" w:type="dxa"/>
            </w:tcMar>
          </w:tcPr>
          <w:p w14:paraId="64A8B8DE" w14:textId="77777777" w:rsidR="008D6614" w:rsidRDefault="00866AF2">
            <w:pPr>
              <w:textAlignment w:val="top"/>
            </w:pPr>
            <w:r>
              <w:rPr>
                <w:rFonts w:ascii="Arial" w:eastAsia="宋体" w:hAnsi="Arial" w:cs="Arial"/>
                <w:color w:val="000000"/>
                <w:sz w:val="18"/>
                <w:szCs w:val="18"/>
              </w:rPr>
              <w:t>101.LAB</w:t>
            </w:r>
          </w:p>
        </w:tc>
        <w:tc>
          <w:tcPr>
            <w:tcW w:w="0" w:type="auto"/>
            <w:gridSpan w:val="3"/>
            <w:shd w:val="clear" w:color="auto" w:fill="auto"/>
            <w:tcMar>
              <w:left w:w="20" w:type="dxa"/>
              <w:right w:w="20" w:type="dxa"/>
            </w:tcMar>
            <w:vAlign w:val="bottom"/>
          </w:tcPr>
          <w:p w14:paraId="64A8B8DF"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E0"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E1" w14:textId="77777777" w:rsidR="008D6614" w:rsidRDefault="00866AF2">
            <w:pPr>
              <w:textAlignment w:val="top"/>
            </w:pPr>
            <w:r>
              <w:rPr>
                <w:rFonts w:ascii="Arial" w:eastAsia="宋体" w:hAnsi="Arial" w:cs="Arial"/>
                <w:color w:val="000000"/>
                <w:sz w:val="18"/>
                <w:szCs w:val="18"/>
              </w:rPr>
              <w:t>Inline XBRL Taxonomy Extension Label Linkbase Document</w:t>
            </w:r>
          </w:p>
        </w:tc>
      </w:tr>
      <w:tr w:rsidR="008D6614" w14:paraId="64A8B8E7" w14:textId="77777777">
        <w:trPr>
          <w:jc w:val="center"/>
        </w:trPr>
        <w:tc>
          <w:tcPr>
            <w:tcW w:w="0" w:type="auto"/>
            <w:gridSpan w:val="3"/>
            <w:shd w:val="clear" w:color="auto" w:fill="auto"/>
            <w:tcMar>
              <w:top w:w="40" w:type="dxa"/>
              <w:left w:w="20" w:type="dxa"/>
              <w:bottom w:w="40" w:type="dxa"/>
              <w:right w:w="20" w:type="dxa"/>
            </w:tcMar>
          </w:tcPr>
          <w:p w14:paraId="64A8B8E3" w14:textId="77777777" w:rsidR="008D6614" w:rsidRDefault="00866AF2">
            <w:pPr>
              <w:textAlignment w:val="top"/>
            </w:pPr>
            <w:r>
              <w:rPr>
                <w:rFonts w:ascii="Arial" w:eastAsia="宋体" w:hAnsi="Arial" w:cs="Arial"/>
                <w:color w:val="000000"/>
                <w:sz w:val="18"/>
                <w:szCs w:val="18"/>
              </w:rPr>
              <w:t>101.PRE</w:t>
            </w:r>
          </w:p>
        </w:tc>
        <w:tc>
          <w:tcPr>
            <w:tcW w:w="0" w:type="auto"/>
            <w:gridSpan w:val="3"/>
            <w:shd w:val="clear" w:color="auto" w:fill="auto"/>
            <w:tcMar>
              <w:left w:w="20" w:type="dxa"/>
              <w:right w:w="20" w:type="dxa"/>
            </w:tcMar>
            <w:vAlign w:val="bottom"/>
          </w:tcPr>
          <w:p w14:paraId="64A8B8E4"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E5"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E6" w14:textId="77777777" w:rsidR="008D6614" w:rsidRDefault="00866AF2">
            <w:pPr>
              <w:textAlignment w:val="top"/>
            </w:pPr>
            <w:r>
              <w:rPr>
                <w:rFonts w:ascii="Arial" w:eastAsia="宋体" w:hAnsi="Arial" w:cs="Arial"/>
                <w:color w:val="000000"/>
                <w:sz w:val="18"/>
                <w:szCs w:val="18"/>
              </w:rPr>
              <w:t>Inline XBRL Taxonomy Extension Presentation Linkbase Document</w:t>
            </w:r>
          </w:p>
        </w:tc>
      </w:tr>
      <w:tr w:rsidR="008D6614" w14:paraId="64A8B8EC" w14:textId="77777777">
        <w:trPr>
          <w:jc w:val="center"/>
        </w:trPr>
        <w:tc>
          <w:tcPr>
            <w:tcW w:w="0" w:type="auto"/>
            <w:gridSpan w:val="3"/>
            <w:shd w:val="clear" w:color="auto" w:fill="auto"/>
            <w:tcMar>
              <w:top w:w="40" w:type="dxa"/>
              <w:left w:w="20" w:type="dxa"/>
              <w:bottom w:w="40" w:type="dxa"/>
              <w:right w:w="20" w:type="dxa"/>
            </w:tcMar>
          </w:tcPr>
          <w:p w14:paraId="64A8B8E8" w14:textId="77777777" w:rsidR="008D6614" w:rsidRDefault="00866AF2">
            <w:pPr>
              <w:textAlignment w:val="top"/>
            </w:pPr>
            <w:r>
              <w:rPr>
                <w:rFonts w:ascii="Arial" w:eastAsia="宋体" w:hAnsi="Arial" w:cs="Arial"/>
                <w:color w:val="000000"/>
                <w:sz w:val="18"/>
                <w:szCs w:val="18"/>
              </w:rPr>
              <w:t>104</w:t>
            </w:r>
          </w:p>
        </w:tc>
        <w:tc>
          <w:tcPr>
            <w:tcW w:w="0" w:type="auto"/>
            <w:gridSpan w:val="3"/>
            <w:shd w:val="clear" w:color="auto" w:fill="auto"/>
            <w:tcMar>
              <w:left w:w="20" w:type="dxa"/>
              <w:right w:w="20" w:type="dxa"/>
            </w:tcMar>
            <w:vAlign w:val="bottom"/>
          </w:tcPr>
          <w:p w14:paraId="64A8B8E9"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8EA" w14:textId="77777777" w:rsidR="008D6614" w:rsidRDefault="00866AF2">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A8B8EB" w14:textId="77777777" w:rsidR="008D6614" w:rsidRDefault="00866AF2">
            <w:pPr>
              <w:textAlignment w:val="top"/>
            </w:pPr>
            <w:r>
              <w:rPr>
                <w:rFonts w:ascii="Arial" w:eastAsia="宋体" w:hAnsi="Arial" w:cs="Arial"/>
                <w:color w:val="000000"/>
                <w:sz w:val="18"/>
                <w:szCs w:val="18"/>
              </w:rPr>
              <w:t>Cover Page Interactive Data File (formatted as Inline XBRL and contained in Exhibit 101)</w:t>
            </w:r>
          </w:p>
        </w:tc>
      </w:tr>
    </w:tbl>
    <w:p w14:paraId="64A8B8ED" w14:textId="77777777" w:rsidR="008D6614" w:rsidRDefault="008D6614"/>
    <w:p w14:paraId="64A8B8EE" w14:textId="77777777" w:rsidR="008D6614" w:rsidRDefault="008D6614"/>
    <w:p w14:paraId="64A8B8EF" w14:textId="77777777" w:rsidR="008D6614" w:rsidRDefault="00866AF2">
      <w:r>
        <w:rPr>
          <w:rFonts w:ascii="Arial" w:eastAsia="宋体" w:hAnsi="Arial" w:cs="Arial"/>
          <w:color w:val="000000"/>
          <w:sz w:val="18"/>
          <w:szCs w:val="18"/>
        </w:rPr>
        <w:t>+ Indicates a management contract or compensatory plan or arrangement.</w:t>
      </w:r>
    </w:p>
    <w:p w14:paraId="64A8B8F0" w14:textId="77777777" w:rsidR="008D6614" w:rsidRDefault="00866AF2">
      <w:pPr>
        <w:ind w:hanging="180"/>
      </w:pPr>
      <w:r>
        <w:rPr>
          <w:rFonts w:ascii="Arial" w:eastAsia="宋体" w:hAnsi="Arial" w:cs="Arial"/>
          <w:color w:val="000000"/>
          <w:sz w:val="11"/>
          <w:szCs w:val="11"/>
        </w:rPr>
        <w:t>(1)</w:t>
      </w:r>
      <w:r>
        <w:rPr>
          <w:rFonts w:ascii="Arial" w:eastAsia="宋体" w:hAnsi="Arial" w:cs="Arial"/>
          <w:color w:val="000000"/>
          <w:sz w:val="18"/>
          <w:szCs w:val="18"/>
        </w:rPr>
        <w:t xml:space="preserve"> Filed as an exhibit to the Registrant’s Current Report on Form 8-K filed with the Securities and Exchange Commission on March 11, 2020. </w:t>
      </w:r>
    </w:p>
    <w:p w14:paraId="64A8B8F1" w14:textId="77777777" w:rsidR="008D6614" w:rsidRDefault="008D6614"/>
    <w:p w14:paraId="64A8B8F2" w14:textId="77777777" w:rsidR="008D6614" w:rsidRDefault="008D6614">
      <w:pPr>
        <w:spacing w:before="60"/>
      </w:pPr>
    </w:p>
    <w:p w14:paraId="64A8B8F3" w14:textId="77777777" w:rsidR="008D6614" w:rsidRDefault="008D6614">
      <w:pPr>
        <w:ind w:hanging="360"/>
      </w:pPr>
    </w:p>
    <w:p w14:paraId="64A8B8F4" w14:textId="77777777" w:rsidR="008D6614" w:rsidRDefault="008D6614">
      <w:pPr>
        <w:ind w:hanging="360"/>
      </w:pPr>
    </w:p>
    <w:p w14:paraId="64A8B8F5" w14:textId="77777777" w:rsidR="008D6614" w:rsidRDefault="008D6614">
      <w:pPr>
        <w:ind w:hanging="360"/>
      </w:pPr>
    </w:p>
    <w:p w14:paraId="64A8B8F6" w14:textId="77777777" w:rsidR="008D6614" w:rsidRDefault="008D6614">
      <w:pPr>
        <w:ind w:hanging="360"/>
      </w:pPr>
    </w:p>
    <w:p w14:paraId="64A8B8F7" w14:textId="77777777" w:rsidR="008D6614" w:rsidRDefault="008D6614">
      <w:pPr>
        <w:ind w:hanging="360"/>
      </w:pPr>
    </w:p>
    <w:p w14:paraId="64A8B8F8" w14:textId="77777777" w:rsidR="008D6614" w:rsidRDefault="008D6614">
      <w:pPr>
        <w:jc w:val="center"/>
      </w:pPr>
    </w:p>
    <w:p w14:paraId="64A8B8F9" w14:textId="77777777" w:rsidR="008D6614" w:rsidRDefault="008D6614"/>
    <w:p w14:paraId="64A8B8FA" w14:textId="77777777" w:rsidR="008D6614" w:rsidRDefault="008D6614">
      <w:pPr>
        <w:jc w:val="center"/>
      </w:pPr>
    </w:p>
    <w:p w14:paraId="64A8B8FB" w14:textId="77777777" w:rsidR="008D6614" w:rsidRDefault="00866AF2">
      <w:pPr>
        <w:jc w:val="center"/>
      </w:pPr>
      <w:r>
        <w:rPr>
          <w:rFonts w:ascii="Arial" w:eastAsia="宋体" w:hAnsi="Arial" w:cs="Arial"/>
          <w:color w:val="000000"/>
          <w:sz w:val="20"/>
          <w:szCs w:val="20"/>
        </w:rPr>
        <w:t>71</w:t>
      </w:r>
    </w:p>
    <w:p w14:paraId="64A8B8FC" w14:textId="77777777" w:rsidR="008D6614" w:rsidRDefault="00866AF2">
      <w:r>
        <w:pict w14:anchorId="64A8BA24">
          <v:rect id="_x0000_i1095" style="width:415.3pt;height:1.5pt" o:hralign="center" o:hrstd="t" o:hr="t" fillcolor="#a0a0a0" stroked="f"/>
        </w:pict>
      </w:r>
    </w:p>
    <w:p w14:paraId="64A8B8FD" w14:textId="77777777" w:rsidR="008D6614" w:rsidRDefault="008D6614"/>
    <w:p w14:paraId="64A8B8FE" w14:textId="77777777" w:rsidR="008D6614" w:rsidRDefault="00866AF2">
      <w:pPr>
        <w:jc w:val="center"/>
      </w:pPr>
      <w:r>
        <w:rPr>
          <w:rFonts w:ascii="Arial" w:eastAsia="宋体" w:hAnsi="Arial" w:cs="Arial"/>
          <w:b/>
          <w:bCs/>
          <w:color w:val="000000"/>
          <w:sz w:val="20"/>
          <w:szCs w:val="20"/>
        </w:rPr>
        <w:t>SIGNATURES</w:t>
      </w:r>
    </w:p>
    <w:p w14:paraId="64A8B8FF" w14:textId="77777777" w:rsidR="008D6614" w:rsidRDefault="008D6614">
      <w:pPr>
        <w:jc w:val="center"/>
      </w:pPr>
    </w:p>
    <w:p w14:paraId="64A8B900" w14:textId="77777777" w:rsidR="008D6614" w:rsidRDefault="00866AF2">
      <w:pPr>
        <w:ind w:firstLine="495"/>
      </w:pPr>
      <w:r>
        <w:rPr>
          <w:rFonts w:ascii="Arial" w:eastAsia="宋体" w:hAnsi="Arial" w:cs="Arial"/>
          <w:color w:val="000000"/>
          <w:sz w:val="20"/>
          <w:szCs w:val="20"/>
        </w:rPr>
        <w:t xml:space="preserve">Pursuant to the requirements of the Securities Exchange Act of 1934, the </w:t>
      </w:r>
      <w:r>
        <w:rPr>
          <w:rFonts w:ascii="Arial" w:eastAsia="宋体" w:hAnsi="Arial" w:cs="Arial"/>
          <w:color w:val="000000"/>
          <w:sz w:val="20"/>
          <w:szCs w:val="20"/>
        </w:rPr>
        <w:t>registrant has duly caused this report to be signed on its behalf by the undersigned thereunto duly authorized.</w:t>
      </w:r>
    </w:p>
    <w:p w14:paraId="64A8B901" w14:textId="77777777" w:rsidR="008D6614" w:rsidRDefault="00866AF2">
      <w:r>
        <w:rPr>
          <w:rFonts w:ascii="Arial" w:eastAsia="宋体" w:hAnsi="Arial" w:cs="Arial"/>
          <w:color w:val="000000"/>
          <w:sz w:val="20"/>
          <w:szCs w:val="20"/>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76"/>
        <w:gridCol w:w="368"/>
        <w:gridCol w:w="75"/>
        <w:gridCol w:w="91"/>
        <w:gridCol w:w="3727"/>
        <w:gridCol w:w="90"/>
        <w:gridCol w:w="61"/>
        <w:gridCol w:w="207"/>
        <w:gridCol w:w="61"/>
        <w:gridCol w:w="38"/>
        <w:gridCol w:w="3379"/>
        <w:gridCol w:w="43"/>
        <w:gridCol w:w="36"/>
        <w:gridCol w:w="36"/>
        <w:gridCol w:w="36"/>
      </w:tblGrid>
      <w:tr w:rsidR="008D6614" w14:paraId="64A8B90E" w14:textId="77777777">
        <w:trPr>
          <w:gridAfter w:val="3"/>
          <w:jc w:val="center"/>
        </w:trPr>
        <w:tc>
          <w:tcPr>
            <w:tcW w:w="50" w:type="pct"/>
            <w:shd w:val="clear" w:color="auto" w:fill="auto"/>
            <w:vAlign w:val="center"/>
          </w:tcPr>
          <w:p w14:paraId="64A8B902" w14:textId="77777777" w:rsidR="008D6614" w:rsidRDefault="008D6614">
            <w:pPr>
              <w:rPr>
                <w:rFonts w:ascii="宋体"/>
              </w:rPr>
            </w:pPr>
          </w:p>
        </w:tc>
        <w:tc>
          <w:tcPr>
            <w:tcW w:w="244" w:type="pct"/>
            <w:shd w:val="clear" w:color="auto" w:fill="auto"/>
            <w:vAlign w:val="center"/>
          </w:tcPr>
          <w:p w14:paraId="64A8B903" w14:textId="77777777" w:rsidR="008D6614" w:rsidRDefault="008D6614">
            <w:pPr>
              <w:rPr>
                <w:rFonts w:ascii="宋体"/>
              </w:rPr>
            </w:pPr>
          </w:p>
        </w:tc>
        <w:tc>
          <w:tcPr>
            <w:tcW w:w="50" w:type="pct"/>
            <w:shd w:val="clear" w:color="auto" w:fill="auto"/>
            <w:vAlign w:val="center"/>
          </w:tcPr>
          <w:p w14:paraId="64A8B904" w14:textId="77777777" w:rsidR="008D6614" w:rsidRDefault="008D6614">
            <w:pPr>
              <w:rPr>
                <w:rFonts w:ascii="宋体"/>
              </w:rPr>
            </w:pPr>
          </w:p>
        </w:tc>
        <w:tc>
          <w:tcPr>
            <w:tcW w:w="50" w:type="pct"/>
            <w:shd w:val="clear" w:color="auto" w:fill="auto"/>
            <w:vAlign w:val="center"/>
          </w:tcPr>
          <w:p w14:paraId="64A8B905" w14:textId="77777777" w:rsidR="008D6614" w:rsidRDefault="008D6614">
            <w:pPr>
              <w:rPr>
                <w:rFonts w:ascii="宋体"/>
              </w:rPr>
            </w:pPr>
          </w:p>
        </w:tc>
        <w:tc>
          <w:tcPr>
            <w:tcW w:w="2059" w:type="pct"/>
            <w:shd w:val="clear" w:color="auto" w:fill="auto"/>
            <w:vAlign w:val="center"/>
          </w:tcPr>
          <w:p w14:paraId="64A8B906" w14:textId="77777777" w:rsidR="008D6614" w:rsidRDefault="008D6614">
            <w:pPr>
              <w:rPr>
                <w:rFonts w:ascii="宋体"/>
              </w:rPr>
            </w:pPr>
          </w:p>
        </w:tc>
        <w:tc>
          <w:tcPr>
            <w:tcW w:w="50" w:type="pct"/>
            <w:shd w:val="clear" w:color="auto" w:fill="auto"/>
            <w:vAlign w:val="center"/>
          </w:tcPr>
          <w:p w14:paraId="64A8B907" w14:textId="77777777" w:rsidR="008D6614" w:rsidRDefault="008D6614">
            <w:pPr>
              <w:rPr>
                <w:rFonts w:ascii="宋体"/>
              </w:rPr>
            </w:pPr>
          </w:p>
        </w:tc>
        <w:tc>
          <w:tcPr>
            <w:tcW w:w="50" w:type="pct"/>
            <w:shd w:val="clear" w:color="auto" w:fill="auto"/>
            <w:vAlign w:val="center"/>
          </w:tcPr>
          <w:p w14:paraId="64A8B908" w14:textId="77777777" w:rsidR="008D6614" w:rsidRDefault="008D6614">
            <w:pPr>
              <w:rPr>
                <w:rFonts w:ascii="宋体"/>
              </w:rPr>
            </w:pPr>
          </w:p>
        </w:tc>
        <w:tc>
          <w:tcPr>
            <w:tcW w:w="170" w:type="pct"/>
            <w:shd w:val="clear" w:color="auto" w:fill="auto"/>
            <w:vAlign w:val="center"/>
          </w:tcPr>
          <w:p w14:paraId="64A8B909" w14:textId="77777777" w:rsidR="008D6614" w:rsidRDefault="008D6614">
            <w:pPr>
              <w:rPr>
                <w:rFonts w:ascii="宋体"/>
              </w:rPr>
            </w:pPr>
          </w:p>
        </w:tc>
        <w:tc>
          <w:tcPr>
            <w:tcW w:w="50" w:type="pct"/>
            <w:shd w:val="clear" w:color="auto" w:fill="auto"/>
            <w:vAlign w:val="center"/>
          </w:tcPr>
          <w:p w14:paraId="64A8B90A" w14:textId="77777777" w:rsidR="008D6614" w:rsidRDefault="008D6614">
            <w:pPr>
              <w:rPr>
                <w:rFonts w:ascii="宋体"/>
              </w:rPr>
            </w:pPr>
          </w:p>
        </w:tc>
        <w:tc>
          <w:tcPr>
            <w:tcW w:w="50" w:type="pct"/>
            <w:shd w:val="clear" w:color="auto" w:fill="auto"/>
            <w:vAlign w:val="center"/>
          </w:tcPr>
          <w:p w14:paraId="64A8B90B" w14:textId="77777777" w:rsidR="008D6614" w:rsidRDefault="008D6614">
            <w:pPr>
              <w:rPr>
                <w:rFonts w:ascii="宋体"/>
              </w:rPr>
            </w:pPr>
          </w:p>
        </w:tc>
        <w:tc>
          <w:tcPr>
            <w:tcW w:w="2125" w:type="pct"/>
            <w:shd w:val="clear" w:color="auto" w:fill="auto"/>
            <w:vAlign w:val="center"/>
          </w:tcPr>
          <w:p w14:paraId="64A8B90C" w14:textId="77777777" w:rsidR="008D6614" w:rsidRDefault="008D6614">
            <w:pPr>
              <w:rPr>
                <w:rFonts w:ascii="宋体"/>
              </w:rPr>
            </w:pPr>
          </w:p>
        </w:tc>
        <w:tc>
          <w:tcPr>
            <w:tcW w:w="50" w:type="pct"/>
            <w:shd w:val="clear" w:color="auto" w:fill="auto"/>
            <w:vAlign w:val="center"/>
          </w:tcPr>
          <w:p w14:paraId="64A8B90D" w14:textId="77777777" w:rsidR="008D6614" w:rsidRDefault="008D6614">
            <w:pPr>
              <w:rPr>
                <w:rFonts w:ascii="宋体"/>
              </w:rPr>
            </w:pPr>
          </w:p>
        </w:tc>
      </w:tr>
      <w:tr w:rsidR="008D6614" w14:paraId="64A8B913" w14:textId="77777777">
        <w:trPr>
          <w:jc w:val="center"/>
        </w:trPr>
        <w:tc>
          <w:tcPr>
            <w:tcW w:w="0" w:type="auto"/>
            <w:gridSpan w:val="3"/>
            <w:shd w:val="clear" w:color="auto" w:fill="auto"/>
            <w:tcMar>
              <w:left w:w="20" w:type="dxa"/>
              <w:right w:w="20" w:type="dxa"/>
            </w:tcMar>
            <w:vAlign w:val="bottom"/>
          </w:tcPr>
          <w:p w14:paraId="64A8B90F"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10" w14:textId="77777777" w:rsidR="008D6614" w:rsidRDefault="00866AF2">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4A8B911" w14:textId="77777777" w:rsidR="008D6614" w:rsidRDefault="00866AF2">
            <w:pPr>
              <w:textAlignment w:val="top"/>
            </w:pPr>
            <w:r>
              <w:rPr>
                <w:rFonts w:ascii="Arial" w:eastAsia="宋体" w:hAnsi="Arial" w:cs="Arial"/>
                <w:color w:val="000000"/>
                <w:sz w:val="20"/>
                <w:szCs w:val="20"/>
              </w:rPr>
              <w:t>eBay Inc.</w:t>
            </w:r>
          </w:p>
        </w:tc>
        <w:tc>
          <w:tcPr>
            <w:tcW w:w="0" w:type="auto"/>
            <w:gridSpan w:val="3"/>
            <w:shd w:val="clear" w:color="auto" w:fill="auto"/>
            <w:vAlign w:val="center"/>
          </w:tcPr>
          <w:p w14:paraId="64A8B912" w14:textId="77777777" w:rsidR="008D6614" w:rsidRDefault="008D6614">
            <w:pPr>
              <w:rPr>
                <w:rFonts w:ascii="宋体"/>
                <w:vanish/>
              </w:rPr>
            </w:pPr>
          </w:p>
        </w:tc>
      </w:tr>
      <w:tr w:rsidR="008D6614" w14:paraId="64A8B918" w14:textId="77777777">
        <w:trPr>
          <w:jc w:val="center"/>
        </w:trPr>
        <w:tc>
          <w:tcPr>
            <w:tcW w:w="0" w:type="auto"/>
            <w:gridSpan w:val="3"/>
            <w:shd w:val="clear" w:color="auto" w:fill="auto"/>
            <w:tcMar>
              <w:left w:w="20" w:type="dxa"/>
              <w:right w:w="20" w:type="dxa"/>
            </w:tcMar>
            <w:vAlign w:val="bottom"/>
          </w:tcPr>
          <w:p w14:paraId="64A8B914"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15" w14:textId="77777777" w:rsidR="008D6614" w:rsidRDefault="00866AF2">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4A8B916" w14:textId="77777777" w:rsidR="008D6614" w:rsidRDefault="00866AF2">
            <w:pPr>
              <w:textAlignment w:val="top"/>
            </w:pPr>
            <w:r>
              <w:rPr>
                <w:rFonts w:ascii="Arial" w:eastAsia="宋体" w:hAnsi="Arial" w:cs="Arial"/>
                <w:color w:val="000000"/>
                <w:sz w:val="20"/>
                <w:szCs w:val="20"/>
              </w:rPr>
              <w:t>Principal Executive Officer:</w:t>
            </w:r>
          </w:p>
        </w:tc>
        <w:tc>
          <w:tcPr>
            <w:tcW w:w="0" w:type="auto"/>
            <w:gridSpan w:val="3"/>
            <w:shd w:val="clear" w:color="auto" w:fill="auto"/>
            <w:vAlign w:val="center"/>
          </w:tcPr>
          <w:p w14:paraId="64A8B917" w14:textId="77777777" w:rsidR="008D6614" w:rsidRDefault="008D6614">
            <w:pPr>
              <w:rPr>
                <w:rFonts w:ascii="宋体"/>
                <w:vanish/>
              </w:rPr>
            </w:pPr>
          </w:p>
        </w:tc>
      </w:tr>
      <w:tr w:rsidR="008D6614" w14:paraId="64A8B920" w14:textId="77777777">
        <w:trPr>
          <w:trHeight w:val="280"/>
          <w:jc w:val="center"/>
        </w:trPr>
        <w:tc>
          <w:tcPr>
            <w:tcW w:w="0" w:type="auto"/>
            <w:gridSpan w:val="3"/>
            <w:shd w:val="clear" w:color="auto" w:fill="auto"/>
            <w:tcMar>
              <w:left w:w="20" w:type="dxa"/>
              <w:right w:w="20" w:type="dxa"/>
            </w:tcMar>
            <w:vAlign w:val="bottom"/>
          </w:tcPr>
          <w:p w14:paraId="64A8B919"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91A"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91B"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91C" w14:textId="77777777" w:rsidR="008D6614" w:rsidRDefault="008D6614">
            <w:pPr>
              <w:rPr>
                <w:rFonts w:ascii="宋体"/>
              </w:rPr>
            </w:pPr>
          </w:p>
        </w:tc>
        <w:tc>
          <w:tcPr>
            <w:tcW w:w="0" w:type="auto"/>
            <w:shd w:val="clear" w:color="auto" w:fill="auto"/>
            <w:vAlign w:val="center"/>
          </w:tcPr>
          <w:p w14:paraId="64A8B91D" w14:textId="77777777" w:rsidR="008D6614" w:rsidRDefault="008D6614">
            <w:pPr>
              <w:rPr>
                <w:rFonts w:ascii="宋体"/>
              </w:rPr>
            </w:pPr>
          </w:p>
        </w:tc>
        <w:tc>
          <w:tcPr>
            <w:tcW w:w="0" w:type="auto"/>
            <w:shd w:val="clear" w:color="auto" w:fill="auto"/>
            <w:vAlign w:val="center"/>
          </w:tcPr>
          <w:p w14:paraId="64A8B91E" w14:textId="77777777" w:rsidR="008D6614" w:rsidRDefault="008D6614">
            <w:pPr>
              <w:rPr>
                <w:rFonts w:ascii="宋体"/>
              </w:rPr>
            </w:pPr>
          </w:p>
        </w:tc>
        <w:tc>
          <w:tcPr>
            <w:tcW w:w="0" w:type="auto"/>
            <w:shd w:val="clear" w:color="auto" w:fill="auto"/>
            <w:vAlign w:val="center"/>
          </w:tcPr>
          <w:p w14:paraId="64A8B91F" w14:textId="77777777" w:rsidR="008D6614" w:rsidRDefault="008D6614">
            <w:pPr>
              <w:rPr>
                <w:rFonts w:ascii="宋体"/>
              </w:rPr>
            </w:pPr>
          </w:p>
        </w:tc>
      </w:tr>
      <w:tr w:rsidR="008D6614" w14:paraId="64A8B928" w14:textId="77777777">
        <w:trPr>
          <w:jc w:val="center"/>
        </w:trPr>
        <w:tc>
          <w:tcPr>
            <w:tcW w:w="0" w:type="auto"/>
            <w:gridSpan w:val="3"/>
            <w:shd w:val="clear" w:color="auto" w:fill="auto"/>
            <w:tcMar>
              <w:left w:w="20" w:type="dxa"/>
              <w:right w:w="20" w:type="dxa"/>
            </w:tcMar>
            <w:vAlign w:val="bottom"/>
          </w:tcPr>
          <w:p w14:paraId="64A8B921"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22" w14:textId="77777777" w:rsidR="008D6614" w:rsidRDefault="00866AF2">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64A8B923" w14:textId="77777777" w:rsidR="008D6614" w:rsidRDefault="00866AF2">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64A8B924" w14:textId="77777777" w:rsidR="008D6614" w:rsidRDefault="00866AF2">
            <w:pPr>
              <w:textAlignment w:val="bottom"/>
            </w:pPr>
            <w:r>
              <w:rPr>
                <w:rFonts w:ascii="Arial" w:eastAsia="宋体" w:hAnsi="Arial" w:cs="Arial"/>
                <w:color w:val="000000"/>
                <w:sz w:val="20"/>
                <w:szCs w:val="20"/>
              </w:rPr>
              <w:t>/s/ Jamie Iannone</w:t>
            </w:r>
          </w:p>
        </w:tc>
        <w:tc>
          <w:tcPr>
            <w:tcW w:w="0" w:type="auto"/>
            <w:shd w:val="clear" w:color="auto" w:fill="auto"/>
            <w:vAlign w:val="center"/>
          </w:tcPr>
          <w:p w14:paraId="64A8B925" w14:textId="77777777" w:rsidR="008D6614" w:rsidRDefault="008D6614">
            <w:pPr>
              <w:rPr>
                <w:rFonts w:ascii="宋体"/>
              </w:rPr>
            </w:pPr>
          </w:p>
        </w:tc>
        <w:tc>
          <w:tcPr>
            <w:tcW w:w="0" w:type="auto"/>
            <w:shd w:val="clear" w:color="auto" w:fill="auto"/>
            <w:vAlign w:val="center"/>
          </w:tcPr>
          <w:p w14:paraId="64A8B926" w14:textId="77777777" w:rsidR="008D6614" w:rsidRDefault="008D6614">
            <w:pPr>
              <w:rPr>
                <w:rFonts w:ascii="宋体"/>
              </w:rPr>
            </w:pPr>
          </w:p>
        </w:tc>
        <w:tc>
          <w:tcPr>
            <w:tcW w:w="0" w:type="auto"/>
            <w:shd w:val="clear" w:color="auto" w:fill="auto"/>
            <w:vAlign w:val="center"/>
          </w:tcPr>
          <w:p w14:paraId="64A8B927" w14:textId="77777777" w:rsidR="008D6614" w:rsidRDefault="008D6614">
            <w:pPr>
              <w:rPr>
                <w:rFonts w:ascii="宋体"/>
              </w:rPr>
            </w:pPr>
          </w:p>
        </w:tc>
      </w:tr>
      <w:tr w:rsidR="008D6614" w14:paraId="64A8B930" w14:textId="77777777">
        <w:trPr>
          <w:jc w:val="center"/>
        </w:trPr>
        <w:tc>
          <w:tcPr>
            <w:tcW w:w="0" w:type="auto"/>
            <w:gridSpan w:val="3"/>
            <w:shd w:val="clear" w:color="auto" w:fill="auto"/>
            <w:tcMar>
              <w:left w:w="20" w:type="dxa"/>
              <w:right w:w="20" w:type="dxa"/>
            </w:tcMar>
            <w:vAlign w:val="bottom"/>
          </w:tcPr>
          <w:p w14:paraId="64A8B929"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2A" w14:textId="77777777" w:rsidR="008D6614" w:rsidRDefault="00866AF2">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4A8B92B" w14:textId="77777777" w:rsidR="008D6614" w:rsidRDefault="00866AF2">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64A8B92C" w14:textId="77777777" w:rsidR="008D6614" w:rsidRDefault="00866AF2">
            <w:pPr>
              <w:jc w:val="center"/>
              <w:textAlignment w:val="top"/>
            </w:pPr>
            <w:r>
              <w:rPr>
                <w:rFonts w:ascii="Arial" w:eastAsia="宋体" w:hAnsi="Arial" w:cs="Arial"/>
                <w:b/>
                <w:bCs/>
                <w:color w:val="000000"/>
                <w:sz w:val="16"/>
                <w:szCs w:val="16"/>
              </w:rPr>
              <w:t>Jamie Iannone</w:t>
            </w:r>
          </w:p>
        </w:tc>
        <w:tc>
          <w:tcPr>
            <w:tcW w:w="0" w:type="auto"/>
            <w:shd w:val="clear" w:color="auto" w:fill="auto"/>
            <w:vAlign w:val="center"/>
          </w:tcPr>
          <w:p w14:paraId="64A8B92D" w14:textId="77777777" w:rsidR="008D6614" w:rsidRDefault="008D6614">
            <w:pPr>
              <w:rPr>
                <w:rFonts w:ascii="宋体"/>
              </w:rPr>
            </w:pPr>
          </w:p>
        </w:tc>
        <w:tc>
          <w:tcPr>
            <w:tcW w:w="0" w:type="auto"/>
            <w:shd w:val="clear" w:color="auto" w:fill="auto"/>
            <w:vAlign w:val="center"/>
          </w:tcPr>
          <w:p w14:paraId="64A8B92E" w14:textId="77777777" w:rsidR="008D6614" w:rsidRDefault="008D6614">
            <w:pPr>
              <w:rPr>
                <w:rFonts w:ascii="宋体"/>
              </w:rPr>
            </w:pPr>
          </w:p>
        </w:tc>
        <w:tc>
          <w:tcPr>
            <w:tcW w:w="0" w:type="auto"/>
            <w:shd w:val="clear" w:color="auto" w:fill="auto"/>
            <w:vAlign w:val="center"/>
          </w:tcPr>
          <w:p w14:paraId="64A8B92F" w14:textId="77777777" w:rsidR="008D6614" w:rsidRDefault="008D6614">
            <w:pPr>
              <w:rPr>
                <w:rFonts w:ascii="宋体"/>
              </w:rPr>
            </w:pPr>
          </w:p>
        </w:tc>
      </w:tr>
      <w:tr w:rsidR="008D6614" w14:paraId="64A8B938" w14:textId="77777777">
        <w:trPr>
          <w:jc w:val="center"/>
        </w:trPr>
        <w:tc>
          <w:tcPr>
            <w:tcW w:w="0" w:type="auto"/>
            <w:gridSpan w:val="3"/>
            <w:shd w:val="clear" w:color="auto" w:fill="auto"/>
            <w:tcMar>
              <w:left w:w="20" w:type="dxa"/>
              <w:right w:w="20" w:type="dxa"/>
            </w:tcMar>
            <w:vAlign w:val="bottom"/>
          </w:tcPr>
          <w:p w14:paraId="64A8B931"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32" w14:textId="77777777" w:rsidR="008D6614" w:rsidRDefault="00866AF2">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4A8B933" w14:textId="77777777" w:rsidR="008D6614" w:rsidRDefault="00866AF2">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4A8B934" w14:textId="77777777" w:rsidR="008D6614" w:rsidRDefault="00866AF2">
            <w:pPr>
              <w:jc w:val="center"/>
              <w:textAlignment w:val="top"/>
            </w:pPr>
            <w:r>
              <w:rPr>
                <w:rFonts w:ascii="Arial" w:eastAsia="宋体" w:hAnsi="Arial" w:cs="Arial"/>
                <w:b/>
                <w:bCs/>
                <w:color w:val="000000"/>
                <w:sz w:val="16"/>
                <w:szCs w:val="16"/>
              </w:rPr>
              <w:t xml:space="preserve">Chief </w:t>
            </w:r>
            <w:r>
              <w:rPr>
                <w:rFonts w:ascii="Arial" w:eastAsia="宋体" w:hAnsi="Arial" w:cs="Arial"/>
                <w:b/>
                <w:bCs/>
                <w:color w:val="000000"/>
                <w:sz w:val="16"/>
                <w:szCs w:val="16"/>
              </w:rPr>
              <w:t>Executive Officer</w:t>
            </w:r>
          </w:p>
        </w:tc>
        <w:tc>
          <w:tcPr>
            <w:tcW w:w="0" w:type="auto"/>
            <w:shd w:val="clear" w:color="auto" w:fill="auto"/>
            <w:vAlign w:val="center"/>
          </w:tcPr>
          <w:p w14:paraId="64A8B935" w14:textId="77777777" w:rsidR="008D6614" w:rsidRDefault="008D6614">
            <w:pPr>
              <w:rPr>
                <w:rFonts w:ascii="宋体"/>
              </w:rPr>
            </w:pPr>
          </w:p>
        </w:tc>
        <w:tc>
          <w:tcPr>
            <w:tcW w:w="0" w:type="auto"/>
            <w:shd w:val="clear" w:color="auto" w:fill="auto"/>
            <w:vAlign w:val="center"/>
          </w:tcPr>
          <w:p w14:paraId="64A8B936" w14:textId="77777777" w:rsidR="008D6614" w:rsidRDefault="008D6614">
            <w:pPr>
              <w:rPr>
                <w:rFonts w:ascii="宋体"/>
              </w:rPr>
            </w:pPr>
          </w:p>
        </w:tc>
        <w:tc>
          <w:tcPr>
            <w:tcW w:w="0" w:type="auto"/>
            <w:shd w:val="clear" w:color="auto" w:fill="auto"/>
            <w:vAlign w:val="center"/>
          </w:tcPr>
          <w:p w14:paraId="64A8B937" w14:textId="77777777" w:rsidR="008D6614" w:rsidRDefault="008D6614">
            <w:pPr>
              <w:rPr>
                <w:rFonts w:ascii="宋体"/>
              </w:rPr>
            </w:pPr>
          </w:p>
        </w:tc>
      </w:tr>
      <w:tr w:rsidR="008D6614" w14:paraId="64A8B93D" w14:textId="77777777">
        <w:trPr>
          <w:jc w:val="center"/>
        </w:trPr>
        <w:tc>
          <w:tcPr>
            <w:tcW w:w="0" w:type="auto"/>
            <w:gridSpan w:val="3"/>
            <w:shd w:val="clear" w:color="auto" w:fill="auto"/>
            <w:tcMar>
              <w:top w:w="40" w:type="dxa"/>
              <w:left w:w="20" w:type="dxa"/>
              <w:bottom w:w="40" w:type="dxa"/>
              <w:right w:w="20" w:type="dxa"/>
            </w:tcMar>
            <w:vAlign w:val="bottom"/>
          </w:tcPr>
          <w:p w14:paraId="64A8B939" w14:textId="77777777" w:rsidR="008D6614" w:rsidRDefault="00866AF2">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64A8B93A" w14:textId="77777777" w:rsidR="008D6614" w:rsidRDefault="00866AF2">
            <w:pPr>
              <w:textAlignment w:val="top"/>
            </w:pPr>
            <w:r>
              <w:rPr>
                <w:rFonts w:ascii="Arial" w:eastAsia="宋体" w:hAnsi="Arial" w:cs="Arial"/>
                <w:color w:val="000000"/>
                <w:sz w:val="20"/>
                <w:szCs w:val="20"/>
              </w:rPr>
              <w:t>April 30, 2020</w:t>
            </w:r>
          </w:p>
        </w:tc>
        <w:tc>
          <w:tcPr>
            <w:tcW w:w="0" w:type="auto"/>
            <w:gridSpan w:val="6"/>
            <w:shd w:val="clear" w:color="auto" w:fill="auto"/>
            <w:tcMar>
              <w:top w:w="40" w:type="dxa"/>
              <w:left w:w="20" w:type="dxa"/>
              <w:bottom w:w="40" w:type="dxa"/>
              <w:right w:w="20" w:type="dxa"/>
            </w:tcMar>
          </w:tcPr>
          <w:p w14:paraId="64A8B93B" w14:textId="77777777" w:rsidR="008D6614" w:rsidRDefault="00866AF2">
            <w:pPr>
              <w:textAlignment w:val="top"/>
            </w:pPr>
            <w:r>
              <w:rPr>
                <w:rFonts w:ascii="Arial" w:eastAsia="宋体" w:hAnsi="Arial" w:cs="Arial"/>
                <w:color w:val="000000"/>
                <w:sz w:val="20"/>
                <w:szCs w:val="20"/>
              </w:rPr>
              <w:t> </w:t>
            </w:r>
          </w:p>
        </w:tc>
        <w:tc>
          <w:tcPr>
            <w:tcW w:w="0" w:type="auto"/>
            <w:gridSpan w:val="3"/>
            <w:shd w:val="clear" w:color="auto" w:fill="auto"/>
            <w:vAlign w:val="center"/>
          </w:tcPr>
          <w:p w14:paraId="64A8B93C" w14:textId="77777777" w:rsidR="008D6614" w:rsidRDefault="008D6614">
            <w:pPr>
              <w:rPr>
                <w:rFonts w:ascii="宋体"/>
                <w:vanish/>
              </w:rPr>
            </w:pPr>
          </w:p>
        </w:tc>
      </w:tr>
      <w:tr w:rsidR="008D6614" w14:paraId="64A8B942" w14:textId="77777777">
        <w:trPr>
          <w:jc w:val="center"/>
        </w:trPr>
        <w:tc>
          <w:tcPr>
            <w:tcW w:w="0" w:type="auto"/>
            <w:gridSpan w:val="3"/>
            <w:shd w:val="clear" w:color="auto" w:fill="auto"/>
            <w:tcMar>
              <w:left w:w="20" w:type="dxa"/>
              <w:right w:w="20" w:type="dxa"/>
            </w:tcMar>
            <w:vAlign w:val="bottom"/>
          </w:tcPr>
          <w:p w14:paraId="64A8B93E"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3F" w14:textId="77777777" w:rsidR="008D6614" w:rsidRDefault="00866AF2">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4A8B940" w14:textId="77777777" w:rsidR="008D6614" w:rsidRDefault="00866AF2">
            <w:pPr>
              <w:textAlignment w:val="top"/>
            </w:pPr>
            <w:r>
              <w:rPr>
                <w:rFonts w:ascii="Arial" w:eastAsia="宋体" w:hAnsi="Arial" w:cs="Arial"/>
                <w:color w:val="000000"/>
                <w:sz w:val="20"/>
                <w:szCs w:val="20"/>
              </w:rPr>
              <w:t>Principal Financial Officer:</w:t>
            </w:r>
          </w:p>
        </w:tc>
        <w:tc>
          <w:tcPr>
            <w:tcW w:w="0" w:type="auto"/>
            <w:gridSpan w:val="3"/>
            <w:shd w:val="clear" w:color="auto" w:fill="auto"/>
            <w:vAlign w:val="center"/>
          </w:tcPr>
          <w:p w14:paraId="64A8B941" w14:textId="77777777" w:rsidR="008D6614" w:rsidRDefault="008D6614">
            <w:pPr>
              <w:rPr>
                <w:rFonts w:ascii="宋体"/>
                <w:vanish/>
              </w:rPr>
            </w:pPr>
          </w:p>
        </w:tc>
      </w:tr>
      <w:tr w:rsidR="008D6614" w14:paraId="64A8B94A" w14:textId="77777777">
        <w:trPr>
          <w:trHeight w:val="280"/>
          <w:jc w:val="center"/>
        </w:trPr>
        <w:tc>
          <w:tcPr>
            <w:tcW w:w="0" w:type="auto"/>
            <w:gridSpan w:val="3"/>
            <w:shd w:val="clear" w:color="auto" w:fill="auto"/>
            <w:tcMar>
              <w:left w:w="20" w:type="dxa"/>
              <w:right w:w="20" w:type="dxa"/>
            </w:tcMar>
            <w:vAlign w:val="bottom"/>
          </w:tcPr>
          <w:p w14:paraId="64A8B943"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944"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945"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946" w14:textId="77777777" w:rsidR="008D6614" w:rsidRDefault="008D6614">
            <w:pPr>
              <w:rPr>
                <w:rFonts w:ascii="宋体"/>
              </w:rPr>
            </w:pPr>
          </w:p>
        </w:tc>
        <w:tc>
          <w:tcPr>
            <w:tcW w:w="0" w:type="auto"/>
            <w:shd w:val="clear" w:color="auto" w:fill="auto"/>
            <w:vAlign w:val="center"/>
          </w:tcPr>
          <w:p w14:paraId="64A8B947" w14:textId="77777777" w:rsidR="008D6614" w:rsidRDefault="008D6614">
            <w:pPr>
              <w:rPr>
                <w:rFonts w:ascii="宋体"/>
              </w:rPr>
            </w:pPr>
          </w:p>
        </w:tc>
        <w:tc>
          <w:tcPr>
            <w:tcW w:w="0" w:type="auto"/>
            <w:shd w:val="clear" w:color="auto" w:fill="auto"/>
            <w:vAlign w:val="center"/>
          </w:tcPr>
          <w:p w14:paraId="64A8B948" w14:textId="77777777" w:rsidR="008D6614" w:rsidRDefault="008D6614">
            <w:pPr>
              <w:rPr>
                <w:rFonts w:ascii="宋体"/>
              </w:rPr>
            </w:pPr>
          </w:p>
        </w:tc>
        <w:tc>
          <w:tcPr>
            <w:tcW w:w="0" w:type="auto"/>
            <w:shd w:val="clear" w:color="auto" w:fill="auto"/>
            <w:vAlign w:val="center"/>
          </w:tcPr>
          <w:p w14:paraId="64A8B949" w14:textId="77777777" w:rsidR="008D6614" w:rsidRDefault="008D6614">
            <w:pPr>
              <w:rPr>
                <w:rFonts w:ascii="宋体"/>
              </w:rPr>
            </w:pPr>
          </w:p>
        </w:tc>
      </w:tr>
      <w:tr w:rsidR="008D6614" w14:paraId="64A8B952" w14:textId="77777777">
        <w:trPr>
          <w:jc w:val="center"/>
        </w:trPr>
        <w:tc>
          <w:tcPr>
            <w:tcW w:w="0" w:type="auto"/>
            <w:gridSpan w:val="3"/>
            <w:shd w:val="clear" w:color="auto" w:fill="auto"/>
            <w:tcMar>
              <w:left w:w="20" w:type="dxa"/>
              <w:right w:w="20" w:type="dxa"/>
            </w:tcMar>
            <w:vAlign w:val="bottom"/>
          </w:tcPr>
          <w:p w14:paraId="64A8B94B"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4C" w14:textId="77777777" w:rsidR="008D6614" w:rsidRDefault="00866AF2">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64A8B94D" w14:textId="77777777" w:rsidR="008D6614" w:rsidRDefault="00866AF2">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64A8B94E" w14:textId="77777777" w:rsidR="008D6614" w:rsidRDefault="00866AF2">
            <w:pPr>
              <w:textAlignment w:val="bottom"/>
            </w:pPr>
            <w:r>
              <w:rPr>
                <w:rFonts w:ascii="Arial" w:eastAsia="宋体" w:hAnsi="Arial" w:cs="Arial"/>
                <w:color w:val="000000"/>
                <w:sz w:val="20"/>
                <w:szCs w:val="20"/>
              </w:rPr>
              <w:t>/s/ Andy Cring</w:t>
            </w:r>
          </w:p>
        </w:tc>
        <w:tc>
          <w:tcPr>
            <w:tcW w:w="0" w:type="auto"/>
            <w:shd w:val="clear" w:color="auto" w:fill="auto"/>
            <w:vAlign w:val="center"/>
          </w:tcPr>
          <w:p w14:paraId="64A8B94F" w14:textId="77777777" w:rsidR="008D6614" w:rsidRDefault="008D6614">
            <w:pPr>
              <w:rPr>
                <w:rFonts w:ascii="宋体"/>
              </w:rPr>
            </w:pPr>
          </w:p>
        </w:tc>
        <w:tc>
          <w:tcPr>
            <w:tcW w:w="0" w:type="auto"/>
            <w:shd w:val="clear" w:color="auto" w:fill="auto"/>
            <w:vAlign w:val="center"/>
          </w:tcPr>
          <w:p w14:paraId="64A8B950" w14:textId="77777777" w:rsidR="008D6614" w:rsidRDefault="008D6614">
            <w:pPr>
              <w:rPr>
                <w:rFonts w:ascii="宋体"/>
              </w:rPr>
            </w:pPr>
          </w:p>
        </w:tc>
        <w:tc>
          <w:tcPr>
            <w:tcW w:w="0" w:type="auto"/>
            <w:shd w:val="clear" w:color="auto" w:fill="auto"/>
            <w:vAlign w:val="center"/>
          </w:tcPr>
          <w:p w14:paraId="64A8B951" w14:textId="77777777" w:rsidR="008D6614" w:rsidRDefault="008D6614">
            <w:pPr>
              <w:rPr>
                <w:rFonts w:ascii="宋体"/>
              </w:rPr>
            </w:pPr>
          </w:p>
        </w:tc>
      </w:tr>
      <w:tr w:rsidR="008D6614" w14:paraId="64A8B95A" w14:textId="77777777">
        <w:trPr>
          <w:jc w:val="center"/>
        </w:trPr>
        <w:tc>
          <w:tcPr>
            <w:tcW w:w="0" w:type="auto"/>
            <w:gridSpan w:val="3"/>
            <w:shd w:val="clear" w:color="auto" w:fill="auto"/>
            <w:tcMar>
              <w:left w:w="20" w:type="dxa"/>
              <w:right w:w="20" w:type="dxa"/>
            </w:tcMar>
            <w:vAlign w:val="bottom"/>
          </w:tcPr>
          <w:p w14:paraId="64A8B953"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54" w14:textId="77777777" w:rsidR="008D6614" w:rsidRDefault="00866AF2">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4A8B955" w14:textId="77777777" w:rsidR="008D6614" w:rsidRDefault="00866AF2">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64A8B956" w14:textId="77777777" w:rsidR="008D6614" w:rsidRDefault="00866AF2">
            <w:pPr>
              <w:jc w:val="center"/>
              <w:textAlignment w:val="top"/>
            </w:pPr>
            <w:r>
              <w:rPr>
                <w:rFonts w:ascii="Arial" w:eastAsia="宋体" w:hAnsi="Arial" w:cs="Arial"/>
                <w:b/>
                <w:bCs/>
                <w:color w:val="000000"/>
                <w:sz w:val="16"/>
                <w:szCs w:val="16"/>
              </w:rPr>
              <w:t>Andy Cring</w:t>
            </w:r>
          </w:p>
        </w:tc>
        <w:tc>
          <w:tcPr>
            <w:tcW w:w="0" w:type="auto"/>
            <w:shd w:val="clear" w:color="auto" w:fill="auto"/>
            <w:vAlign w:val="center"/>
          </w:tcPr>
          <w:p w14:paraId="64A8B957" w14:textId="77777777" w:rsidR="008D6614" w:rsidRDefault="008D6614">
            <w:pPr>
              <w:rPr>
                <w:rFonts w:ascii="宋体"/>
              </w:rPr>
            </w:pPr>
          </w:p>
        </w:tc>
        <w:tc>
          <w:tcPr>
            <w:tcW w:w="0" w:type="auto"/>
            <w:shd w:val="clear" w:color="auto" w:fill="auto"/>
            <w:vAlign w:val="center"/>
          </w:tcPr>
          <w:p w14:paraId="64A8B958" w14:textId="77777777" w:rsidR="008D6614" w:rsidRDefault="008D6614">
            <w:pPr>
              <w:rPr>
                <w:rFonts w:ascii="宋体"/>
              </w:rPr>
            </w:pPr>
          </w:p>
        </w:tc>
        <w:tc>
          <w:tcPr>
            <w:tcW w:w="0" w:type="auto"/>
            <w:shd w:val="clear" w:color="auto" w:fill="auto"/>
            <w:vAlign w:val="center"/>
          </w:tcPr>
          <w:p w14:paraId="64A8B959" w14:textId="77777777" w:rsidR="008D6614" w:rsidRDefault="008D6614">
            <w:pPr>
              <w:rPr>
                <w:rFonts w:ascii="宋体"/>
              </w:rPr>
            </w:pPr>
          </w:p>
        </w:tc>
      </w:tr>
      <w:tr w:rsidR="008D6614" w14:paraId="64A8B962" w14:textId="77777777">
        <w:trPr>
          <w:jc w:val="center"/>
        </w:trPr>
        <w:tc>
          <w:tcPr>
            <w:tcW w:w="0" w:type="auto"/>
            <w:gridSpan w:val="3"/>
            <w:shd w:val="clear" w:color="auto" w:fill="auto"/>
            <w:tcMar>
              <w:left w:w="20" w:type="dxa"/>
              <w:right w:w="20" w:type="dxa"/>
            </w:tcMar>
            <w:vAlign w:val="bottom"/>
          </w:tcPr>
          <w:p w14:paraId="64A8B95B"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5C" w14:textId="77777777" w:rsidR="008D6614" w:rsidRDefault="00866AF2">
            <w:pPr>
              <w:textAlignment w:val="top"/>
            </w:pPr>
            <w:r>
              <w:rPr>
                <w:rFonts w:ascii="Arial" w:eastAsia="宋体" w:hAnsi="Arial" w:cs="Arial"/>
                <w:b/>
                <w:bCs/>
                <w:color w:val="FFFFFF"/>
                <w:sz w:val="16"/>
                <w:szCs w:val="16"/>
              </w:rPr>
              <w:t>                                                                                       </w:t>
            </w:r>
          </w:p>
        </w:tc>
        <w:tc>
          <w:tcPr>
            <w:tcW w:w="0" w:type="auto"/>
            <w:gridSpan w:val="3"/>
            <w:shd w:val="clear" w:color="auto" w:fill="auto"/>
            <w:tcMar>
              <w:top w:w="40" w:type="dxa"/>
              <w:left w:w="20" w:type="dxa"/>
              <w:bottom w:w="40" w:type="dxa"/>
              <w:right w:w="20" w:type="dxa"/>
            </w:tcMar>
          </w:tcPr>
          <w:p w14:paraId="64A8B95D" w14:textId="77777777" w:rsidR="008D6614" w:rsidRDefault="00866AF2">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4A8B95E" w14:textId="77777777" w:rsidR="008D6614" w:rsidRDefault="00866AF2">
            <w:pPr>
              <w:jc w:val="center"/>
              <w:textAlignment w:val="top"/>
            </w:pPr>
            <w:r>
              <w:rPr>
                <w:rFonts w:ascii="Arial" w:eastAsia="宋体" w:hAnsi="Arial" w:cs="Arial"/>
                <w:b/>
                <w:bCs/>
                <w:color w:val="000000"/>
                <w:sz w:val="16"/>
                <w:szCs w:val="16"/>
              </w:rPr>
              <w:t>Interim Chief Financial Officer</w:t>
            </w:r>
          </w:p>
        </w:tc>
        <w:tc>
          <w:tcPr>
            <w:tcW w:w="0" w:type="auto"/>
            <w:shd w:val="clear" w:color="auto" w:fill="auto"/>
            <w:vAlign w:val="center"/>
          </w:tcPr>
          <w:p w14:paraId="64A8B95F" w14:textId="77777777" w:rsidR="008D6614" w:rsidRDefault="008D6614">
            <w:pPr>
              <w:rPr>
                <w:rFonts w:ascii="宋体"/>
              </w:rPr>
            </w:pPr>
          </w:p>
        </w:tc>
        <w:tc>
          <w:tcPr>
            <w:tcW w:w="0" w:type="auto"/>
            <w:shd w:val="clear" w:color="auto" w:fill="auto"/>
            <w:vAlign w:val="center"/>
          </w:tcPr>
          <w:p w14:paraId="64A8B960" w14:textId="77777777" w:rsidR="008D6614" w:rsidRDefault="008D6614">
            <w:pPr>
              <w:rPr>
                <w:rFonts w:ascii="宋体"/>
              </w:rPr>
            </w:pPr>
          </w:p>
        </w:tc>
        <w:tc>
          <w:tcPr>
            <w:tcW w:w="0" w:type="auto"/>
            <w:shd w:val="clear" w:color="auto" w:fill="auto"/>
            <w:vAlign w:val="center"/>
          </w:tcPr>
          <w:p w14:paraId="64A8B961" w14:textId="77777777" w:rsidR="008D6614" w:rsidRDefault="008D6614">
            <w:pPr>
              <w:rPr>
                <w:rFonts w:ascii="宋体"/>
              </w:rPr>
            </w:pPr>
          </w:p>
        </w:tc>
      </w:tr>
      <w:tr w:rsidR="008D6614" w14:paraId="64A8B967" w14:textId="77777777">
        <w:trPr>
          <w:jc w:val="center"/>
        </w:trPr>
        <w:tc>
          <w:tcPr>
            <w:tcW w:w="0" w:type="auto"/>
            <w:gridSpan w:val="3"/>
            <w:shd w:val="clear" w:color="auto" w:fill="auto"/>
            <w:tcMar>
              <w:top w:w="40" w:type="dxa"/>
              <w:left w:w="20" w:type="dxa"/>
              <w:bottom w:w="40" w:type="dxa"/>
              <w:right w:w="20" w:type="dxa"/>
            </w:tcMar>
            <w:vAlign w:val="bottom"/>
          </w:tcPr>
          <w:p w14:paraId="64A8B963" w14:textId="77777777" w:rsidR="008D6614" w:rsidRDefault="00866AF2">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64A8B964" w14:textId="77777777" w:rsidR="008D6614" w:rsidRDefault="00866AF2">
            <w:pPr>
              <w:textAlignment w:val="top"/>
            </w:pPr>
            <w:r>
              <w:rPr>
                <w:rFonts w:ascii="Arial" w:eastAsia="宋体" w:hAnsi="Arial" w:cs="Arial"/>
                <w:color w:val="000000"/>
                <w:sz w:val="20"/>
                <w:szCs w:val="20"/>
              </w:rPr>
              <w:t>April 30, 2020</w:t>
            </w:r>
          </w:p>
        </w:tc>
        <w:tc>
          <w:tcPr>
            <w:tcW w:w="0" w:type="auto"/>
            <w:gridSpan w:val="6"/>
            <w:shd w:val="clear" w:color="auto" w:fill="auto"/>
            <w:tcMar>
              <w:top w:w="40" w:type="dxa"/>
              <w:left w:w="20" w:type="dxa"/>
              <w:bottom w:w="40" w:type="dxa"/>
              <w:right w:w="20" w:type="dxa"/>
            </w:tcMar>
          </w:tcPr>
          <w:p w14:paraId="64A8B965" w14:textId="77777777" w:rsidR="008D6614" w:rsidRDefault="00866AF2">
            <w:pPr>
              <w:textAlignment w:val="top"/>
            </w:pPr>
            <w:r>
              <w:rPr>
                <w:rFonts w:ascii="Arial" w:eastAsia="宋体" w:hAnsi="Arial" w:cs="Arial"/>
                <w:color w:val="000000"/>
                <w:sz w:val="20"/>
                <w:szCs w:val="20"/>
              </w:rPr>
              <w:t> </w:t>
            </w:r>
          </w:p>
        </w:tc>
        <w:tc>
          <w:tcPr>
            <w:tcW w:w="0" w:type="auto"/>
            <w:gridSpan w:val="3"/>
            <w:shd w:val="clear" w:color="auto" w:fill="auto"/>
            <w:vAlign w:val="center"/>
          </w:tcPr>
          <w:p w14:paraId="64A8B966" w14:textId="77777777" w:rsidR="008D6614" w:rsidRDefault="008D6614">
            <w:pPr>
              <w:rPr>
                <w:rFonts w:ascii="宋体"/>
                <w:vanish/>
              </w:rPr>
            </w:pPr>
          </w:p>
        </w:tc>
      </w:tr>
      <w:tr w:rsidR="008D6614" w14:paraId="64A8B96C" w14:textId="77777777">
        <w:trPr>
          <w:jc w:val="center"/>
        </w:trPr>
        <w:tc>
          <w:tcPr>
            <w:tcW w:w="0" w:type="auto"/>
            <w:gridSpan w:val="3"/>
            <w:shd w:val="clear" w:color="auto" w:fill="auto"/>
            <w:tcMar>
              <w:left w:w="20" w:type="dxa"/>
              <w:right w:w="20" w:type="dxa"/>
            </w:tcMar>
            <w:vAlign w:val="bottom"/>
          </w:tcPr>
          <w:p w14:paraId="64A8B968"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69" w14:textId="77777777" w:rsidR="008D6614" w:rsidRDefault="00866AF2">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4A8B96A" w14:textId="77777777" w:rsidR="008D6614" w:rsidRDefault="00866AF2">
            <w:pPr>
              <w:textAlignment w:val="top"/>
            </w:pPr>
            <w:r>
              <w:rPr>
                <w:rFonts w:ascii="Arial" w:eastAsia="宋体" w:hAnsi="Arial" w:cs="Arial"/>
                <w:color w:val="000000"/>
                <w:sz w:val="20"/>
                <w:szCs w:val="20"/>
              </w:rPr>
              <w:t>Principal Accounting Officer:</w:t>
            </w:r>
          </w:p>
        </w:tc>
        <w:tc>
          <w:tcPr>
            <w:tcW w:w="0" w:type="auto"/>
            <w:gridSpan w:val="3"/>
            <w:shd w:val="clear" w:color="auto" w:fill="auto"/>
            <w:vAlign w:val="center"/>
          </w:tcPr>
          <w:p w14:paraId="64A8B96B" w14:textId="77777777" w:rsidR="008D6614" w:rsidRDefault="008D6614">
            <w:pPr>
              <w:rPr>
                <w:rFonts w:ascii="宋体"/>
                <w:vanish/>
              </w:rPr>
            </w:pPr>
          </w:p>
        </w:tc>
      </w:tr>
      <w:tr w:rsidR="008D6614" w14:paraId="64A8B974" w14:textId="77777777">
        <w:trPr>
          <w:trHeight w:val="280"/>
          <w:jc w:val="center"/>
        </w:trPr>
        <w:tc>
          <w:tcPr>
            <w:tcW w:w="0" w:type="auto"/>
            <w:gridSpan w:val="3"/>
            <w:shd w:val="clear" w:color="auto" w:fill="auto"/>
            <w:tcMar>
              <w:left w:w="20" w:type="dxa"/>
              <w:right w:w="20" w:type="dxa"/>
            </w:tcMar>
            <w:vAlign w:val="bottom"/>
          </w:tcPr>
          <w:p w14:paraId="64A8B96D"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96E"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96F" w14:textId="77777777" w:rsidR="008D6614" w:rsidRDefault="008D6614">
            <w:pPr>
              <w:rPr>
                <w:rFonts w:ascii="宋体"/>
              </w:rPr>
            </w:pPr>
          </w:p>
        </w:tc>
        <w:tc>
          <w:tcPr>
            <w:tcW w:w="0" w:type="auto"/>
            <w:gridSpan w:val="3"/>
            <w:shd w:val="clear" w:color="auto" w:fill="auto"/>
            <w:tcMar>
              <w:left w:w="20" w:type="dxa"/>
              <w:right w:w="20" w:type="dxa"/>
            </w:tcMar>
            <w:vAlign w:val="bottom"/>
          </w:tcPr>
          <w:p w14:paraId="64A8B970" w14:textId="77777777" w:rsidR="008D6614" w:rsidRDefault="008D6614">
            <w:pPr>
              <w:rPr>
                <w:rFonts w:ascii="宋体"/>
              </w:rPr>
            </w:pPr>
          </w:p>
        </w:tc>
        <w:tc>
          <w:tcPr>
            <w:tcW w:w="0" w:type="auto"/>
            <w:shd w:val="clear" w:color="auto" w:fill="auto"/>
            <w:vAlign w:val="center"/>
          </w:tcPr>
          <w:p w14:paraId="64A8B971" w14:textId="77777777" w:rsidR="008D6614" w:rsidRDefault="008D6614">
            <w:pPr>
              <w:rPr>
                <w:rFonts w:ascii="宋体"/>
              </w:rPr>
            </w:pPr>
          </w:p>
        </w:tc>
        <w:tc>
          <w:tcPr>
            <w:tcW w:w="0" w:type="auto"/>
            <w:shd w:val="clear" w:color="auto" w:fill="auto"/>
            <w:vAlign w:val="center"/>
          </w:tcPr>
          <w:p w14:paraId="64A8B972" w14:textId="77777777" w:rsidR="008D6614" w:rsidRDefault="008D6614">
            <w:pPr>
              <w:rPr>
                <w:rFonts w:ascii="宋体"/>
              </w:rPr>
            </w:pPr>
          </w:p>
        </w:tc>
        <w:tc>
          <w:tcPr>
            <w:tcW w:w="0" w:type="auto"/>
            <w:shd w:val="clear" w:color="auto" w:fill="auto"/>
            <w:vAlign w:val="center"/>
          </w:tcPr>
          <w:p w14:paraId="64A8B973" w14:textId="77777777" w:rsidR="008D6614" w:rsidRDefault="008D6614">
            <w:pPr>
              <w:rPr>
                <w:rFonts w:ascii="宋体"/>
              </w:rPr>
            </w:pPr>
          </w:p>
        </w:tc>
      </w:tr>
      <w:tr w:rsidR="008D6614" w14:paraId="64A8B97C" w14:textId="77777777">
        <w:trPr>
          <w:jc w:val="center"/>
        </w:trPr>
        <w:tc>
          <w:tcPr>
            <w:tcW w:w="0" w:type="auto"/>
            <w:gridSpan w:val="3"/>
            <w:shd w:val="clear" w:color="auto" w:fill="auto"/>
            <w:tcMar>
              <w:left w:w="20" w:type="dxa"/>
              <w:right w:w="20" w:type="dxa"/>
            </w:tcMar>
            <w:vAlign w:val="bottom"/>
          </w:tcPr>
          <w:p w14:paraId="64A8B975"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76" w14:textId="77777777" w:rsidR="008D6614" w:rsidRDefault="00866AF2">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64A8B977" w14:textId="77777777" w:rsidR="008D6614" w:rsidRDefault="00866AF2">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64A8B978" w14:textId="77777777" w:rsidR="008D6614" w:rsidRDefault="00866AF2">
            <w:pPr>
              <w:textAlignment w:val="bottom"/>
            </w:pPr>
            <w:r>
              <w:rPr>
                <w:rFonts w:ascii="Arial" w:eastAsia="宋体" w:hAnsi="Arial" w:cs="Arial"/>
                <w:color w:val="000000"/>
                <w:sz w:val="20"/>
                <w:szCs w:val="20"/>
              </w:rPr>
              <w:t>/s/ Brian J. Doerger</w:t>
            </w:r>
          </w:p>
        </w:tc>
        <w:tc>
          <w:tcPr>
            <w:tcW w:w="0" w:type="auto"/>
            <w:shd w:val="clear" w:color="auto" w:fill="auto"/>
            <w:vAlign w:val="center"/>
          </w:tcPr>
          <w:p w14:paraId="64A8B979" w14:textId="77777777" w:rsidR="008D6614" w:rsidRDefault="008D6614">
            <w:pPr>
              <w:rPr>
                <w:rFonts w:ascii="宋体"/>
              </w:rPr>
            </w:pPr>
          </w:p>
        </w:tc>
        <w:tc>
          <w:tcPr>
            <w:tcW w:w="0" w:type="auto"/>
            <w:shd w:val="clear" w:color="auto" w:fill="auto"/>
            <w:vAlign w:val="center"/>
          </w:tcPr>
          <w:p w14:paraId="64A8B97A" w14:textId="77777777" w:rsidR="008D6614" w:rsidRDefault="008D6614">
            <w:pPr>
              <w:rPr>
                <w:rFonts w:ascii="宋体"/>
              </w:rPr>
            </w:pPr>
          </w:p>
        </w:tc>
        <w:tc>
          <w:tcPr>
            <w:tcW w:w="0" w:type="auto"/>
            <w:shd w:val="clear" w:color="auto" w:fill="auto"/>
            <w:vAlign w:val="center"/>
          </w:tcPr>
          <w:p w14:paraId="64A8B97B" w14:textId="77777777" w:rsidR="008D6614" w:rsidRDefault="008D6614">
            <w:pPr>
              <w:rPr>
                <w:rFonts w:ascii="宋体"/>
              </w:rPr>
            </w:pPr>
          </w:p>
        </w:tc>
      </w:tr>
      <w:tr w:rsidR="008D6614" w14:paraId="64A8B984" w14:textId="77777777">
        <w:trPr>
          <w:jc w:val="center"/>
        </w:trPr>
        <w:tc>
          <w:tcPr>
            <w:tcW w:w="0" w:type="auto"/>
            <w:gridSpan w:val="3"/>
            <w:shd w:val="clear" w:color="auto" w:fill="auto"/>
            <w:tcMar>
              <w:left w:w="20" w:type="dxa"/>
              <w:right w:w="20" w:type="dxa"/>
            </w:tcMar>
            <w:vAlign w:val="bottom"/>
          </w:tcPr>
          <w:p w14:paraId="64A8B97D"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7E" w14:textId="77777777" w:rsidR="008D6614" w:rsidRDefault="00866AF2">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4A8B97F" w14:textId="77777777" w:rsidR="008D6614" w:rsidRDefault="00866AF2">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64A8B980" w14:textId="77777777" w:rsidR="008D6614" w:rsidRDefault="00866AF2">
            <w:pPr>
              <w:jc w:val="center"/>
              <w:textAlignment w:val="top"/>
            </w:pPr>
            <w:r>
              <w:rPr>
                <w:rFonts w:ascii="Arial" w:eastAsia="宋体" w:hAnsi="Arial" w:cs="Arial"/>
                <w:b/>
                <w:bCs/>
                <w:color w:val="000000"/>
                <w:sz w:val="16"/>
                <w:szCs w:val="16"/>
              </w:rPr>
              <w:t>Brian J. Doerger</w:t>
            </w:r>
          </w:p>
        </w:tc>
        <w:tc>
          <w:tcPr>
            <w:tcW w:w="0" w:type="auto"/>
            <w:shd w:val="clear" w:color="auto" w:fill="auto"/>
            <w:vAlign w:val="center"/>
          </w:tcPr>
          <w:p w14:paraId="64A8B981" w14:textId="77777777" w:rsidR="008D6614" w:rsidRDefault="008D6614">
            <w:pPr>
              <w:rPr>
                <w:rFonts w:ascii="宋体"/>
              </w:rPr>
            </w:pPr>
          </w:p>
        </w:tc>
        <w:tc>
          <w:tcPr>
            <w:tcW w:w="0" w:type="auto"/>
            <w:shd w:val="clear" w:color="auto" w:fill="auto"/>
            <w:vAlign w:val="center"/>
          </w:tcPr>
          <w:p w14:paraId="64A8B982" w14:textId="77777777" w:rsidR="008D6614" w:rsidRDefault="008D6614">
            <w:pPr>
              <w:rPr>
                <w:rFonts w:ascii="宋体"/>
              </w:rPr>
            </w:pPr>
          </w:p>
        </w:tc>
        <w:tc>
          <w:tcPr>
            <w:tcW w:w="0" w:type="auto"/>
            <w:shd w:val="clear" w:color="auto" w:fill="auto"/>
            <w:vAlign w:val="center"/>
          </w:tcPr>
          <w:p w14:paraId="64A8B983" w14:textId="77777777" w:rsidR="008D6614" w:rsidRDefault="008D6614">
            <w:pPr>
              <w:rPr>
                <w:rFonts w:ascii="宋体"/>
              </w:rPr>
            </w:pPr>
          </w:p>
        </w:tc>
      </w:tr>
      <w:tr w:rsidR="008D6614" w14:paraId="64A8B98C" w14:textId="77777777">
        <w:trPr>
          <w:jc w:val="center"/>
        </w:trPr>
        <w:tc>
          <w:tcPr>
            <w:tcW w:w="0" w:type="auto"/>
            <w:gridSpan w:val="3"/>
            <w:shd w:val="clear" w:color="auto" w:fill="auto"/>
            <w:tcMar>
              <w:left w:w="20" w:type="dxa"/>
              <w:right w:w="20" w:type="dxa"/>
            </w:tcMar>
            <w:vAlign w:val="bottom"/>
          </w:tcPr>
          <w:p w14:paraId="64A8B985" w14:textId="77777777" w:rsidR="008D6614" w:rsidRDefault="008D6614">
            <w:pPr>
              <w:rPr>
                <w:rFonts w:ascii="宋体"/>
              </w:rPr>
            </w:pPr>
          </w:p>
        </w:tc>
        <w:tc>
          <w:tcPr>
            <w:tcW w:w="0" w:type="auto"/>
            <w:gridSpan w:val="3"/>
            <w:shd w:val="clear" w:color="auto" w:fill="auto"/>
            <w:tcMar>
              <w:top w:w="40" w:type="dxa"/>
              <w:left w:w="20" w:type="dxa"/>
              <w:bottom w:w="40" w:type="dxa"/>
              <w:right w:w="20" w:type="dxa"/>
            </w:tcMar>
          </w:tcPr>
          <w:p w14:paraId="64A8B986" w14:textId="77777777" w:rsidR="008D6614" w:rsidRDefault="00866AF2">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4A8B987" w14:textId="77777777" w:rsidR="008D6614" w:rsidRDefault="00866AF2">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4A8B988" w14:textId="77777777" w:rsidR="008D6614" w:rsidRDefault="00866AF2">
            <w:pPr>
              <w:jc w:val="center"/>
              <w:textAlignment w:val="top"/>
            </w:pPr>
            <w:r>
              <w:rPr>
                <w:rFonts w:ascii="Arial" w:eastAsia="宋体" w:hAnsi="Arial" w:cs="Arial"/>
                <w:b/>
                <w:bCs/>
                <w:color w:val="000000"/>
                <w:sz w:val="16"/>
                <w:szCs w:val="16"/>
              </w:rPr>
              <w:t>Vice President, Chief Accounting Officer</w:t>
            </w:r>
          </w:p>
        </w:tc>
        <w:tc>
          <w:tcPr>
            <w:tcW w:w="0" w:type="auto"/>
            <w:shd w:val="clear" w:color="auto" w:fill="auto"/>
            <w:vAlign w:val="center"/>
          </w:tcPr>
          <w:p w14:paraId="64A8B989" w14:textId="77777777" w:rsidR="008D6614" w:rsidRDefault="008D6614">
            <w:pPr>
              <w:rPr>
                <w:rFonts w:ascii="宋体"/>
              </w:rPr>
            </w:pPr>
          </w:p>
        </w:tc>
        <w:tc>
          <w:tcPr>
            <w:tcW w:w="0" w:type="auto"/>
            <w:shd w:val="clear" w:color="auto" w:fill="auto"/>
            <w:vAlign w:val="center"/>
          </w:tcPr>
          <w:p w14:paraId="64A8B98A" w14:textId="77777777" w:rsidR="008D6614" w:rsidRDefault="008D6614">
            <w:pPr>
              <w:rPr>
                <w:rFonts w:ascii="宋体"/>
              </w:rPr>
            </w:pPr>
          </w:p>
        </w:tc>
        <w:tc>
          <w:tcPr>
            <w:tcW w:w="0" w:type="auto"/>
            <w:shd w:val="clear" w:color="auto" w:fill="auto"/>
            <w:vAlign w:val="center"/>
          </w:tcPr>
          <w:p w14:paraId="64A8B98B" w14:textId="77777777" w:rsidR="008D6614" w:rsidRDefault="008D6614">
            <w:pPr>
              <w:rPr>
                <w:rFonts w:ascii="宋体"/>
              </w:rPr>
            </w:pPr>
          </w:p>
        </w:tc>
      </w:tr>
      <w:tr w:rsidR="008D6614" w14:paraId="64A8B994" w14:textId="77777777">
        <w:trPr>
          <w:jc w:val="center"/>
        </w:trPr>
        <w:tc>
          <w:tcPr>
            <w:tcW w:w="0" w:type="auto"/>
            <w:gridSpan w:val="3"/>
            <w:shd w:val="clear" w:color="auto" w:fill="auto"/>
            <w:tcMar>
              <w:top w:w="40" w:type="dxa"/>
              <w:left w:w="20" w:type="dxa"/>
              <w:bottom w:w="40" w:type="dxa"/>
              <w:right w:w="20" w:type="dxa"/>
            </w:tcMar>
            <w:vAlign w:val="bottom"/>
          </w:tcPr>
          <w:p w14:paraId="64A8B98D" w14:textId="77777777" w:rsidR="008D6614" w:rsidRDefault="00866AF2">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64A8B98E" w14:textId="77777777" w:rsidR="008D6614" w:rsidRDefault="00866AF2">
            <w:pPr>
              <w:textAlignment w:val="top"/>
            </w:pPr>
            <w:r>
              <w:rPr>
                <w:rFonts w:ascii="Arial" w:eastAsia="宋体" w:hAnsi="Arial" w:cs="Arial"/>
                <w:color w:val="000000"/>
                <w:sz w:val="20"/>
                <w:szCs w:val="20"/>
              </w:rPr>
              <w:t>April 30, 2020</w:t>
            </w:r>
          </w:p>
        </w:tc>
        <w:tc>
          <w:tcPr>
            <w:tcW w:w="0" w:type="auto"/>
            <w:gridSpan w:val="3"/>
            <w:shd w:val="clear" w:color="auto" w:fill="auto"/>
            <w:tcMar>
              <w:top w:w="40" w:type="dxa"/>
              <w:left w:w="20" w:type="dxa"/>
              <w:bottom w:w="40" w:type="dxa"/>
              <w:right w:w="20" w:type="dxa"/>
            </w:tcMar>
          </w:tcPr>
          <w:p w14:paraId="64A8B98F" w14:textId="77777777" w:rsidR="008D6614" w:rsidRDefault="00866AF2">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4A8B990" w14:textId="77777777" w:rsidR="008D6614" w:rsidRDefault="00866AF2">
            <w:pPr>
              <w:textAlignment w:val="top"/>
            </w:pPr>
            <w:r>
              <w:rPr>
                <w:rFonts w:ascii="Arial" w:eastAsia="宋体" w:hAnsi="Arial" w:cs="Arial"/>
                <w:color w:val="000000"/>
                <w:sz w:val="8"/>
                <w:szCs w:val="8"/>
              </w:rPr>
              <w:t> </w:t>
            </w:r>
          </w:p>
        </w:tc>
        <w:tc>
          <w:tcPr>
            <w:tcW w:w="0" w:type="auto"/>
            <w:shd w:val="clear" w:color="auto" w:fill="auto"/>
            <w:vAlign w:val="center"/>
          </w:tcPr>
          <w:p w14:paraId="64A8B991" w14:textId="77777777" w:rsidR="008D6614" w:rsidRDefault="008D6614">
            <w:pPr>
              <w:rPr>
                <w:rFonts w:ascii="宋体"/>
              </w:rPr>
            </w:pPr>
          </w:p>
        </w:tc>
        <w:tc>
          <w:tcPr>
            <w:tcW w:w="0" w:type="auto"/>
            <w:shd w:val="clear" w:color="auto" w:fill="auto"/>
            <w:vAlign w:val="center"/>
          </w:tcPr>
          <w:p w14:paraId="64A8B992" w14:textId="77777777" w:rsidR="008D6614" w:rsidRDefault="008D6614">
            <w:pPr>
              <w:rPr>
                <w:rFonts w:ascii="宋体"/>
              </w:rPr>
            </w:pPr>
          </w:p>
        </w:tc>
        <w:tc>
          <w:tcPr>
            <w:tcW w:w="0" w:type="auto"/>
            <w:shd w:val="clear" w:color="auto" w:fill="auto"/>
            <w:vAlign w:val="center"/>
          </w:tcPr>
          <w:p w14:paraId="64A8B993" w14:textId="77777777" w:rsidR="008D6614" w:rsidRDefault="008D6614">
            <w:pPr>
              <w:rPr>
                <w:rFonts w:ascii="宋体"/>
              </w:rPr>
            </w:pPr>
          </w:p>
        </w:tc>
      </w:tr>
    </w:tbl>
    <w:p w14:paraId="64A8B995" w14:textId="77777777" w:rsidR="008D6614" w:rsidRDefault="008D6614"/>
    <w:p w14:paraId="64A8B996" w14:textId="77777777" w:rsidR="008D6614" w:rsidRDefault="008D6614"/>
    <w:p w14:paraId="64A8B997" w14:textId="77777777" w:rsidR="008D6614" w:rsidRDefault="008D6614">
      <w:pPr>
        <w:jc w:val="center"/>
      </w:pPr>
    </w:p>
    <w:p w14:paraId="64A8B998" w14:textId="77777777" w:rsidR="008D6614" w:rsidRDefault="00866AF2">
      <w:pPr>
        <w:jc w:val="center"/>
      </w:pPr>
      <w:r>
        <w:rPr>
          <w:rFonts w:ascii="Arial" w:eastAsia="宋体" w:hAnsi="Arial" w:cs="Arial"/>
          <w:color w:val="000000"/>
          <w:sz w:val="20"/>
          <w:szCs w:val="20"/>
        </w:rPr>
        <w:t>72</w:t>
      </w:r>
    </w:p>
    <w:p w14:paraId="64A8B999" w14:textId="77777777" w:rsidR="008D6614" w:rsidRDefault="00866AF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4A8BA25" wp14:editId="64A8BA26">
                <wp:extent cx="635" cy="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qfvTQ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6n700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9B" w14:textId="77777777">
        <w:trPr>
          <w:tblCellSpacing w:w="15" w:type="dxa"/>
        </w:trPr>
        <w:tc>
          <w:tcPr>
            <w:tcW w:w="0" w:type="auto"/>
            <w:shd w:val="clear" w:color="auto" w:fill="auto"/>
            <w:vAlign w:val="center"/>
          </w:tcPr>
          <w:p w14:paraId="64A8B99A" w14:textId="77777777" w:rsidR="008D6614" w:rsidRDefault="008D6614">
            <w:pPr>
              <w:rPr>
                <w:rFonts w:ascii="宋体"/>
              </w:rPr>
            </w:pPr>
          </w:p>
        </w:tc>
      </w:tr>
    </w:tbl>
    <w:p w14:paraId="64A8B99C" w14:textId="77777777" w:rsidR="008D6614" w:rsidRDefault="008D66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9E" w14:textId="77777777">
        <w:trPr>
          <w:tblCellSpacing w:w="15" w:type="dxa"/>
        </w:trPr>
        <w:tc>
          <w:tcPr>
            <w:tcW w:w="0" w:type="auto"/>
            <w:shd w:val="clear" w:color="auto" w:fill="auto"/>
            <w:vAlign w:val="center"/>
          </w:tcPr>
          <w:p w14:paraId="64A8B99D" w14:textId="77777777" w:rsidR="008D6614" w:rsidRDefault="008D6614">
            <w:pPr>
              <w:rPr>
                <w:rFonts w:ascii="宋体"/>
              </w:rPr>
            </w:pPr>
          </w:p>
        </w:tc>
      </w:tr>
    </w:tbl>
    <w:p w14:paraId="64A8B99F" w14:textId="77777777" w:rsidR="008D6614" w:rsidRDefault="008D66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A1" w14:textId="77777777">
        <w:trPr>
          <w:tblCellSpacing w:w="15" w:type="dxa"/>
        </w:trPr>
        <w:tc>
          <w:tcPr>
            <w:tcW w:w="0" w:type="auto"/>
            <w:shd w:val="clear" w:color="auto" w:fill="auto"/>
            <w:vAlign w:val="center"/>
          </w:tcPr>
          <w:p w14:paraId="64A8B9A0" w14:textId="77777777" w:rsidR="008D6614" w:rsidRDefault="008D6614">
            <w:pPr>
              <w:rPr>
                <w:rFonts w:ascii="宋体"/>
              </w:rPr>
            </w:pPr>
          </w:p>
        </w:tc>
      </w:tr>
    </w:tbl>
    <w:p w14:paraId="64A8B9A2" w14:textId="77777777" w:rsidR="008D6614" w:rsidRDefault="008D66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A4" w14:textId="77777777">
        <w:trPr>
          <w:tblCellSpacing w:w="15" w:type="dxa"/>
        </w:trPr>
        <w:tc>
          <w:tcPr>
            <w:tcW w:w="0" w:type="auto"/>
            <w:shd w:val="clear" w:color="auto" w:fill="auto"/>
            <w:vAlign w:val="center"/>
          </w:tcPr>
          <w:p w14:paraId="64A8B9A3" w14:textId="77777777" w:rsidR="008D6614" w:rsidRDefault="008D6614">
            <w:pPr>
              <w:rPr>
                <w:rFonts w:ascii="宋体"/>
              </w:rPr>
            </w:pPr>
          </w:p>
        </w:tc>
      </w:tr>
    </w:tbl>
    <w:p w14:paraId="64A8B9A5" w14:textId="77777777" w:rsidR="008D6614" w:rsidRDefault="00866AF2">
      <w:r>
        <w:rPr>
          <w:rFonts w:ascii="宋体" w:eastAsia="宋体" w:hAnsi="宋体" w:cs="宋体"/>
        </w:rPr>
        <w:t xml:space="preserve">Previous Next </w:t>
      </w:r>
    </w:p>
    <w:p w14:paraId="64A8B9A6" w14:textId="77777777" w:rsidR="008D6614" w:rsidRDefault="00866AF2">
      <w:pPr>
        <w:pStyle w:val="a3"/>
      </w:pPr>
      <w:r>
        <w:t>Settings</w:t>
      </w:r>
    </w:p>
    <w:p w14:paraId="64A8B9A7" w14:textId="77777777" w:rsidR="008D6614" w:rsidRDefault="00866AF2">
      <w:pPr>
        <w:pStyle w:val="Style4"/>
      </w:pPr>
      <w:r>
        <w:t>窗体顶端</w:t>
      </w:r>
    </w:p>
    <w:p w14:paraId="64A8B9A8" w14:textId="77777777" w:rsidR="008D6614" w:rsidRDefault="00866AF2">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4A8BA27" wp14:editId="64A8BA28">
                <wp:extent cx="635" cy="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UwB0A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UwB0A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64A8B9A9" w14:textId="77777777" w:rsidR="008D6614" w:rsidRDefault="00866AF2">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4A8BA29" wp14:editId="64A8BA2A">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XZDr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0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l2Q60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64A8B9AA" w14:textId="77777777" w:rsidR="008D6614" w:rsidRDefault="00866AF2">
      <w:r>
        <w:pict w14:anchorId="64A8BA2B">
          <v:rect id="_x0000_i1096" style="width:415.3pt;height:1.5pt" o:hralign="center" o:hrstd="t" o:hr="t" fillcolor="#a0a0a0" stroked="f"/>
        </w:pict>
      </w:r>
    </w:p>
    <w:p w14:paraId="64A8B9AB" w14:textId="77777777" w:rsidR="008D6614" w:rsidRDefault="00866AF2">
      <w:r>
        <w:rPr>
          <w:rFonts w:ascii="宋体" w:eastAsia="宋体" w:hAnsi="宋体" w:cs="宋体"/>
        </w:rPr>
        <w:t xml:space="preserve">Tagged Data </w:t>
      </w:r>
    </w:p>
    <w:p w14:paraId="64A8B9AC" w14:textId="77777777" w:rsidR="008D6614" w:rsidRDefault="00866AF2">
      <w:r>
        <w:rPr>
          <w:rFonts w:ascii="monospace" w:eastAsia="monospace" w:hAnsi="monospace" w:cs="monospace"/>
          <w:noProof/>
        </w:rPr>
        <mc:AlternateContent>
          <mc:Choice Requires="wps">
            <w:drawing>
              <wp:inline distT="0" distB="0" distL="114300" distR="114300" wp14:anchorId="64A8BA2C" wp14:editId="64A8BA2D">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p2tMA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KdrTABAgAAGgQAAA4AAAAAAAAA&#10;AQAgAAAAMwEAAGRycy9lMm9Eb2MueG1sUEsFBgAAAAAGAAYAWQEAAKYFAAAAAA==&#10;">
                <v:path/>
                <v:fill on="f" focussize="0,0"/>
                <v:stroke/>
                <v:imagedata o:title=""/>
                <o:lock v:ext="edit" aspectratio="t"/>
                <w10:wrap type="none"/>
                <w10:anchorlock/>
              </v:rect>
            </w:pict>
          </mc:Fallback>
        </mc:AlternateContent>
      </w:r>
    </w:p>
    <w:p w14:paraId="64A8B9AD" w14:textId="77777777" w:rsidR="008D6614" w:rsidRDefault="00866AF2">
      <w:r>
        <w:rPr>
          <w:rFonts w:ascii="宋体" w:eastAsia="宋体" w:hAnsi="宋体" w:cs="宋体"/>
        </w:rPr>
        <w:t>Save</w:t>
      </w:r>
    </w:p>
    <w:p w14:paraId="64A8B9AE" w14:textId="77777777" w:rsidR="008D6614" w:rsidRDefault="00866AF2">
      <w:r>
        <w:rPr>
          <w:rFonts w:ascii="宋体" w:eastAsia="宋体" w:hAnsi="宋体" w:cs="宋体"/>
        </w:rPr>
        <w:t>Reset</w:t>
      </w:r>
    </w:p>
    <w:p w14:paraId="64A8B9AF" w14:textId="77777777" w:rsidR="008D6614" w:rsidRDefault="00866AF2">
      <w:r>
        <w:pict w14:anchorId="64A8BA2E">
          <v:rect id="_x0000_i1097" style="width:415.3pt;height:1.5pt" o:hralign="center" o:hrstd="t" o:hr="t" fillcolor="#a0a0a0" stroked="f"/>
        </w:pict>
      </w:r>
    </w:p>
    <w:p w14:paraId="64A8B9B0" w14:textId="77777777" w:rsidR="008D6614" w:rsidRDefault="00866AF2">
      <w:r>
        <w:rPr>
          <w:rFonts w:ascii="宋体" w:eastAsia="宋体" w:hAnsi="宋体" w:cs="宋体"/>
        </w:rPr>
        <w:t xml:space="preserve">Search Results </w:t>
      </w:r>
    </w:p>
    <w:p w14:paraId="64A8B9B1" w14:textId="77777777" w:rsidR="008D6614" w:rsidRDefault="00866AF2">
      <w:r>
        <w:rPr>
          <w:rFonts w:ascii="monospace" w:eastAsia="monospace" w:hAnsi="monospace" w:cs="monospace"/>
          <w:noProof/>
        </w:rPr>
        <mc:AlternateContent>
          <mc:Choice Requires="wps">
            <w:drawing>
              <wp:inline distT="0" distB="0" distL="114300" distR="114300" wp14:anchorId="64A8BA2F" wp14:editId="64A8BA30">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path/>
                <v:fill on="f" focussize="0,0"/>
                <v:stroke/>
                <v:imagedata o:title=""/>
                <o:lock v:ext="edit" aspectratio="t"/>
                <w10:wrap type="none"/>
                <w10:anchorlock/>
              </v:rect>
            </w:pict>
          </mc:Fallback>
        </mc:AlternateContent>
      </w:r>
    </w:p>
    <w:p w14:paraId="64A8B9B2" w14:textId="77777777" w:rsidR="008D6614" w:rsidRDefault="00866AF2">
      <w:r>
        <w:rPr>
          <w:rFonts w:ascii="宋体" w:eastAsia="宋体" w:hAnsi="宋体" w:cs="宋体"/>
        </w:rPr>
        <w:t>Save</w:t>
      </w:r>
    </w:p>
    <w:p w14:paraId="64A8B9B3" w14:textId="77777777" w:rsidR="008D6614" w:rsidRDefault="00866AF2">
      <w:r>
        <w:rPr>
          <w:rFonts w:ascii="宋体" w:eastAsia="宋体" w:hAnsi="宋体" w:cs="宋体"/>
        </w:rPr>
        <w:t>Reset</w:t>
      </w:r>
    </w:p>
    <w:p w14:paraId="64A8B9B4" w14:textId="77777777" w:rsidR="008D6614" w:rsidRDefault="00866AF2">
      <w:r>
        <w:pict w14:anchorId="64A8BA31">
          <v:rect id="_x0000_i1098" style="width:415.3pt;height:1.5pt" o:hralign="center" o:hrstd="t" o:hr="t" fillcolor="#a0a0a0" stroked="f"/>
        </w:pict>
      </w:r>
    </w:p>
    <w:p w14:paraId="64A8B9B5" w14:textId="77777777" w:rsidR="008D6614" w:rsidRDefault="00866AF2">
      <w:r>
        <w:rPr>
          <w:rFonts w:ascii="宋体" w:eastAsia="宋体" w:hAnsi="宋体" w:cs="宋体"/>
        </w:rPr>
        <w:t xml:space="preserve">Selected Fact </w:t>
      </w:r>
    </w:p>
    <w:p w14:paraId="64A8B9B6" w14:textId="77777777" w:rsidR="008D6614" w:rsidRDefault="00866AF2">
      <w:r>
        <w:rPr>
          <w:rFonts w:ascii="monospace" w:eastAsia="monospace" w:hAnsi="monospace" w:cs="monospace"/>
          <w:noProof/>
        </w:rPr>
        <mc:AlternateContent>
          <mc:Choice Requires="wps">
            <w:drawing>
              <wp:inline distT="0" distB="0" distL="114300" distR="114300" wp14:anchorId="64A8BA32" wp14:editId="64A8BA33">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path/>
                <v:fill on="f" focussize="0,0"/>
                <v:stroke/>
                <v:imagedata o:title=""/>
                <o:lock v:ext="edit" aspectratio="t"/>
                <w10:wrap type="none"/>
                <w10:anchorlock/>
              </v:rect>
            </w:pict>
          </mc:Fallback>
        </mc:AlternateContent>
      </w:r>
    </w:p>
    <w:p w14:paraId="64A8B9B7" w14:textId="77777777" w:rsidR="008D6614" w:rsidRDefault="00866AF2">
      <w:r>
        <w:rPr>
          <w:rFonts w:ascii="宋体" w:eastAsia="宋体" w:hAnsi="宋体" w:cs="宋体"/>
        </w:rPr>
        <w:t>Save</w:t>
      </w:r>
    </w:p>
    <w:p w14:paraId="64A8B9B8" w14:textId="77777777" w:rsidR="008D6614" w:rsidRDefault="00866AF2">
      <w:r>
        <w:rPr>
          <w:rFonts w:ascii="宋体" w:eastAsia="宋体" w:hAnsi="宋体" w:cs="宋体"/>
        </w:rPr>
        <w:t>Reset</w:t>
      </w:r>
    </w:p>
    <w:p w14:paraId="64A8B9B9" w14:textId="77777777" w:rsidR="008D6614" w:rsidRDefault="00866AF2">
      <w:r>
        <w:pict w14:anchorId="64A8BA34">
          <v:rect id="_x0000_i1099" style="width:415.3pt;height:1.5pt" o:hralign="center" o:hrstd="t" o:hr="t" fillcolor="#a0a0a0" stroked="f"/>
        </w:pict>
      </w:r>
    </w:p>
    <w:p w14:paraId="64A8B9BA" w14:textId="77777777" w:rsidR="008D6614" w:rsidRDefault="00866AF2">
      <w:r>
        <w:rPr>
          <w:rFonts w:ascii="宋体" w:eastAsia="宋体" w:hAnsi="宋体" w:cs="宋体"/>
        </w:rPr>
        <w:t xml:space="preserve">Tag Shading (hover) </w:t>
      </w:r>
    </w:p>
    <w:p w14:paraId="64A8B9BB" w14:textId="77777777" w:rsidR="008D6614" w:rsidRDefault="00866AF2">
      <w:r>
        <w:rPr>
          <w:rFonts w:ascii="monospace" w:eastAsia="monospace" w:hAnsi="monospace" w:cs="monospace"/>
          <w:noProof/>
        </w:rPr>
        <mc:AlternateContent>
          <mc:Choice Requires="wps">
            <w:drawing>
              <wp:inline distT="0" distB="0" distL="114300" distR="114300" wp14:anchorId="64A8BA35" wp14:editId="64A8BA36">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path/>
                <v:fill on="f" focussize="0,0"/>
                <v:stroke/>
                <v:imagedata o:title=""/>
                <o:lock v:ext="edit" aspectratio="t"/>
                <w10:wrap type="none"/>
                <w10:anchorlock/>
              </v:rect>
            </w:pict>
          </mc:Fallback>
        </mc:AlternateContent>
      </w:r>
    </w:p>
    <w:p w14:paraId="64A8B9BC" w14:textId="77777777" w:rsidR="008D6614" w:rsidRDefault="00866AF2">
      <w:r>
        <w:rPr>
          <w:rFonts w:ascii="宋体" w:eastAsia="宋体" w:hAnsi="宋体" w:cs="宋体"/>
        </w:rPr>
        <w:t>Save</w:t>
      </w:r>
    </w:p>
    <w:p w14:paraId="64A8B9BD" w14:textId="77777777" w:rsidR="008D6614" w:rsidRDefault="00866AF2">
      <w:r>
        <w:rPr>
          <w:rFonts w:ascii="宋体" w:eastAsia="宋体" w:hAnsi="宋体" w:cs="宋体"/>
        </w:rPr>
        <w:t>Reset</w:t>
      </w:r>
    </w:p>
    <w:p w14:paraId="64A8B9BE" w14:textId="77777777" w:rsidR="008D6614" w:rsidRDefault="00866AF2">
      <w:pPr>
        <w:pStyle w:val="Style5"/>
      </w:pPr>
      <w:r>
        <w:t>窗体底端</w:t>
      </w:r>
    </w:p>
    <w:p w14:paraId="64A8B9BF" w14:textId="77777777" w:rsidR="008D6614" w:rsidRDefault="00866AF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4A8BA37" wp14:editId="64A8BA38">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C1" w14:textId="77777777">
        <w:trPr>
          <w:tblCellSpacing w:w="15" w:type="dxa"/>
        </w:trPr>
        <w:tc>
          <w:tcPr>
            <w:tcW w:w="0" w:type="auto"/>
            <w:shd w:val="clear" w:color="auto" w:fill="auto"/>
            <w:vAlign w:val="center"/>
          </w:tcPr>
          <w:p w14:paraId="64A8B9C0" w14:textId="77777777" w:rsidR="008D6614" w:rsidRDefault="008D6614">
            <w:pPr>
              <w:rPr>
                <w:rFonts w:ascii="宋体"/>
              </w:rPr>
            </w:pPr>
          </w:p>
        </w:tc>
      </w:tr>
    </w:tbl>
    <w:p w14:paraId="64A8B9C2" w14:textId="77777777" w:rsidR="008D6614" w:rsidRDefault="008D66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C4" w14:textId="77777777">
        <w:trPr>
          <w:tblCellSpacing w:w="15" w:type="dxa"/>
        </w:trPr>
        <w:tc>
          <w:tcPr>
            <w:tcW w:w="0" w:type="auto"/>
            <w:shd w:val="clear" w:color="auto" w:fill="auto"/>
            <w:vAlign w:val="center"/>
          </w:tcPr>
          <w:p w14:paraId="64A8B9C3" w14:textId="77777777" w:rsidR="008D6614" w:rsidRDefault="008D6614">
            <w:pPr>
              <w:rPr>
                <w:rFonts w:ascii="宋体"/>
              </w:rPr>
            </w:pPr>
          </w:p>
        </w:tc>
      </w:tr>
    </w:tbl>
    <w:p w14:paraId="64A8B9C5" w14:textId="77777777" w:rsidR="008D6614" w:rsidRDefault="008D66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C7" w14:textId="77777777">
        <w:trPr>
          <w:tblCellSpacing w:w="15" w:type="dxa"/>
        </w:trPr>
        <w:tc>
          <w:tcPr>
            <w:tcW w:w="0" w:type="auto"/>
            <w:shd w:val="clear" w:color="auto" w:fill="auto"/>
            <w:vAlign w:val="center"/>
          </w:tcPr>
          <w:p w14:paraId="64A8B9C6" w14:textId="77777777" w:rsidR="008D6614" w:rsidRDefault="008D6614">
            <w:pPr>
              <w:rPr>
                <w:rFonts w:ascii="宋体"/>
              </w:rPr>
            </w:pPr>
          </w:p>
        </w:tc>
      </w:tr>
    </w:tbl>
    <w:p w14:paraId="64A8B9C8" w14:textId="77777777" w:rsidR="008D6614" w:rsidRDefault="008D66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CA" w14:textId="77777777">
        <w:trPr>
          <w:tblCellSpacing w:w="15" w:type="dxa"/>
        </w:trPr>
        <w:tc>
          <w:tcPr>
            <w:tcW w:w="0" w:type="auto"/>
            <w:shd w:val="clear" w:color="auto" w:fill="auto"/>
            <w:vAlign w:val="center"/>
          </w:tcPr>
          <w:p w14:paraId="64A8B9C9" w14:textId="77777777" w:rsidR="008D6614" w:rsidRDefault="008D6614">
            <w:pPr>
              <w:rPr>
                <w:rFonts w:ascii="宋体"/>
              </w:rPr>
            </w:pPr>
          </w:p>
        </w:tc>
      </w:tr>
    </w:tbl>
    <w:p w14:paraId="64A8B9CB" w14:textId="77777777" w:rsidR="008D6614" w:rsidRDefault="00866AF2">
      <w:r>
        <w:rPr>
          <w:rFonts w:ascii="宋体" w:eastAsia="宋体" w:hAnsi="宋体" w:cs="宋体"/>
        </w:rPr>
        <w:t xml:space="preserve">Previous Next </w:t>
      </w:r>
    </w:p>
    <w:p w14:paraId="64A8B9CC" w14:textId="77777777" w:rsidR="008D6614" w:rsidRDefault="00866AF2">
      <w:pPr>
        <w:pStyle w:val="a3"/>
      </w:pPr>
      <w:r>
        <w:t xml:space="preserve">Nested Facts / </w:t>
      </w:r>
    </w:p>
    <w:p w14:paraId="64A8B9CD" w14:textId="77777777" w:rsidR="008D6614" w:rsidRDefault="00866AF2">
      <w:r>
        <w:rPr>
          <w:rFonts w:ascii="宋体" w:eastAsia="宋体" w:hAnsi="宋体" w:cs="宋体"/>
        </w:rPr>
        <w:t xml:space="preserve">Previous Next </w:t>
      </w:r>
    </w:p>
    <w:p w14:paraId="64A8B9CE" w14:textId="77777777" w:rsidR="008D6614" w:rsidRDefault="00866AF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4A8BA39" wp14:editId="64A8BA3A">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D0" w14:textId="77777777">
        <w:trPr>
          <w:tblCellSpacing w:w="15" w:type="dxa"/>
        </w:trPr>
        <w:tc>
          <w:tcPr>
            <w:tcW w:w="0" w:type="auto"/>
            <w:shd w:val="clear" w:color="auto" w:fill="auto"/>
            <w:vAlign w:val="center"/>
          </w:tcPr>
          <w:p w14:paraId="64A8B9CF" w14:textId="77777777" w:rsidR="008D6614" w:rsidRDefault="008D6614">
            <w:pPr>
              <w:rPr>
                <w:rFonts w:ascii="宋体"/>
              </w:rPr>
            </w:pPr>
          </w:p>
        </w:tc>
      </w:tr>
    </w:tbl>
    <w:p w14:paraId="64A8B9D1" w14:textId="77777777" w:rsidR="008D6614" w:rsidRDefault="008D66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D3" w14:textId="77777777">
        <w:trPr>
          <w:tblCellSpacing w:w="15" w:type="dxa"/>
        </w:trPr>
        <w:tc>
          <w:tcPr>
            <w:tcW w:w="0" w:type="auto"/>
            <w:shd w:val="clear" w:color="auto" w:fill="auto"/>
            <w:vAlign w:val="center"/>
          </w:tcPr>
          <w:p w14:paraId="64A8B9D2" w14:textId="77777777" w:rsidR="008D6614" w:rsidRDefault="008D6614">
            <w:pPr>
              <w:rPr>
                <w:rFonts w:ascii="宋体"/>
              </w:rPr>
            </w:pPr>
          </w:p>
        </w:tc>
      </w:tr>
    </w:tbl>
    <w:p w14:paraId="64A8B9D4" w14:textId="77777777" w:rsidR="008D6614" w:rsidRDefault="008D66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D6" w14:textId="77777777">
        <w:trPr>
          <w:tblCellSpacing w:w="15" w:type="dxa"/>
        </w:trPr>
        <w:tc>
          <w:tcPr>
            <w:tcW w:w="0" w:type="auto"/>
            <w:shd w:val="clear" w:color="auto" w:fill="auto"/>
            <w:vAlign w:val="center"/>
          </w:tcPr>
          <w:p w14:paraId="64A8B9D5" w14:textId="77777777" w:rsidR="008D6614" w:rsidRDefault="008D6614">
            <w:pPr>
              <w:rPr>
                <w:rFonts w:ascii="宋体"/>
              </w:rPr>
            </w:pPr>
          </w:p>
        </w:tc>
      </w:tr>
    </w:tbl>
    <w:p w14:paraId="64A8B9D7" w14:textId="77777777" w:rsidR="008D6614" w:rsidRDefault="008D66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6614" w14:paraId="64A8B9D9" w14:textId="77777777">
        <w:trPr>
          <w:tblCellSpacing w:w="15" w:type="dxa"/>
        </w:trPr>
        <w:tc>
          <w:tcPr>
            <w:tcW w:w="0" w:type="auto"/>
            <w:shd w:val="clear" w:color="auto" w:fill="auto"/>
            <w:vAlign w:val="center"/>
          </w:tcPr>
          <w:p w14:paraId="64A8B9D8" w14:textId="77777777" w:rsidR="008D6614" w:rsidRDefault="008D6614">
            <w:pPr>
              <w:rPr>
                <w:rFonts w:ascii="宋体"/>
              </w:rPr>
            </w:pPr>
          </w:p>
        </w:tc>
      </w:tr>
    </w:tbl>
    <w:p w14:paraId="64A8B9DA" w14:textId="77777777" w:rsidR="008D6614" w:rsidRDefault="00866AF2">
      <w:r>
        <w:rPr>
          <w:rFonts w:ascii="宋体" w:eastAsia="宋体" w:hAnsi="宋体" w:cs="宋体"/>
        </w:rPr>
        <w:t xml:space="preserve">Previous Next </w:t>
      </w:r>
    </w:p>
    <w:p w14:paraId="64A8B9DB" w14:textId="77777777" w:rsidR="008D6614" w:rsidRDefault="008D6614"/>
    <w:sectPr w:rsidR="008D6614">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3928" w14:textId="77777777" w:rsidR="00866AF2" w:rsidRDefault="00866AF2" w:rsidP="00866AF2">
      <w:r>
        <w:separator/>
      </w:r>
    </w:p>
  </w:endnote>
  <w:endnote w:type="continuationSeparator" w:id="0">
    <w:p w14:paraId="5A752E4E" w14:textId="77777777" w:rsidR="00866AF2" w:rsidRDefault="00866AF2" w:rsidP="00866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D0D6" w14:textId="77777777" w:rsidR="00866AF2" w:rsidRDefault="00866AF2" w:rsidP="00866AF2">
      <w:r>
        <w:separator/>
      </w:r>
    </w:p>
  </w:footnote>
  <w:footnote w:type="continuationSeparator" w:id="0">
    <w:p w14:paraId="4D8A4FD5" w14:textId="77777777" w:rsidR="00866AF2" w:rsidRDefault="00866AF2" w:rsidP="00866A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3539B0"/>
    <w:rsid w:val="00866AF2"/>
    <w:rsid w:val="008D6614"/>
    <w:rsid w:val="7D353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881EF"/>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66AF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66AF2"/>
    <w:rPr>
      <w:rFonts w:asciiTheme="minorEastAsia" w:hAnsiTheme="minorEastAsia" w:cs="Times New Roman"/>
      <w:sz w:val="18"/>
      <w:szCs w:val="18"/>
    </w:rPr>
  </w:style>
  <w:style w:type="paragraph" w:styleId="a8">
    <w:name w:val="footer"/>
    <w:basedOn w:val="a"/>
    <w:link w:val="a9"/>
    <w:rsid w:val="00866AF2"/>
    <w:pPr>
      <w:tabs>
        <w:tab w:val="center" w:pos="4153"/>
        <w:tab w:val="right" w:pos="8306"/>
      </w:tabs>
      <w:snapToGrid w:val="0"/>
    </w:pPr>
    <w:rPr>
      <w:sz w:val="18"/>
      <w:szCs w:val="18"/>
    </w:rPr>
  </w:style>
  <w:style w:type="character" w:customStyle="1" w:styleId="a9">
    <w:name w:val="页脚 字符"/>
    <w:basedOn w:val="a0"/>
    <w:link w:val="a8"/>
    <w:rsid w:val="00866AF2"/>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065088/000106508820000018/ebayms-2020asrmasterco.htm" TargetMode="External"/><Relationship Id="rId13" Type="http://schemas.openxmlformats.org/officeDocument/2006/relationships/hyperlink" Target="https://www.sec.gov/Archives/edgar/data/0001065088/000106508820000018/ebay033120ex3102.htm" TargetMode="External"/><Relationship Id="rId3" Type="http://schemas.openxmlformats.org/officeDocument/2006/relationships/webSettings" Target="webSettings.xml"/><Relationship Id="rId7" Type="http://schemas.openxmlformats.org/officeDocument/2006/relationships/hyperlink" Target="https://www.sec.gov/Archives/edgar/data/0001065088/000106508820000018/ebayciti-2020asrmaster.htm" TargetMode="External"/><Relationship Id="rId12" Type="http://schemas.openxmlformats.org/officeDocument/2006/relationships/hyperlink" Target="https://www.sec.gov/Archives/edgar/data/0001065088/000106508820000018/ebay033120ex3101.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11" Type="http://schemas.openxmlformats.org/officeDocument/2006/relationships/hyperlink" Target="https://www.sec.gov/Archives/edgar/data/0001065088/000106508820000018/kristinyettoletterfina.htm" TargetMode="External"/><Relationship Id="rId5" Type="http://schemas.openxmlformats.org/officeDocument/2006/relationships/endnotes" Target="endnotes.xml"/><Relationship Id="rId15" Type="http://schemas.openxmlformats.org/officeDocument/2006/relationships/hyperlink" Target="https://www.sec.gov/Archives/edgar/data/0001065088/000106508820000018/ebay033120ex3202.htm" TargetMode="External"/><Relationship Id="rId10" Type="http://schemas.openxmlformats.org/officeDocument/2006/relationships/hyperlink" Target="https://www.sec.gov/Archives/edgar/data/0001065088/000106508820000018/petethompsonofferlette.htm" TargetMode="External"/><Relationship Id="rId4" Type="http://schemas.openxmlformats.org/officeDocument/2006/relationships/footnotes" Target="footnotes.xml"/><Relationship Id="rId9" Type="http://schemas.openxmlformats.org/officeDocument/2006/relationships/hyperlink" Target="https://www.sec.gov/Archives/edgar/data/0001065088/000106508820000018/ebay-hsbc2020asrmaster.htm" TargetMode="External"/><Relationship Id="rId14" Type="http://schemas.openxmlformats.org/officeDocument/2006/relationships/hyperlink" Target="https://www.sec.gov/Archives/edgar/data/0001065088/000106508820000018/ebay033120ex32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40038</Words>
  <Characters>228217</Characters>
  <Application>Microsoft Office Word</Application>
  <DocSecurity>0</DocSecurity>
  <Lines>1901</Lines>
  <Paragraphs>535</Paragraphs>
  <ScaleCrop>false</ScaleCrop>
  <Company/>
  <LinksUpToDate>false</LinksUpToDate>
  <CharactersWithSpaces>267720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2023-02-11T19:31:00Z</dcterms:created>
  <dcterms:modified xsi:type="dcterms:W3CDTF">2023-02-13T13:06:00Z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600C82855D234480967CE76337B66CCF</vt:lpwstr>
  </property>
</Properties>
</file>